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120" w:after="120"/>
        <w:jc w:val="center"/>
        <w:rPr>
          <w:rFonts w:ascii="Times New Roman;serif" w:hAnsi="Times New Roman;serif"/>
          <w:b/>
          <w:color w:val="000000"/>
          <w:sz w:val="36"/>
        </w:rPr>
      </w:pPr>
      <w:r>
        <w:rPr>
          <w:rFonts w:ascii="Times New Roman;serif" w:hAnsi="Times New Roman;serif"/>
          <w:b/>
          <w:color w:val="000000"/>
          <w:sz w:val="36"/>
        </w:rPr>
        <w:t>FORM 10-Q</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00"/>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bl>
    <w:p>
      <w:pPr>
        <w:pStyle w:val="TextBody"/>
        <w:bidi w:val="0"/>
        <w:spacing w:lineRule="auto" w:line="288" w:before="120" w:after="120"/>
        <w:jc w:val="center"/>
        <w:rPr>
          <w:rFonts w:ascii="Times New Roman;serif" w:hAnsi="Times New Roman;serif"/>
          <w:b/>
          <w:color w:val="000000"/>
          <w:sz w:val="20"/>
        </w:rPr>
      </w:pPr>
      <w:r>
        <w:rPr>
          <w:rFonts w:ascii="Times New Roman;serif" w:hAnsi="Times New Roman;serif"/>
          <w:b/>
          <w:color w:val="000000"/>
          <w:sz w:val="20"/>
        </w:rPr>
        <w:t>For the quarterly period ended June 30, 2026</w:t>
      </w:r>
    </w:p>
    <w:p>
      <w:pPr>
        <w:pStyle w:val="TextBody"/>
        <w:bidi w:val="0"/>
        <w:spacing w:lineRule="auto" w:line="288" w:before="120" w:after="120"/>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00"/>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120" w:after="120"/>
        <w:jc w:val="center"/>
        <w:rPr/>
      </w:pPr>
      <w:r>
        <w:rPr>
          <w:rFonts w:ascii="Times New Roman;serif" w:hAnsi="Times New Roman;serif"/>
          <w:b/>
          <w:color w:val="000000"/>
          <w:sz w:val="20"/>
        </w:rPr>
        <w:t xml:space="preserve">For the transition period from </w:t>
      </w:r>
      <w:r>
        <w:rPr>
          <w:color w:val="000000"/>
          <w:u w:val="single"/>
        </w:rPr>
        <w:t>            </w:t>
      </w:r>
      <w:r>
        <w:rPr>
          <w:color w:val="000000"/>
        </w:rPr>
        <w:t xml:space="preserve"> </w:t>
      </w:r>
      <w:r>
        <w:rPr>
          <w:rFonts w:ascii="Times New Roman;serif" w:hAnsi="Times New Roman;serif"/>
          <w:b/>
          <w:color w:val="000000"/>
          <w:sz w:val="20"/>
        </w:rPr>
        <w:t xml:space="preserve">to </w:t>
      </w:r>
      <w:r>
        <w:rPr>
          <w:color w:val="000000"/>
          <w:u w:val="single"/>
        </w:rPr>
        <w:t>            </w:t>
      </w:r>
    </w:p>
    <w:p>
      <w:pPr>
        <w:pStyle w:val="TextBody"/>
        <w:bidi w:val="0"/>
        <w:spacing w:lineRule="auto" w:line="288" w:before="120" w:after="120"/>
        <w:jc w:val="center"/>
        <w:rPr>
          <w:rFonts w:ascii="Times New Roman;serif" w:hAnsi="Times New Roman;serif"/>
          <w:b/>
          <w:color w:val="000000"/>
          <w:sz w:val="20"/>
        </w:rPr>
      </w:pPr>
      <w:r>
        <w:rPr>
          <w:rFonts w:ascii="Times New Roman;serif" w:hAnsi="Times New Roman;serif"/>
          <w:b/>
          <w:color w:val="000000"/>
          <w:sz w:val="20"/>
        </w:rPr>
        <w:t>Commission File Number: 001-36112</w:t>
      </w:r>
    </w:p>
    <w:p>
      <w:pPr>
        <w:pStyle w:val="TextBody"/>
        <w:bidi w:val="0"/>
        <w:spacing w:lineRule="auto" w:line="288" w:before="120" w:after="120"/>
        <w:jc w:val="center"/>
        <w:rPr>
          <w:rFonts w:ascii="Times New Roman;serif" w:hAnsi="Times New Roman;serif"/>
          <w:b/>
          <w:color w:val="000000"/>
          <w:sz w:val="48"/>
        </w:rPr>
      </w:pPr>
      <w:r>
        <w:rPr>
          <w:rFonts w:ascii="Times New Roman;serif" w:hAnsi="Times New Roman;serif"/>
          <w:b/>
          <w:color w:val="000000"/>
          <w:sz w:val="48"/>
        </w:rPr>
        <w:t xml:space="preserve">MACROGENICS, INC. </w:t>
      </w:r>
    </w:p>
    <w:p>
      <w:pPr>
        <w:pStyle w:val="TextBody"/>
        <w:bidi w:val="0"/>
        <w:spacing w:lineRule="auto" w:line="288" w:before="120" w:after="12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bl>
      <w:tblPr>
        <w:tblW w:w="5053" w:type="dxa"/>
        <w:jc w:val="center"/>
        <w:tblInd w:w="0" w:type="dxa"/>
        <w:tblLayout w:type="fixed"/>
        <w:tblCellMar>
          <w:top w:w="28" w:type="dxa"/>
          <w:left w:w="28" w:type="dxa"/>
          <w:bottom w:w="28" w:type="dxa"/>
          <w:right w:w="28" w:type="dxa"/>
        </w:tblCellMar>
      </w:tblPr>
      <w:tblGrid>
        <w:gridCol w:w="1220"/>
        <w:gridCol w:w="1072"/>
        <w:gridCol w:w="1082"/>
        <w:gridCol w:w="490"/>
        <w:gridCol w:w="490"/>
        <w:gridCol w:w="699"/>
      </w:tblGrid>
      <w:tr>
        <w:trPr/>
        <w:tc>
          <w:tcPr>
            <w:tcW w:w="1220"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06-1591613</w:t>
            </w:r>
          </w:p>
        </w:tc>
      </w:tr>
      <w:tr>
        <w:trPr/>
        <w:tc>
          <w:tcPr>
            <w:tcW w:w="337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(State or other jurisdiction of</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incorporation or organization)</w:t>
            </w:r>
          </w:p>
        </w:tc>
        <w:tc>
          <w:tcPr>
            <w:tcW w:w="167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(I.R.S. Employer</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Identification No.)</w:t>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9704 Medical Center Drive</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Rockville, Maryland</w:t>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20850</w:t>
            </w:r>
          </w:p>
        </w:tc>
      </w:tr>
      <w:tr>
        <w:trPr/>
        <w:tc>
          <w:tcPr>
            <w:tcW w:w="33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(Address of principal executive offices)</w:t>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(Zip code)</w:t>
            </w:r>
          </w:p>
        </w:tc>
      </w:tr>
    </w:tbl>
    <w:p>
      <w:pPr>
        <w:pStyle w:val="TextBody"/>
        <w:bidi w:val="0"/>
        <w:spacing w:lineRule="auto" w:line="288" w:before="120" w:after="120"/>
        <w:jc w:val="center"/>
        <w:rPr>
          <w:rFonts w:ascii="Times New Roman;serif" w:hAnsi="Times New Roman;serif"/>
          <w:b/>
          <w:color w:val="000000"/>
          <w:sz w:val="20"/>
        </w:rPr>
      </w:pPr>
      <w:r>
        <w:rPr>
          <w:rFonts w:ascii="Times New Roman;serif" w:hAnsi="Times New Roman;serif"/>
          <w:b/>
          <w:color w:val="000000"/>
          <w:sz w:val="20"/>
        </w:rPr>
        <w:t>301-251-5172</w:t>
      </w:r>
    </w:p>
    <w:p>
      <w:pPr>
        <w:pStyle w:val="TextBody"/>
        <w:bidi w:val="0"/>
        <w:spacing w:lineRule="auto" w:line="288" w:before="120" w:after="12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819" w:type="dxa"/>
        <w:jc w:val="left"/>
        <w:tblInd w:w="0" w:type="dxa"/>
        <w:tblLayout w:type="fixed"/>
        <w:tblCellMar>
          <w:top w:w="28" w:type="dxa"/>
          <w:left w:w="28" w:type="dxa"/>
          <w:bottom w:w="28" w:type="dxa"/>
          <w:right w:w="28" w:type="dxa"/>
        </w:tblCellMar>
      </w:tblPr>
      <w:tblGrid>
        <w:gridCol w:w="1266"/>
        <w:gridCol w:w="1108"/>
        <w:gridCol w:w="1121"/>
        <w:gridCol w:w="539"/>
        <w:gridCol w:w="539"/>
        <w:gridCol w:w="541"/>
        <w:gridCol w:w="1085"/>
        <w:gridCol w:w="1085"/>
        <w:gridCol w:w="1535"/>
      </w:tblGrid>
      <w:tr>
        <w:trPr/>
        <w:tc>
          <w:tcPr>
            <w:tcW w:w="1266"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3495" w:type="dxa"/>
            <w:gridSpan w:val="3"/>
            <w:tcBorders>
              <w:top w:val="single" w:sz="8" w:space="0" w:color="000000"/>
              <w:left w:val="single" w:sz="8" w:space="0" w:color="000000"/>
              <w:bottom w:val="single" w:sz="8" w:space="0" w:color="000000"/>
            </w:tcBorders>
            <w:shd w:fill="FFFFFF" w:val="clear"/>
            <w:tcMar>
              <w:top w:w="52" w:type="dxa"/>
              <w:bottom w:w="3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Common Stock, par value $0.01 per share</w:t>
            </w:r>
          </w:p>
        </w:tc>
        <w:tc>
          <w:tcPr>
            <w:tcW w:w="1619"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MGNX</w:t>
            </w:r>
          </w:p>
        </w:tc>
        <w:tc>
          <w:tcPr>
            <w:tcW w:w="3705" w:type="dxa"/>
            <w:gridSpan w:val="3"/>
            <w:tcBorders>
              <w:top w:val="single" w:sz="8" w:space="0" w:color="000000"/>
              <w:left w:val="single" w:sz="8" w:space="0" w:color="000000"/>
              <w:bottom w:val="single" w:sz="8" w:space="0" w:color="000000"/>
              <w:right w:val="single" w:sz="8" w:space="0" w:color="000000"/>
            </w:tcBorders>
            <w:tcMar>
              <w:top w:w="52"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Global Select Market</w:t>
            </w:r>
          </w:p>
        </w:tc>
      </w:tr>
    </w:tbl>
    <w:p>
      <w:pPr>
        <w:pStyle w:val="TextBody"/>
        <w:bidi w:val="0"/>
        <w:spacing w:before="0" w:after="0"/>
        <w:ind w:left="0" w:right="0" w:firstLine="720"/>
        <w:jc w:val="left"/>
        <w:rPr/>
      </w:pPr>
      <w:r>
        <w:rPr/>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has submitted electronically every Interactive Data File required to be submitted and posted pursuant to Rule 405 of Regulation S-T during the preceding 12 months (or for such shorter period that the registrant was required to submit and post such files).    Yes  ☒   No  ☐</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definitions of "accelerated filer," "large accelerated filer," "smaller reporting company" and "emerging growth company" in Rule 12b-2 of the Exchange Act. (Check one):</w:t>
      </w:r>
    </w:p>
    <w:tbl>
      <w:tblPr>
        <w:tblW w:w="5335" w:type="dxa"/>
        <w:jc w:val="left"/>
        <w:tblInd w:w="0" w:type="dxa"/>
        <w:tblLayout w:type="fixed"/>
        <w:tblCellMar>
          <w:top w:w="28" w:type="dxa"/>
          <w:left w:w="28" w:type="dxa"/>
          <w:bottom w:w="28" w:type="dxa"/>
          <w:right w:w="28" w:type="dxa"/>
        </w:tblCellMar>
      </w:tblPr>
      <w:tblGrid>
        <w:gridCol w:w="842"/>
        <w:gridCol w:w="740"/>
        <w:gridCol w:w="743"/>
        <w:gridCol w:w="109"/>
        <w:gridCol w:w="109"/>
        <w:gridCol w:w="109"/>
        <w:gridCol w:w="769"/>
        <w:gridCol w:w="769"/>
        <w:gridCol w:w="773"/>
        <w:gridCol w:w="109"/>
        <w:gridCol w:w="109"/>
        <w:gridCol w:w="154"/>
      </w:tblGrid>
      <w:tr>
        <w:trPr/>
        <w:tc>
          <w:tcPr>
            <w:tcW w:w="842"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3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shell company (as defined in Rule 12b-2 of the Exchange Act).    Yes  ☐    No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As of August 7, 2026, 63,700,187 shares of the registrant's common stock, par value $0.01 per share, were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350520"/>
                <wp:effectExtent l="0" t="0" r="0" b="0"/>
                <wp:wrapNone/>
                <wp:docPr id="1" name="Frame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before="0" w:after="180"/>
        <w:jc w:val="center"/>
        <w:rPr/>
      </w:pPr>
      <w:r>
        <w:rPr/>
      </w:r>
    </w:p>
    <w:tbl>
      <w:tblPr>
        <w:tblW w:w="10205" w:type="dxa"/>
        <w:jc w:val="center"/>
        <w:tblInd w:w="0" w:type="dxa"/>
        <w:tblLayout w:type="fixed"/>
        <w:tblCellMar>
          <w:top w:w="28" w:type="dxa"/>
          <w:left w:w="28" w:type="dxa"/>
          <w:bottom w:w="28" w:type="dxa"/>
          <w:right w:w="28" w:type="dxa"/>
        </w:tblCellMar>
      </w:tblPr>
      <w:tblGrid>
        <w:gridCol w:w="320"/>
        <w:gridCol w:w="281"/>
        <w:gridCol w:w="285"/>
        <w:gridCol w:w="2727"/>
        <w:gridCol w:w="2727"/>
        <w:gridCol w:w="3865"/>
      </w:tblGrid>
      <w:tr>
        <w:trPr/>
        <w:tc>
          <w:tcPr>
            <w:tcW w:w="32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727" w:type="dxa"/>
            <w:tcBorders/>
            <w:vAlign w:val="center"/>
          </w:tcPr>
          <w:p>
            <w:pPr>
              <w:pStyle w:val="TableContents"/>
              <w:bidi w:val="0"/>
              <w:spacing w:before="0" w:after="283"/>
              <w:jc w:val="left"/>
              <w:rPr>
                <w:sz w:val="4"/>
                <w:szCs w:val="4"/>
              </w:rPr>
            </w:pPr>
            <w:r>
              <w:rPr>
                <w:sz w:val="4"/>
                <w:szCs w:val="4"/>
              </w:rPr>
            </w:r>
          </w:p>
        </w:tc>
        <w:tc>
          <w:tcPr>
            <w:tcW w:w="2727" w:type="dxa"/>
            <w:tcBorders/>
            <w:vAlign w:val="center"/>
          </w:tcPr>
          <w:p>
            <w:pPr>
              <w:pStyle w:val="TableContents"/>
              <w:bidi w:val="0"/>
              <w:spacing w:before="0" w:after="283"/>
              <w:jc w:val="left"/>
              <w:rPr>
                <w:sz w:val="4"/>
                <w:szCs w:val="4"/>
              </w:rPr>
            </w:pPr>
            <w:r>
              <w:rPr>
                <w:sz w:val="4"/>
                <w:szCs w:val="4"/>
              </w:rPr>
            </w:r>
          </w:p>
        </w:tc>
        <w:tc>
          <w:tcPr>
            <w:tcW w:w="3865" w:type="dxa"/>
            <w:tcBorders/>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PART I.</w:t>
            </w:r>
          </w:p>
        </w:tc>
        <w:tc>
          <w:tcPr>
            <w:tcW w:w="93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6d3605bb9774dc79a6bb6e5f2a8eb7e_13">
              <w:r>
                <w:rPr>
                  <w:rStyle w:val="InternetLink"/>
                  <w:rFonts w:ascii="Times New Roman;serif" w:hAnsi="Times New Roman;serif"/>
                  <w:b/>
                  <w:color w:val="0000FF"/>
                  <w:sz w:val="20"/>
                  <w:u w:val="single"/>
                </w:rPr>
                <w:t>FINANCIAL INFORMATION</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93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6d3605bb9774dc79a6bb6e5f2a8eb7e_16">
              <w:r>
                <w:rPr>
                  <w:rStyle w:val="InternetLink"/>
                  <w:rFonts w:ascii="Times New Roman;serif" w:hAnsi="Times New Roman;serif"/>
                  <w:b w:val="false"/>
                  <w:color w:val="0000FF"/>
                  <w:sz w:val="20"/>
                  <w:u w:val="single"/>
                </w:rPr>
                <w:t>Financial Statements</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6d3605bb9774dc79a6bb6e5f2a8eb7e_19">
              <w:r>
                <w:rPr>
                  <w:rStyle w:val="InternetLink"/>
                  <w:rFonts w:ascii="Times New Roman;serif" w:hAnsi="Times New Roman;serif"/>
                  <w:b w:val="false"/>
                  <w:color w:val="000080"/>
                  <w:sz w:val="20"/>
                  <w:u w:val="single"/>
                </w:rPr>
                <w:t xml:space="preserve">Consolidated Balance Sheets at </w:t>
              </w:r>
            </w:hyperlink>
            <w:hyperlink w:anchor="ie6d3605bb9774dc79a6bb6e5f2a8eb7e_19">
              <w:r>
                <w:rPr>
                  <w:rStyle w:val="InternetLink"/>
                  <w:rFonts w:ascii="Times New Roman;serif" w:hAnsi="Times New Roman;serif"/>
                  <w:b w:val="false"/>
                  <w:color w:val="000080"/>
                  <w:sz w:val="20"/>
                  <w:u w:val="single"/>
                </w:rPr>
                <w:t>June 30</w:t>
              </w:r>
            </w:hyperlink>
            <w:hyperlink w:anchor="ie6d3605bb9774dc79a6bb6e5f2a8eb7e_19">
              <w:r>
                <w:rPr>
                  <w:rStyle w:val="InternetLink"/>
                  <w:rFonts w:ascii="Times New Roman;serif" w:hAnsi="Times New Roman;serif"/>
                  <w:b w:val="false"/>
                  <w:color w:val="000080"/>
                  <w:sz w:val="20"/>
                  <w:u w:val="single"/>
                </w:rPr>
                <w:t>, 2026 (unaudited) and December 31, 2025</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6d3605bb9774dc79a6bb6e5f2a8eb7e_22">
              <w:r>
                <w:rPr>
                  <w:rStyle w:val="InternetLink"/>
                  <w:rFonts w:ascii="Times New Roman;serif" w:hAnsi="Times New Roman;serif"/>
                  <w:b w:val="false"/>
                  <w:color w:val="000080"/>
                  <w:sz w:val="20"/>
                  <w:u w:val="single"/>
                </w:rPr>
                <w:t>Consolidated Statements of Operations and Comprehensive</w:t>
              </w:r>
            </w:hyperlink>
            <w:hyperlink w:anchor="ie6d3605bb9774dc79a6bb6e5f2a8eb7e_22">
              <w:r>
                <w:rPr>
                  <w:rStyle w:val="InternetLink"/>
                  <w:rFonts w:ascii="Times New Roman;serif" w:hAnsi="Times New Roman;serif"/>
                  <w:b w:val="false"/>
                  <w:color w:val="000080"/>
                  <w:sz w:val="20"/>
                  <w:u w:val="single"/>
                </w:rPr>
                <w:t xml:space="preserve"> Income (Loss) for the three and six months ended June 30, 2026 and June 30, 2025 (unaudited)</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6d3605bb9774dc79a6bb6e5f2a8eb7e_25">
              <w:r>
                <w:rPr>
                  <w:rStyle w:val="InternetLink"/>
                  <w:rFonts w:ascii="Times New Roman;serif" w:hAnsi="Times New Roman;serif"/>
                  <w:b w:val="false"/>
                  <w:color w:val="000080"/>
                  <w:sz w:val="20"/>
                  <w:u w:val="single"/>
                </w:rPr>
                <w:t>Consolidated Statements of Stockholders' Equity for the three</w:t>
              </w:r>
            </w:hyperlink>
            <w:hyperlink w:anchor="ie6d3605bb9774dc79a6bb6e5f2a8eb7e_25">
              <w:r>
                <w:rPr>
                  <w:rStyle w:val="InternetLink"/>
                  <w:rFonts w:ascii="Times New Roman;serif" w:hAnsi="Times New Roman;serif"/>
                  <w:b w:val="false"/>
                  <w:color w:val="000080"/>
                  <w:sz w:val="20"/>
                  <w:u w:val="single"/>
                </w:rPr>
                <w:t xml:space="preserve"> a</w:t>
              </w:r>
            </w:hyperlink>
            <w:hyperlink w:anchor="ie6d3605bb9774dc79a6bb6e5f2a8eb7e_25">
              <w:r>
                <w:rPr>
                  <w:rStyle w:val="InternetLink"/>
                  <w:rFonts w:ascii="Times New Roman;serif" w:hAnsi="Times New Roman;serif"/>
                  <w:b w:val="false"/>
                  <w:color w:val="000080"/>
                  <w:sz w:val="20"/>
                  <w:u w:val="single"/>
                </w:rPr>
                <w:t>nd six</w:t>
              </w:r>
            </w:hyperlink>
            <w:hyperlink w:anchor="ie6d3605bb9774dc79a6bb6e5f2a8eb7e_25">
              <w:r>
                <w:rPr>
                  <w:rStyle w:val="InternetLink"/>
                  <w:rFonts w:ascii="Times New Roman;serif" w:hAnsi="Times New Roman;serif"/>
                  <w:b w:val="false"/>
                  <w:color w:val="000080"/>
                  <w:sz w:val="20"/>
                  <w:u w:val="single"/>
                </w:rPr>
                <w:t xml:space="preserve"> months ended </w:t>
              </w:r>
            </w:hyperlink>
            <w:hyperlink w:anchor="ie6d3605bb9774dc79a6bb6e5f2a8eb7e_25">
              <w:r>
                <w:rPr>
                  <w:rStyle w:val="InternetLink"/>
                  <w:rFonts w:ascii="Times New Roman;serif" w:hAnsi="Times New Roman;serif"/>
                  <w:b w:val="false"/>
                  <w:color w:val="000080"/>
                  <w:sz w:val="20"/>
                  <w:u w:val="single"/>
                </w:rPr>
                <w:t xml:space="preserve">June </w:t>
              </w:r>
            </w:hyperlink>
            <w:hyperlink w:anchor="ie6d3605bb9774dc79a6bb6e5f2a8eb7e_25">
              <w:r>
                <w:rPr>
                  <w:rStyle w:val="InternetLink"/>
                  <w:rFonts w:ascii="Times New Roman;serif" w:hAnsi="Times New Roman;serif"/>
                  <w:b w:val="false"/>
                  <w:color w:val="000080"/>
                  <w:sz w:val="20"/>
                  <w:u w:val="single"/>
                </w:rPr>
                <w:t>3</w:t>
              </w:r>
            </w:hyperlink>
            <w:hyperlink w:anchor="ie6d3605bb9774dc79a6bb6e5f2a8eb7e_25">
              <w:r>
                <w:rPr>
                  <w:rStyle w:val="InternetLink"/>
                  <w:rFonts w:ascii="Times New Roman;serif" w:hAnsi="Times New Roman;serif"/>
                  <w:b w:val="false"/>
                  <w:color w:val="000080"/>
                  <w:sz w:val="20"/>
                  <w:u w:val="single"/>
                </w:rPr>
                <w:t>0</w:t>
              </w:r>
            </w:hyperlink>
            <w:hyperlink w:anchor="ie6d3605bb9774dc79a6bb6e5f2a8eb7e_25">
              <w:r>
                <w:rPr>
                  <w:rStyle w:val="InternetLink"/>
                  <w:rFonts w:ascii="Times New Roman;serif" w:hAnsi="Times New Roman;serif"/>
                  <w:b w:val="false"/>
                  <w:color w:val="000080"/>
                  <w:sz w:val="20"/>
                  <w:u w:val="single"/>
                </w:rPr>
                <w:t xml:space="preserve">, 2026 and </w:t>
              </w:r>
            </w:hyperlink>
            <w:hyperlink w:anchor="ie6d3605bb9774dc79a6bb6e5f2a8eb7e_25">
              <w:r>
                <w:rPr>
                  <w:rStyle w:val="InternetLink"/>
                  <w:rFonts w:ascii="Times New Roman;serif" w:hAnsi="Times New Roman;serif"/>
                  <w:b w:val="false"/>
                  <w:color w:val="000080"/>
                  <w:sz w:val="20"/>
                  <w:u w:val="single"/>
                </w:rPr>
                <w:t>June</w:t>
              </w:r>
            </w:hyperlink>
            <w:hyperlink w:anchor="ie6d3605bb9774dc79a6bb6e5f2a8eb7e_25">
              <w:r>
                <w:rPr>
                  <w:rStyle w:val="InternetLink"/>
                  <w:rFonts w:ascii="Times New Roman;serif" w:hAnsi="Times New Roman;serif"/>
                  <w:b w:val="false"/>
                  <w:color w:val="000080"/>
                  <w:sz w:val="20"/>
                  <w:u w:val="single"/>
                </w:rPr>
                <w:t xml:space="preserve"> 3</w:t>
              </w:r>
            </w:hyperlink>
            <w:hyperlink w:anchor="ie6d3605bb9774dc79a6bb6e5f2a8eb7e_25">
              <w:r>
                <w:rPr>
                  <w:rStyle w:val="InternetLink"/>
                  <w:rFonts w:ascii="Times New Roman;serif" w:hAnsi="Times New Roman;serif"/>
                  <w:b w:val="false"/>
                  <w:color w:val="000080"/>
                  <w:sz w:val="20"/>
                  <w:u w:val="single"/>
                </w:rPr>
                <w:t>0</w:t>
              </w:r>
            </w:hyperlink>
            <w:hyperlink w:anchor="ie6d3605bb9774dc79a6bb6e5f2a8eb7e_25">
              <w:r>
                <w:rPr>
                  <w:rStyle w:val="InternetLink"/>
                  <w:rFonts w:ascii="Times New Roman;serif" w:hAnsi="Times New Roman;serif"/>
                  <w:b w:val="false"/>
                  <w:color w:val="000080"/>
                  <w:sz w:val="20"/>
                  <w:u w:val="single"/>
                </w:rPr>
                <w:t>, 2025 (unaudited)</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6d3605bb9774dc79a6bb6e5f2a8eb7e_28">
              <w:r>
                <w:rPr>
                  <w:rStyle w:val="InternetLink"/>
                  <w:rFonts w:ascii="Times New Roman;serif" w:hAnsi="Times New Roman;serif"/>
                  <w:b w:val="false"/>
                  <w:color w:val="000080"/>
                  <w:sz w:val="20"/>
                  <w:u w:val="single"/>
                </w:rPr>
                <w:t>Consolidated Statements of Cash Flows for the</w:t>
              </w:r>
            </w:hyperlink>
            <w:hyperlink w:anchor="ie6d3605bb9774dc79a6bb6e5f2a8eb7e_28">
              <w:r>
                <w:rPr>
                  <w:rStyle w:val="InternetLink"/>
                  <w:rFonts w:ascii="Times New Roman;serif" w:hAnsi="Times New Roman;serif"/>
                  <w:b w:val="false"/>
                  <w:color w:val="000080"/>
                  <w:sz w:val="20"/>
                  <w:u w:val="single"/>
                </w:rPr>
                <w:t xml:space="preserve"> six</w:t>
              </w:r>
            </w:hyperlink>
            <w:hyperlink w:anchor="ie6d3605bb9774dc79a6bb6e5f2a8eb7e_28">
              <w:r>
                <w:rPr>
                  <w:rStyle w:val="InternetLink"/>
                  <w:rFonts w:ascii="Times New Roman;serif" w:hAnsi="Times New Roman;serif"/>
                  <w:b w:val="false"/>
                  <w:color w:val="000080"/>
                  <w:sz w:val="20"/>
                  <w:u w:val="single"/>
                </w:rPr>
                <w:t xml:space="preserve"> months ended </w:t>
              </w:r>
            </w:hyperlink>
            <w:hyperlink w:anchor="ie6d3605bb9774dc79a6bb6e5f2a8eb7e_28">
              <w:r>
                <w:rPr>
                  <w:rStyle w:val="InternetLink"/>
                  <w:rFonts w:ascii="Times New Roman;serif" w:hAnsi="Times New Roman;serif"/>
                  <w:b w:val="false"/>
                  <w:color w:val="000080"/>
                  <w:sz w:val="20"/>
                  <w:u w:val="single"/>
                </w:rPr>
                <w:t>June</w:t>
              </w:r>
            </w:hyperlink>
            <w:hyperlink w:anchor="ie6d3605bb9774dc79a6bb6e5f2a8eb7e_28">
              <w:r>
                <w:rPr>
                  <w:rStyle w:val="InternetLink"/>
                  <w:rFonts w:ascii="Times New Roman;serif" w:hAnsi="Times New Roman;serif"/>
                  <w:b w:val="false"/>
                  <w:color w:val="000080"/>
                  <w:sz w:val="20"/>
                  <w:u w:val="single"/>
                </w:rPr>
                <w:t xml:space="preserve"> 3</w:t>
              </w:r>
            </w:hyperlink>
            <w:hyperlink w:anchor="ie6d3605bb9774dc79a6bb6e5f2a8eb7e_28">
              <w:r>
                <w:rPr>
                  <w:rStyle w:val="InternetLink"/>
                  <w:rFonts w:ascii="Times New Roman;serif" w:hAnsi="Times New Roman;serif"/>
                  <w:b w:val="false"/>
                  <w:color w:val="000080"/>
                  <w:sz w:val="20"/>
                  <w:u w:val="single"/>
                </w:rPr>
                <w:t>0</w:t>
              </w:r>
            </w:hyperlink>
            <w:hyperlink w:anchor="ie6d3605bb9774dc79a6bb6e5f2a8eb7e_28">
              <w:r>
                <w:rPr>
                  <w:rStyle w:val="InternetLink"/>
                  <w:rFonts w:ascii="Times New Roman;serif" w:hAnsi="Times New Roman;serif"/>
                  <w:b w:val="false"/>
                  <w:color w:val="000080"/>
                  <w:sz w:val="20"/>
                  <w:u w:val="single"/>
                </w:rPr>
                <w:t xml:space="preserve">, 2026 and </w:t>
              </w:r>
            </w:hyperlink>
            <w:hyperlink w:anchor="ie6d3605bb9774dc79a6bb6e5f2a8eb7e_28">
              <w:r>
                <w:rPr>
                  <w:rStyle w:val="InternetLink"/>
                  <w:rFonts w:ascii="Times New Roman;serif" w:hAnsi="Times New Roman;serif"/>
                  <w:b w:val="false"/>
                  <w:color w:val="000080"/>
                  <w:sz w:val="20"/>
                  <w:u w:val="single"/>
                </w:rPr>
                <w:t>June</w:t>
              </w:r>
            </w:hyperlink>
            <w:hyperlink w:anchor="ie6d3605bb9774dc79a6bb6e5f2a8eb7e_28">
              <w:r>
                <w:rPr>
                  <w:rStyle w:val="InternetLink"/>
                  <w:rFonts w:ascii="Times New Roman;serif" w:hAnsi="Times New Roman;serif"/>
                  <w:b w:val="false"/>
                  <w:color w:val="000080"/>
                  <w:sz w:val="20"/>
                  <w:u w:val="single"/>
                </w:rPr>
                <w:t xml:space="preserve"> 3</w:t>
              </w:r>
            </w:hyperlink>
            <w:hyperlink w:anchor="ie6d3605bb9774dc79a6bb6e5f2a8eb7e_28">
              <w:r>
                <w:rPr>
                  <w:rStyle w:val="InternetLink"/>
                  <w:rFonts w:ascii="Times New Roman;serif" w:hAnsi="Times New Roman;serif"/>
                  <w:b w:val="false"/>
                  <w:color w:val="000080"/>
                  <w:sz w:val="20"/>
                  <w:u w:val="single"/>
                </w:rPr>
                <w:t>0</w:t>
              </w:r>
            </w:hyperlink>
            <w:hyperlink w:anchor="ie6d3605bb9774dc79a6bb6e5f2a8eb7e_28">
              <w:r>
                <w:rPr>
                  <w:rStyle w:val="InternetLink"/>
                  <w:rFonts w:ascii="Times New Roman;serif" w:hAnsi="Times New Roman;serif"/>
                  <w:b w:val="false"/>
                  <w:color w:val="000080"/>
                  <w:sz w:val="20"/>
                  <w:u w:val="single"/>
                </w:rPr>
                <w:t xml:space="preserve">, 2025 (unaudited) </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6d3605bb9774dc79a6bb6e5f2a8eb7e_31">
              <w:r>
                <w:rPr>
                  <w:rStyle w:val="InternetLink"/>
                  <w:rFonts w:ascii="Times New Roman;serif" w:hAnsi="Times New Roman;serif"/>
                  <w:b w:val="false"/>
                  <w:color w:val="0000FF"/>
                  <w:sz w:val="20"/>
                  <w:u w:val="single"/>
                </w:rPr>
                <w:t>Notes to Consolidated Financial Statements (unaudited)</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93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6d3605bb9774dc79a6bb6e5f2a8eb7e_76">
              <w:r>
                <w:rPr>
                  <w:rStyle w:val="InternetLink"/>
                  <w:rFonts w:ascii="Times New Roman;serif" w:hAnsi="Times New Roman;serif"/>
                  <w:b w:val="false"/>
                  <w:color w:val="0000FF"/>
                  <w:sz w:val="20"/>
                  <w:u w:val="single"/>
                </w:rPr>
                <w:t>Management's Discussion and Analysis of Financial Condition and Results of Operations</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93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6d3605bb9774dc79a6bb6e5f2a8eb7e_97">
              <w:r>
                <w:rPr>
                  <w:rStyle w:val="InternetLink"/>
                  <w:rFonts w:ascii="Times New Roman;serif" w:hAnsi="Times New Roman;serif"/>
                  <w:b w:val="false"/>
                  <w:color w:val="0000FF"/>
                  <w:sz w:val="20"/>
                  <w:u w:val="single"/>
                </w:rPr>
                <w:t>Quantitative and Qualitative Disclosures about Market Risk</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93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6d3605bb9774dc79a6bb6e5f2a8eb7e_100">
              <w:r>
                <w:rPr>
                  <w:rStyle w:val="InternetLink"/>
                  <w:rFonts w:ascii="Times New Roman;serif" w:hAnsi="Times New Roman;serif"/>
                  <w:b w:val="false"/>
                  <w:color w:val="0000FF"/>
                  <w:sz w:val="20"/>
                  <w:u w:val="single"/>
                </w:rPr>
                <w:t>Controls and Procedures</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PART II.</w:t>
            </w:r>
          </w:p>
        </w:tc>
        <w:tc>
          <w:tcPr>
            <w:tcW w:w="93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6d3605bb9774dc79a6bb6e5f2a8eb7e_103">
              <w:r>
                <w:rPr>
                  <w:rStyle w:val="InternetLink"/>
                  <w:rFonts w:ascii="Times New Roman;serif" w:hAnsi="Times New Roman;serif"/>
                  <w:b/>
                  <w:color w:val="0000FF"/>
                  <w:sz w:val="20"/>
                  <w:u w:val="single"/>
                </w:rPr>
                <w:t>OTHER INFORMATION</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93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6d3605bb9774dc79a6bb6e5f2a8eb7e_106">
              <w:r>
                <w:rPr>
                  <w:rStyle w:val="InternetLink"/>
                  <w:rFonts w:ascii="Times New Roman;serif" w:hAnsi="Times New Roman;serif"/>
                  <w:b w:val="false"/>
                  <w:color w:val="0000FF"/>
                  <w:sz w:val="20"/>
                  <w:u w:val="single"/>
                </w:rPr>
                <w:t>Legal Proceedings</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1A.</w:t>
            </w:r>
          </w:p>
        </w:tc>
        <w:tc>
          <w:tcPr>
            <w:tcW w:w="93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6d3605bb9774dc79a6bb6e5f2a8eb7e_109">
              <w:r>
                <w:rPr>
                  <w:rStyle w:val="InternetLink"/>
                  <w:rFonts w:ascii="Times New Roman;serif" w:hAnsi="Times New Roman;serif"/>
                  <w:b w:val="false"/>
                  <w:color w:val="0000FF"/>
                  <w:sz w:val="20"/>
                  <w:u w:val="single"/>
                </w:rPr>
                <w:t>Risk Factors</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5.</w:t>
            </w:r>
          </w:p>
        </w:tc>
        <w:tc>
          <w:tcPr>
            <w:tcW w:w="9319" w:type="dxa"/>
            <w:gridSpan w:val="3"/>
            <w:tcBorders/>
            <w:tcMar>
              <w:top w:w="0" w:type="dxa"/>
              <w:left w:w="0" w:type="dxa"/>
              <w:bottom w:w="0" w:type="dxa"/>
              <w:right w:w="0" w:type="dxa"/>
            </w:tcMar>
            <w:vAlign w:val="center"/>
          </w:tcPr>
          <w:p>
            <w:pPr>
              <w:pStyle w:val="TableContents"/>
              <w:bidi w:val="0"/>
              <w:spacing w:lineRule="auto" w:line="240" w:before="180" w:after="283"/>
              <w:jc w:val="left"/>
              <w:rPr/>
            </w:pPr>
            <w:hyperlink w:anchor="ie6d3605bb9774dc79a6bb6e5f2a8eb7e_112">
              <w:r>
                <w:rPr>
                  <w:rStyle w:val="InternetLink"/>
                  <w:rFonts w:ascii="Times New Roman;serif" w:hAnsi="Times New Roman;serif"/>
                  <w:b w:val="false"/>
                  <w:color w:val="0000FF"/>
                  <w:sz w:val="20"/>
                  <w:u w:val="single"/>
                </w:rPr>
                <w:t>Other Information</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6.</w:t>
            </w:r>
          </w:p>
        </w:tc>
        <w:tc>
          <w:tcPr>
            <w:tcW w:w="93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6d3605bb9774dc79a6bb6e5f2a8eb7e_118">
              <w:r>
                <w:rPr>
                  <w:rStyle w:val="InternetLink"/>
                  <w:rFonts w:ascii="Times New Roman;serif" w:hAnsi="Times New Roman;serif"/>
                  <w:b w:val="false"/>
                  <w:color w:val="0000FF"/>
                  <w:sz w:val="20"/>
                  <w:u w:val="single"/>
                </w:rPr>
                <w:t>Exhibits</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6d3605bb9774dc79a6bb6e5f2a8eb7e_121">
              <w:r>
                <w:rPr>
                  <w:rStyle w:val="InternetLink"/>
                  <w:rFonts w:ascii="Times New Roman;serif" w:hAnsi="Times New Roman;serif"/>
                  <w:b w:val="false"/>
                  <w:color w:val="0000FF"/>
                  <w:sz w:val="20"/>
                  <w:u w:val="single"/>
                </w:rPr>
                <w:t>Signatures</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88" w:before="0" w:after="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This report includes forward-looking statements within the meaning of Section 27A of the Securities Act of 1933 and Section 21E of the Securities Exchange Act of 1934. Forward-looking statements include statements that may relate to our plans, objectives, goals, strategies, future events, future revenues or performance, capital expenditures, financing needs and other information that is not historical information. Many of these statements appear, in particular, under the headings "Risk Factors" and "Management's Discussion and Analysis of Financial Condition and Results of Operations" in this Quarterly Report on Form 10-Q. Forward-looking statements can often be identified by the use of terminology such as "subject to", "believe", "anticipate", "plan", "expect", "intend", "estimate", "project", "may", "will", "should", "would", "could", "can", the negatives thereof, variations thereon and similar expressions, or by discussions of strategy.</w:t>
      </w:r>
    </w:p>
    <w:p>
      <w:pPr>
        <w:pStyle w:val="TextBody"/>
        <w:bidi w:val="0"/>
        <w:spacing w:lineRule="auto" w:line="288" w:before="0" w:after="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All forward-looking statements, including, without limitation, our examination of historical operating trends, are based upon our current expectations and various assumptions. We believe there is a reasonable basis for our expectations and beliefs, but they are inherently uncertain. We may not realize our expectations, and our beliefs may not prove correct. Actual results could differ materially from those described or implied by such forward-looking statements. The following uncertainties and factors, among others (including those set forth under "Item 1A. Risk Factors" of our Annual Report on Form 10-K for the fiscal year ended December 31, 2025 and "Part II, Item 1A. Risk Factors" of this Quarterly Report on Form 10-Q), could affect future performance and cause actual results to differ materially from those matters expressed in or implied by forward-looking statements: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our plans to develop and commercialize our product candidates;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the outcomes of our ongoing and planned clinical trials and the timing of those outcomes, including when clinical trials will be initiated or completed, enrollment of trials, and when data will be reported or regulatory filings will be made;</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the timing of and our ability to obtain and maintain regulatory approvals for our product candidates and the labeling for any approved products;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our estimates regarding expenses, future revenue, capital requirements and needs for additional financing;</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our expectations regarding the anticipated benefits of the sale of our CDMO Operations;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our ability to receive research funding and achieve anticipated milestones under our collaborations;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our ability to raise additional capital through the capital markets or through one or more corporate partnerships, equity offerings, debt financings, collaborations, licensing arrangements or asset sales;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our expectations regarding product candidates currently being developed by our collaborators;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the compromise of our or our third parties’ information technology systems and resultant costs, disruptions in our operations or related impact on our reputation;</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our ability to enter into new collaborations or to identify additional products or product candidates with significant commercial potential that are consistent with our commercial objectives;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 xml:space="preserve">the potential benefits and future operation of our existing collaborations; </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the rate and degree of market acceptance and clinical utility of our products;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our commercialization capabilities and strategy;</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significant competition in our industry;</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costs of litigation and the failure to successfully defend lawsuits and other claims against us and our expectations regarding the outcome of any regulatory or legal proceedings;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economic, political and other risks associated with our international operations;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our ability to protect and enforce patents and other intellectual property;</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costs of compliance and our failure to comply with new and existing governmental regulations including, but not limited to, tax regulations;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loss or retirement of key members of management;</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failure to successfully execute our growth strategy, including any delays in our planned future growth;</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our failure to maintain effective internal controls; and</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the impact of legislative and regulatory developments, public health crises, geopolitical tensions or other macroeconomic factors on our business, operations, clinical programs, manufacturing, financial results and other aspects of our business.</w:t>
      </w:r>
    </w:p>
    <w:p>
      <w:pPr>
        <w:pStyle w:val="TextBody"/>
        <w:bidi w:val="0"/>
        <w:spacing w:lineRule="auto" w:line="288" w:before="0" w:after="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Consequently, forward-looking statements speak only as of the date that they are made and should be regarded solely as our current plans, estimates and beliefs. You should not place undue reliance on forward-looking statements. We cannot guarantee future results, events, levels of activity, performance or achievements. Except as required by law, we do not undertake and specifically decline any obligation to update, republish or revise forward-looking statements to reflect future events or circumstances or to reflect the occurrences of unanticipated events.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MACROGENICS,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790"/>
        <w:gridCol w:w="2309"/>
        <w:gridCol w:w="2297"/>
        <w:gridCol w:w="207"/>
        <w:gridCol w:w="782"/>
        <w:gridCol w:w="115"/>
        <w:gridCol w:w="109"/>
        <w:gridCol w:w="109"/>
        <w:gridCol w:w="109"/>
        <w:gridCol w:w="247"/>
        <w:gridCol w:w="931"/>
        <w:gridCol w:w="200"/>
      </w:tblGrid>
      <w:tr>
        <w:trPr/>
        <w:tc>
          <w:tcPr>
            <w:tcW w:w="2790" w:type="dxa"/>
            <w:tcBorders/>
            <w:vAlign w:val="center"/>
          </w:tcPr>
          <w:p>
            <w:pPr>
              <w:pStyle w:val="TableContents"/>
              <w:bidi w:val="0"/>
              <w:spacing w:before="0" w:after="283"/>
              <w:jc w:val="left"/>
              <w:rPr>
                <w:sz w:val="4"/>
                <w:szCs w:val="4"/>
              </w:rPr>
            </w:pPr>
            <w:r>
              <w:rPr>
                <w:sz w:val="4"/>
                <w:szCs w:val="4"/>
              </w:rPr>
            </w:r>
          </w:p>
        </w:tc>
        <w:tc>
          <w:tcPr>
            <w:tcW w:w="2309" w:type="dxa"/>
            <w:tcBorders/>
            <w:vAlign w:val="center"/>
          </w:tcPr>
          <w:p>
            <w:pPr>
              <w:pStyle w:val="TableContents"/>
              <w:bidi w:val="0"/>
              <w:spacing w:before="0" w:after="283"/>
              <w:jc w:val="left"/>
              <w:rPr>
                <w:sz w:val="4"/>
                <w:szCs w:val="4"/>
              </w:rPr>
            </w:pPr>
            <w:r>
              <w:rPr>
                <w:sz w:val="4"/>
                <w:szCs w:val="4"/>
              </w:rPr>
            </w:r>
          </w:p>
        </w:tc>
        <w:tc>
          <w:tcPr>
            <w:tcW w:w="229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7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7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1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11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2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113,907 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57,217 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Marketable securities</w:t>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59,398 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132,696 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24,597 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427 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6"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8" w:type="dxa"/>
            <w:gridSpan w:val="3"/>
            <w:tcBorders/>
            <w:vAlign w:val="center"/>
          </w:tcPr>
          <w:p>
            <w:pPr>
              <w:pStyle w:val="TableContents"/>
              <w:bidi w:val="0"/>
              <w:spacing w:before="0" w:after="283"/>
              <w:jc w:val="left"/>
              <w:rPr>
                <w:sz w:val="4"/>
                <w:szCs w:val="4"/>
              </w:rPr>
            </w:pPr>
            <w:r>
              <w:rPr>
                <w:sz w:val="4"/>
                <w:szCs w:val="4"/>
              </w:rPr>
            </w:r>
          </w:p>
        </w:tc>
      </w:tr>
      <w:tr>
        <w:trPr/>
        <w:tc>
          <w:tcPr>
            <w:tcW w:w="7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receivable</w:t>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119,576 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4,209 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7,224 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6"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8" w:type="dxa"/>
            <w:gridSpan w:val="3"/>
            <w:tcBorders/>
            <w:vAlign w:val="center"/>
          </w:tcPr>
          <w:p>
            <w:pPr>
              <w:pStyle w:val="TableContents"/>
              <w:bidi w:val="0"/>
              <w:spacing w:before="0" w:after="283"/>
              <w:jc w:val="left"/>
              <w:rPr>
                <w:sz w:val="4"/>
                <w:szCs w:val="4"/>
              </w:rPr>
            </w:pPr>
            <w:r>
              <w:rPr>
                <w:sz w:val="4"/>
                <w:szCs w:val="4"/>
              </w:rPr>
            </w:r>
          </w:p>
        </w:tc>
      </w:tr>
      <w:tr>
        <w:trPr/>
        <w:tc>
          <w:tcPr>
            <w:tcW w:w="7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 associated with discontinued operations (Note 11)</w:t>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22,377 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98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321,687 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219,941 </w:t>
            </w:r>
          </w:p>
        </w:tc>
        <w:tc>
          <w:tcPr>
            <w:tcW w:w="20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equipment and software, net</w:t>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2,103 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w:t>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21,140 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21,780 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 current assets</w:t>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non current assets associated with discontinued operations (Note 11)</w:t>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12,815 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20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345,409 </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256,846 </w:t>
            </w:r>
          </w:p>
        </w:tc>
        <w:tc>
          <w:tcPr>
            <w:tcW w:w="20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 and stockholders' equity</w:t>
            </w:r>
          </w:p>
        </w:tc>
        <w:tc>
          <w:tcPr>
            <w:tcW w:w="11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11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3,258 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 and other current liabilities</w:t>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29,902 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22,061 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revenue</w:t>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55,503 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1,276 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 liabilities</w:t>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4,976 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4,905 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Liability related to future royalties</w:t>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14,992 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 associated with discontinued operations (Note 11)</w:t>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11,615 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98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108,815 </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43,115 </w:t>
            </w:r>
          </w:p>
        </w:tc>
        <w:tc>
          <w:tcPr>
            <w:tcW w:w="20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Liability related to future royalties, net of current portion</w:t>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163,155 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70,000 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revenue, net of current portion</w:t>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55,503 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 liabilities, net of current portion</w:t>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30,116 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30,601 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 current liabilities</w:t>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1,052 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non current liabilities associated with discontinued operations (Note 11)</w:t>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984 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98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302,536 </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201,255 </w:t>
            </w:r>
          </w:p>
        </w:tc>
        <w:tc>
          <w:tcPr>
            <w:tcW w:w="20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Stockholders' equity:</w:t>
            </w:r>
          </w:p>
        </w:tc>
        <w:tc>
          <w:tcPr>
            <w:tcW w:w="11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Common stock, $0.01 par value -- 125,000,000 shares authorized, 63,645,711 and 63,318,613 shares outstanding at June 30, 2026 and December 31, 2025, respectively</w:t>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633 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1,303,848 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1,299,264 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Accumulated other comprehensive income (loss) </w:t>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deficit</w:t>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(1,261,597)</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(1,244,338)</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stockholders' equity</w:t>
            </w:r>
          </w:p>
        </w:tc>
        <w:tc>
          <w:tcPr>
            <w:tcW w:w="98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42,873 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55,591 </w:t>
            </w:r>
          </w:p>
        </w:tc>
        <w:tc>
          <w:tcPr>
            <w:tcW w:w="20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and stockholders' equity</w:t>
            </w:r>
          </w:p>
        </w:tc>
        <w:tc>
          <w:tcPr>
            <w:tcW w:w="20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345,409 </w:t>
            </w:r>
          </w:p>
        </w:tc>
        <w:tc>
          <w:tcPr>
            <w:tcW w:w="11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256,846 </w:t>
            </w:r>
          </w:p>
        </w:tc>
        <w:tc>
          <w:tcPr>
            <w:tcW w:w="20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See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MACROGENICS,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OPERATIONS AND COMPREHENSIVE INCOME (LOSS)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p>
      <w:pPr>
        <w:pStyle w:val="TextBody"/>
        <w:bidi w:val="0"/>
        <w:spacing w:before="0" w:after="0"/>
        <w:jc w:val="center"/>
        <w:rPr/>
      </w:pPr>
      <w:r>
        <w:rPr/>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599"/>
        <w:gridCol w:w="1387"/>
        <w:gridCol w:w="1405"/>
        <w:gridCol w:w="244"/>
        <w:gridCol w:w="837"/>
        <w:gridCol w:w="114"/>
        <w:gridCol w:w="114"/>
        <w:gridCol w:w="114"/>
        <w:gridCol w:w="114"/>
        <w:gridCol w:w="240"/>
        <w:gridCol w:w="841"/>
        <w:gridCol w:w="114"/>
        <w:gridCol w:w="109"/>
        <w:gridCol w:w="109"/>
        <w:gridCol w:w="109"/>
        <w:gridCol w:w="240"/>
        <w:gridCol w:w="841"/>
        <w:gridCol w:w="109"/>
        <w:gridCol w:w="109"/>
        <w:gridCol w:w="109"/>
        <w:gridCol w:w="109"/>
        <w:gridCol w:w="240"/>
        <w:gridCol w:w="841"/>
        <w:gridCol w:w="157"/>
      </w:tblGrid>
      <w:tr>
        <w:trPr/>
        <w:tc>
          <w:tcPr>
            <w:tcW w:w="1599"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11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Collaborative and other agreements</w:t>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25,488 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12,157 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1"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r>
      <w:tr>
        <w:trPr/>
        <w:tc>
          <w:tcPr>
            <w:tcW w:w="4391"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r>
      <w:tr>
        <w:trPr/>
        <w:tc>
          <w:tcPr>
            <w:tcW w:w="4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Royalty revenue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1"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r>
      <w:tr>
        <w:trPr/>
        <w:tc>
          <w:tcPr>
            <w:tcW w:w="4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32,832 </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6,869 </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39,553 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13,911 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and expenses:</w:t>
            </w:r>
          </w:p>
        </w:tc>
        <w:tc>
          <w:tcPr>
            <w:tcW w:w="11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1"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r>
      <w:tr>
        <w:trPr/>
        <w:tc>
          <w:tcPr>
            <w:tcW w:w="4391"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r>
      <w:tr>
        <w:trPr/>
        <w:tc>
          <w:tcPr>
            <w:tcW w:w="4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38,780 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40,791 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80,489 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9,302 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20,020 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46,684 </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50,093 </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91,368 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100,509 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(13,852)</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(43,224)</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(51,815)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(86,598)</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1"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r>
      <w:tr>
        <w:trPr/>
        <w:tc>
          <w:tcPr>
            <w:tcW w:w="4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extinguishment of royalty monetization liability</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(52,762)</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other income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other expense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(4,396)</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(894)</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taxes</w:t>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(69,642)</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(42,612)</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(110,940)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(84,399)</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from continuing operations</w:t>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(69,642)</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(42,717)</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(110,940)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(84,504)</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from discontinued operations, net of taxes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89,157 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93,681 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19,515 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(36,251)</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(17,259)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(77,287)</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11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(loss) on investments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 (loss)</w:t>
            </w:r>
          </w:p>
        </w:tc>
        <w:tc>
          <w:tcPr>
            <w:tcW w:w="24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19,527 </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(36,257)</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(17,306)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(77,299)</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per common share - basic</w:t>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from continuing operations</w:t>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(0.67)</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from discontinued operations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per share - basic</w:t>
            </w:r>
          </w:p>
        </w:tc>
        <w:tc>
          <w:tcPr>
            <w:tcW w:w="2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0.31 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(0.57)</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per common share - diluted</w:t>
            </w:r>
          </w:p>
        </w:tc>
        <w:tc>
          <w:tcPr>
            <w:tcW w:w="11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from continuing operations</w:t>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(0.67)</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from discontinued operations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per share - diluted</w:t>
            </w:r>
          </w:p>
        </w:tc>
        <w:tc>
          <w:tcPr>
            <w:tcW w:w="2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0.31 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(0.57)</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w:t>
            </w:r>
          </w:p>
        </w:tc>
        <w:tc>
          <w:tcPr>
            <w:tcW w:w="1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and diluted</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63,594,453 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63,136,057 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63,522,516 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63,051,207 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1"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r>
      <w:tr>
        <w:trPr/>
        <w:tc>
          <w:tcPr>
            <w:tcW w:w="4391"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r>
      <w:tr>
        <w:trPr/>
        <w:tc>
          <w:tcPr>
            <w:tcW w:w="4391"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See notes to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MACROGENICS,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STOCKHOLDERS'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amounts)</w:t>
      </w:r>
    </w:p>
    <w:p>
      <w:pPr>
        <w:pStyle w:val="TextBody"/>
        <w:bidi w:val="0"/>
        <w:spacing w:before="0" w:after="0"/>
        <w:jc w:val="center"/>
        <w:rPr/>
      </w:pPr>
      <w:r>
        <w:rPr/>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762"/>
        <w:gridCol w:w="332"/>
        <w:gridCol w:w="333"/>
        <w:gridCol w:w="540"/>
        <w:gridCol w:w="541"/>
        <w:gridCol w:w="196"/>
        <w:gridCol w:w="109"/>
        <w:gridCol w:w="109"/>
        <w:gridCol w:w="109"/>
        <w:gridCol w:w="211"/>
        <w:gridCol w:w="466"/>
        <w:gridCol w:w="109"/>
        <w:gridCol w:w="109"/>
        <w:gridCol w:w="109"/>
        <w:gridCol w:w="109"/>
        <w:gridCol w:w="211"/>
        <w:gridCol w:w="976"/>
        <w:gridCol w:w="109"/>
        <w:gridCol w:w="109"/>
        <w:gridCol w:w="109"/>
        <w:gridCol w:w="109"/>
        <w:gridCol w:w="211"/>
        <w:gridCol w:w="998"/>
        <w:gridCol w:w="109"/>
        <w:gridCol w:w="109"/>
        <w:gridCol w:w="109"/>
        <w:gridCol w:w="109"/>
        <w:gridCol w:w="405"/>
        <w:gridCol w:w="722"/>
        <w:gridCol w:w="211"/>
        <w:gridCol w:w="109"/>
        <w:gridCol w:w="109"/>
        <w:gridCol w:w="109"/>
        <w:gridCol w:w="218"/>
        <w:gridCol w:w="747"/>
        <w:gridCol w:w="163"/>
      </w:tblGrid>
      <w:tr>
        <w:trPr/>
        <w:tc>
          <w:tcPr>
            <w:tcW w:w="76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4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Stockholders'</w:t>
              <w:br/>
              <w:t>Equity</w:t>
            </w:r>
          </w:p>
        </w:tc>
      </w:tr>
      <w:tr>
        <w:trPr/>
        <w:tc>
          <w:tcPr>
            <w:tcW w:w="14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4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December 31, 2025</w:t>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63,318,613 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1,299,264 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(1,244,338)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55,591 </w:t>
            </w:r>
          </w:p>
        </w:tc>
        <w:tc>
          <w:tcPr>
            <w:tcW w:w="1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r>
      <w:tr>
        <w:trPr/>
        <w:tc>
          <w:tcPr>
            <w:tcW w:w="14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plan related activity</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241,455 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 on investments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(36,774)</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March 31, 2026</w:t>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63,560,068 </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1,301,701 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(1,281,112)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21,198 </w:t>
            </w:r>
          </w:p>
        </w:tc>
        <w:tc>
          <w:tcPr>
            <w:tcW w:w="16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1,974 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r>
      <w:tr>
        <w:trPr/>
        <w:tc>
          <w:tcPr>
            <w:tcW w:w="14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plan related activity</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85,643 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on investments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19,515 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June 30, 2026</w:t>
            </w:r>
          </w:p>
        </w:tc>
        <w:tc>
          <w:tcPr>
            <w:tcW w:w="108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63,645,711 </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1,303,848 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(1,261,597)</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42,873 </w:t>
            </w:r>
          </w:p>
        </w:tc>
        <w:tc>
          <w:tcPr>
            <w:tcW w:w="16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4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r>
      <w:tr>
        <w:trPr/>
        <w:tc>
          <w:tcPr>
            <w:tcW w:w="14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r>
      <w:tr>
        <w:trPr/>
        <w:tc>
          <w:tcPr>
            <w:tcW w:w="14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r>
      <w:tr>
        <w:trPr/>
        <w:tc>
          <w:tcPr>
            <w:tcW w:w="14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r>
      <w:tr>
        <w:trPr/>
        <w:tc>
          <w:tcPr>
            <w:tcW w:w="14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r>
      <w:tr>
        <w:trPr/>
        <w:tc>
          <w:tcPr>
            <w:tcW w:w="14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776"/>
        <w:gridCol w:w="323"/>
        <w:gridCol w:w="324"/>
        <w:gridCol w:w="540"/>
        <w:gridCol w:w="541"/>
        <w:gridCol w:w="196"/>
        <w:gridCol w:w="109"/>
        <w:gridCol w:w="109"/>
        <w:gridCol w:w="109"/>
        <w:gridCol w:w="211"/>
        <w:gridCol w:w="466"/>
        <w:gridCol w:w="109"/>
        <w:gridCol w:w="109"/>
        <w:gridCol w:w="109"/>
        <w:gridCol w:w="109"/>
        <w:gridCol w:w="211"/>
        <w:gridCol w:w="976"/>
        <w:gridCol w:w="109"/>
        <w:gridCol w:w="109"/>
        <w:gridCol w:w="109"/>
        <w:gridCol w:w="109"/>
        <w:gridCol w:w="211"/>
        <w:gridCol w:w="994"/>
        <w:gridCol w:w="109"/>
        <w:gridCol w:w="109"/>
        <w:gridCol w:w="109"/>
        <w:gridCol w:w="109"/>
        <w:gridCol w:w="456"/>
        <w:gridCol w:w="586"/>
        <w:gridCol w:w="236"/>
        <w:gridCol w:w="109"/>
        <w:gridCol w:w="109"/>
        <w:gridCol w:w="109"/>
        <w:gridCol w:w="211"/>
        <w:gridCol w:w="826"/>
        <w:gridCol w:w="159"/>
      </w:tblGrid>
      <w:tr>
        <w:trPr/>
        <w:tc>
          <w:tcPr>
            <w:tcW w:w="77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Accumulated</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Other</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Stockholders'</w:t>
              <w:br/>
              <w:t>Equity</w:t>
            </w:r>
          </w:p>
        </w:tc>
      </w:tr>
      <w:tr>
        <w:trPr/>
        <w:tc>
          <w:tcPr>
            <w:tcW w:w="1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December 31, 2024</w:t>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62,819,857 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1,285,143 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(1,169,718)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116,057 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3"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1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plan related activity</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270,466 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 on investments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(41,036)</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March 31, 2025</w:t>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63,090,323 </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1,289,243 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(1,210,754)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3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79,119 </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net of offering costs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plan related activity</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115,380 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 on investments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(36,251)</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June 30, 2025</w:t>
            </w:r>
          </w:p>
        </w:tc>
        <w:tc>
          <w:tcPr>
            <w:tcW w:w="108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63,205,703 </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1,292,998 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(1,247,005)</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2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46,618 </w:t>
            </w:r>
          </w:p>
        </w:tc>
        <w:tc>
          <w:tcPr>
            <w:tcW w:w="15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423"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1423"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1423"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1423"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1423"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1423"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See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MACROGENICS,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tbl>
      <w:tblPr>
        <w:tblW w:w="8693" w:type="dxa"/>
        <w:jc w:val="center"/>
        <w:tblInd w:w="0" w:type="dxa"/>
        <w:tblLayout w:type="fixed"/>
        <w:tblCellMar>
          <w:top w:w="28" w:type="dxa"/>
          <w:left w:w="28" w:type="dxa"/>
          <w:bottom w:w="28" w:type="dxa"/>
          <w:right w:w="28" w:type="dxa"/>
        </w:tblCellMar>
      </w:tblPr>
      <w:tblGrid>
        <w:gridCol w:w="2179"/>
        <w:gridCol w:w="1918"/>
        <w:gridCol w:w="1932"/>
        <w:gridCol w:w="211"/>
        <w:gridCol w:w="826"/>
        <w:gridCol w:w="109"/>
        <w:gridCol w:w="109"/>
        <w:gridCol w:w="109"/>
        <w:gridCol w:w="109"/>
        <w:gridCol w:w="211"/>
        <w:gridCol w:w="826"/>
        <w:gridCol w:w="154"/>
      </w:tblGrid>
      <w:tr>
        <w:trPr/>
        <w:tc>
          <w:tcPr>
            <w:tcW w:w="2179" w:type="dxa"/>
            <w:tcBorders/>
            <w:vAlign w:val="center"/>
          </w:tcPr>
          <w:p>
            <w:pPr>
              <w:pStyle w:val="TableContents"/>
              <w:bidi w:val="0"/>
              <w:spacing w:before="0" w:after="283"/>
              <w:jc w:val="left"/>
              <w:rPr>
                <w:sz w:val="4"/>
                <w:szCs w:val="4"/>
              </w:rPr>
            </w:pPr>
            <w:r>
              <w:rPr>
                <w:sz w:val="4"/>
                <w:szCs w:val="4"/>
              </w:rPr>
            </w:r>
          </w:p>
        </w:tc>
        <w:tc>
          <w:tcPr>
            <w:tcW w:w="1918" w:type="dxa"/>
            <w:tcBorders/>
            <w:vAlign w:val="center"/>
          </w:tcPr>
          <w:p>
            <w:pPr>
              <w:pStyle w:val="TableContents"/>
              <w:bidi w:val="0"/>
              <w:spacing w:before="0" w:after="283"/>
              <w:jc w:val="left"/>
              <w:rPr>
                <w:sz w:val="4"/>
                <w:szCs w:val="4"/>
              </w:rPr>
            </w:pPr>
            <w:r>
              <w:rPr>
                <w:sz w:val="4"/>
                <w:szCs w:val="4"/>
              </w:rPr>
            </w:r>
          </w:p>
        </w:tc>
        <w:tc>
          <w:tcPr>
            <w:tcW w:w="19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6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(77,287)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loss to net cash used in operating activities: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premiums and discounts on marketable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loss on extinguishment of royalty monetization liability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royalty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interest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lease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CDMO operations before transaction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(94,842)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disposal of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(9,275)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 current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 current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(76,559)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(93,875)</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marketable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(53,428)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maturities of marketable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equipment and software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investing activities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73,283 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(27,736)</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stock option exercises and ESPP purchases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Taxes paid related to net share settlement of equity awards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proceeds from sale of future royalties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59,966 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69,457 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cash and cash equivalents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56,690 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(52,154)</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beginning of period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182,840 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end of period</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113,907 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130,686 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cash flow disclosures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Cash paid for income taxes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Non-cash operating and investing activities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Property and equipment included in accounts payable or accruals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See notes to consolidated financial statements.</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MACROGENICS, INC.</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NOTES TO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1. Nature of Operations</w:t>
      </w:r>
    </w:p>
    <w:p>
      <w:pPr>
        <w:pStyle w:val="TextBody"/>
        <w:bidi w:val="0"/>
        <w:spacing w:lineRule="auto" w:line="288" w:before="180" w:after="180"/>
        <w:jc w:val="left"/>
        <w:rPr>
          <w:rFonts w:ascii="Times New Roman;serif" w:hAnsi="Times New Roman;serif"/>
          <w:b/>
          <w:i/>
          <w:color w:val="000000"/>
          <w:sz w:val="20"/>
        </w:rPr>
      </w:pPr>
      <w:r>
        <w:rPr>
          <w:rFonts w:ascii="Times New Roman;serif" w:hAnsi="Times New Roman;serif"/>
          <w:b/>
          <w:i/>
          <w:color w:val="000000"/>
          <w:sz w:val="20"/>
        </w:rPr>
        <w:t>Description of the business</w:t>
      </w:r>
    </w:p>
    <w:p>
      <w:pPr>
        <w:pStyle w:val="TextBody"/>
        <w:bidi w:val="0"/>
        <w:spacing w:lineRule="auto" w:line="288" w:before="0" w:after="120"/>
        <w:ind w:left="0" w:right="0" w:firstLine="720"/>
        <w:jc w:val="left"/>
        <w:rPr/>
      </w:pPr>
      <w:r>
        <w:rPr>
          <w:rFonts w:ascii="Times New Roman;serif" w:hAnsi="Times New Roman;serif"/>
          <w:b w:val="false"/>
          <w:color w:val="000000"/>
          <w:sz w:val="20"/>
        </w:rPr>
        <w:t>MacroGenics, Inc. (the Company) is incorporated in the state of Delaware. The Company is a biopharmaceutical company focused on developing innovative antibody-based therapeutics for the treatment of cancer. The Company generates its pipeline of product candidates from its proprietary suite of antibody technology platforms. The Company is currently developing therapeutics utilizing multiple modalities, including antibody-drug conjugates (ADCs) and multi-specific antibodies (which are referred to as DART</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and TRIDENT</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molecules). The combination of the Company’s technology platforms and antibody engineering expertise has allowed the Company to generate promising product candidates – three of which have received marketing approval by the U.S. Food and Drug Administration (FDA) – and to enter into several strategic collaborations with global biopharmaceutical companies. These collaborations have enabled the Company to leverage the additional expertise of its collaborators to advance the development of multiple partnered product candidates. The Company operated a commercial-scale cGMP antibody manufacturing facility in its Maryland headquarters to support its clinical programs and to provide outsourced contract development and manufacturing services to its collaborators and other third parties for commercial and clinical products until June 30, 2026, on which date the Company completed its sale of certain assets and liabilities related to its contract development and manufacturing operations (CDMO Operations). The historical results of the CDMO Operations are reflected as discontinued operations in the Company's consolidated financial statements for all periods presented. See Note 11, Discontinued Operations, for additional information regarding the sale of the assets and liabilities related to the Company's CDMO Operations.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is currently advancing multiple proprietary product candidates. These include three clinical-stage ADCs incorporating a novel topoisomerase I inhibitor (TOP1i)-based linker-payload: MGC026, which targets B7-H3; MGC028, which targets ADAM9; and MGC030, which is directed against an undisclosed target. The Company is also developing lorigerlimab, a clinical-stage bispecific DART molecule targeting the immune checkpoint receptors PD-1 and CTLA-4. In addition, the Company is developing multiple preclinical-stage ADC and next-generation T-cell engager programs.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The Company and its partners are developing or commercializing product candidates for which the Company retains certain economic rights. These include three products approved by the FDA: ZYNYZ</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(retifanlimab-dlwr), an anti-PD-1 monoclonal antibody (mAb) that the Company out-licensed; MARGENZA</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(margetuximab-cmkb), an anti-HER2 mAb that the Company sold to a partner; and TZIELD</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(teplizumab-mzwv), an anti-CD3 mAb that the Company sold to a partner. The Company is also collaborating with Gilead Sciences, Inc. (Gilead) on the development of MGD024, a bispecific DART antibody targeting CD123 and CD3 that utilizes its next-generation T-cell engager technology, as well as two additional undisclosed pre-clinical development programs.</w:t>
      </w:r>
    </w:p>
    <w:p>
      <w:pPr>
        <w:pStyle w:val="TextBody"/>
        <w:bidi w:val="0"/>
        <w:spacing w:before="0" w:after="0"/>
        <w:jc w:val="left"/>
        <w:rPr/>
      </w:pPr>
      <w:r>
        <w:rPr/>
      </w:r>
    </w:p>
    <w:p>
      <w:pPr>
        <w:pStyle w:val="TextBody"/>
        <w:bidi w:val="0"/>
        <w:spacing w:lineRule="auto" w:line="288" w:before="100" w:after="180"/>
        <w:jc w:val="left"/>
        <w:rPr>
          <w:rFonts w:ascii="Times New Roman;serif" w:hAnsi="Times New Roman;serif"/>
          <w:b/>
          <w:i/>
          <w:color w:val="000000"/>
          <w:sz w:val="20"/>
        </w:rPr>
      </w:pPr>
      <w:r>
        <w:rPr>
          <w:rFonts w:ascii="Times New Roman;serif" w:hAnsi="Times New Roman;serif"/>
          <w:b/>
          <w:i/>
          <w:color w:val="000000"/>
          <w:sz w:val="20"/>
        </w:rPr>
        <w:t>Liquidity</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Company’s multiple product candidates currently under development will require significant additional research and development efforts that include extensive preclinical studies and clinical testing, and regulatory approval prior to commercial use.</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future success of the Company is dependent on its ability to identify and develop its product candidates, and ultimately upon its ability to attain profitable operations. The Company has devoted substantially all of its financial resources and efforts to research and development and general and administrative expense to support such research and development. Net losses and negative cash flows have had, and will continue to have, an adverse effect on the Company’s stockholders’ equity and working capital, and accordingly, its ability to execute its future operating plans.</w:t>
      </w:r>
    </w:p>
    <w:p>
      <w:pPr>
        <w:pStyle w:val="TextBody"/>
        <w:bidi w:val="0"/>
        <w:spacing w:lineRule="auto" w:line="288" w:before="0" w:after="180"/>
        <w:ind w:left="0" w:right="0" w:firstLine="720"/>
        <w:jc w:val="left"/>
        <w:rPr/>
      </w:pPr>
      <w:r>
        <w:rPr>
          <w:rFonts w:ascii="Times New Roman;serif" w:hAnsi="Times New Roman;serif"/>
          <w:b w:val="false"/>
          <w:color w:val="000000"/>
          <w:sz w:val="20"/>
        </w:rPr>
        <w:t>As a biotechnology company, the Company has primarily funded its operations with proceeds from the sale of its common stock in equity offerings and revenue from its multiple collaboration agreements.</w:t>
      </w:r>
      <w:r>
        <w:rPr>
          <w:color w:val="000000"/>
        </w:rPr>
        <w:t xml:space="preserve"> </w:t>
      </w:r>
      <w:r>
        <w:rPr>
          <w:rFonts w:ascii="Times New Roman;serif" w:hAnsi="Times New Roman;serif"/>
          <w:b w:val="false"/>
          <w:color w:val="000000"/>
          <w:sz w:val="20"/>
        </w:rPr>
        <w:t xml:space="preserve">Management regularly reviews the Company’s available liquidity relative to its operating budget and forecast to monitor the sufficiency of the Company’s working capital. The Company plans to meet its future operating requirements by generating revenue from current and future strategic collaborations or other arrangements and royalties. The Company anticipates continuing to draw upon available sources of capital, including equity and debt instruments, to support its product development activities. If the Company is unable to enter into new arrangements or to perform under current or future agreements or obtain additional capital, the Company will assess its capital resources and may be required to delay, reduce the scope of, or eliminate one or more of its product research and development programs or clinical studies, reduce other operating expenses, and/or downsize its organization. Based on the Company’s most recent cash flow forecast, the Company believes its current resources are sufficient to fund its operating plans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for a minimum of twelve months from the date that this Quarterly Report on Form 10-Q was filed. The Company has implemented, and will continue to evaluate and execute, various cost-saving measures that are intended to extend its financial runway while continuing to progress its pipeline.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Other risk factors pertinent to the Company's business, including significant equity market volatility and availability of funding in the biotechnology sector, as well as potential issues in the global economy, credit markets and financial markets as a result of significant worldwide events, including inflation, fluctuating interest rates and geopolitical upheaval, might unfavorably impact the Company's ability to generate such additional funding. Given the uncertainty in the rapidly changing market and economic conditions related to these uncertainties, the Company will continue to evaluate the nature and extent of the impact of these uncertainties on its business and financial position.</w:t>
      </w:r>
    </w:p>
    <w:p>
      <w:pPr>
        <w:pStyle w:val="TextBody"/>
        <w:bidi w:val="0"/>
        <w:spacing w:lineRule="auto" w:line="288" w:before="180" w:after="180"/>
        <w:jc w:val="left"/>
        <w:rPr>
          <w:rFonts w:ascii="Times New Roman;serif" w:hAnsi="Times New Roman;serif"/>
          <w:b/>
          <w:i/>
          <w:color w:val="000000"/>
          <w:sz w:val="20"/>
        </w:rPr>
      </w:pPr>
      <w:r>
        <w:rPr>
          <w:rFonts w:ascii="Times New Roman;serif" w:hAnsi="Times New Roman;serif"/>
          <w:b/>
          <w:i/>
          <w:color w:val="000000"/>
          <w:sz w:val="20"/>
        </w:rPr>
        <w:t>Basis of Presentation</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accompanying unaudited interim consolidated financial statements of the Company have been prepared in accordance with U.S. generally accepted accounting principles (GAAP) for interim financial information. The financial statements include all adjustments (consisting only of normal recurring adjustments) that the management of the Company believes are necessary for a fair presentation of the periods presented. These interim financial results are not necessarily indicative of results expected for the full fiscal year or for any subsequent interim period.</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May 11, 2026, the Company entered into an Asset Purchase Agreement with Bora Pharmaceuticals Co., Ltd. and Bora Biologics USA, LLC (collectively, Bora) to sell certain assets and liabilities comprising its contract development and manufacturing operations (CDMO Operations) (the Bora Agreement). Prior-period amounts have been reclassified to reflect the presentation of the CDMO Operations as discontinued operations. See Note 11, Discontinued Operations, for additional information regarding the sale of the assets and liabilities related to the Company's CDMO Operations.</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accompanying unaudited interim consolidated financial statements include the accounts of MacroGenics, Inc. and its wholly owned subsidiaries, MacroGenics UK Limited and MacroGenics Limited. All intercompany accounts and transactions have been eliminated in consolidation. These consolidated financial statements and related notes should be read in conjunction with the financial statements and notes thereto included in the Company's Annual Report on Form 10-K for the fiscal year ended December 31, 2025, filed with the Securities and Exchange Commission (SEC) on March 9, 2026.</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Reclassification</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Royalty revenue of approximately $1.3 million and $1.8 million for the three and six months ended June 30, 2025, respectively, was reclassified from Collaborative and other agreements to Royalty revenue on the consolidated statement of operations and comprehensive income (loss) to conform to the current period presentation.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2. Summary of Significant Accounting Policies</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there were no material changes to the significant accounting policies previously disclosed in the Company’s Annual Report on Form 10-K for the fiscal year ended December 31, 2025 with the exception of the change to the Company's significant accounting policies noted below.</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Discontinued Operations</w:t>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On June 30, 2026, the Company completed the sale of its contract development and manufacturing organization operations to Bora. In accordance with ASC 205-20, </w:t>
      </w:r>
      <w:r>
        <w:rPr>
          <w:rFonts w:ascii="Times New Roman;serif" w:hAnsi="Times New Roman;serif"/>
          <w:b w:val="false"/>
          <w:i/>
          <w:color w:val="000000"/>
          <w:sz w:val="20"/>
        </w:rPr>
        <w:t>Presentation of Financial Statements - Discontinued Operations</w:t>
      </w:r>
      <w:r>
        <w:rPr>
          <w:rFonts w:ascii="Times New Roman;serif" w:hAnsi="Times New Roman;serif"/>
          <w:b w:val="false"/>
          <w:color w:val="000000"/>
          <w:sz w:val="20"/>
        </w:rPr>
        <w:t>, a component of an entity that has been disposed of, or is classified as held for sale, is reported in discontinued operations if the disposal represents a strategic shift that has, or will have, a major effect on the entity's operations and financial results. The Company evaluated the quantitative and qualitative factors relevant to the divestiture of the CDMO Operations, including the significance of the CDMO Operations to its consolidated revenues, net income (loss), and total assets, and determined that the disposal represented such a strategic shift and met the criteria for presentation as discontinued operations.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Accordingly, the results of operations of the CDMO Operations are reported as discontinued operations, and the related assets and liabilities are classified as assets and liabilities of discontinued operations, in the accompanying consolidated financial statements for all periods presented. Prior period amounts have been recast to conform to this presentation. Discontinued operations comprise the contract manufacturing revenue and cost of manufacturing services historically attributable to the CDMO Operations, together with the gain recognized on the disposal. Amounts historically presented as shared or corporate costs that are expected to continue subsequent to the disposal have not been allocated to discontinued operations and remain in continuing operations. Assets and liabilities classified as held for sale are measured at the lower of their carrying amount or fair value less costs to sell, and depreciation and amortization of long-lived assets within the disposal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group ceased upon classification as held for sale. Unless otherwise noted, amounts in the notes to the consolidated financial statements relate to continuing operations.</w:t>
      </w:r>
    </w:p>
    <w:p>
      <w:pPr>
        <w:pStyle w:val="TextBody"/>
        <w:bidi w:val="0"/>
        <w:spacing w:before="0" w:after="0"/>
        <w:ind w:left="0" w:right="0" w:firstLine="720"/>
        <w:jc w:val="left"/>
        <w:rPr/>
      </w:pPr>
      <w:r>
        <w:rPr/>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Recent Accounting Pronouncements</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Recent Accounting Pronouncements Not Yet Adopted</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In November 2024, the Financial Accounting Standards Board (FASB) issued Accounting Standards Update (ASU) No. 2024-03, </w:t>
      </w:r>
      <w:r>
        <w:rPr>
          <w:rFonts w:ascii="Times New Roman;serif" w:hAnsi="Times New Roman;serif"/>
          <w:b w:val="false"/>
          <w:i/>
          <w:color w:val="000000"/>
          <w:sz w:val="20"/>
        </w:rPr>
        <w:t>Disaggregation of Income Statement Expense</w:t>
      </w:r>
      <w:r>
        <w:rPr>
          <w:rFonts w:ascii="Times New Roman;serif" w:hAnsi="Times New Roman;serif"/>
          <w:b w:val="false"/>
          <w:color w:val="000000"/>
          <w:sz w:val="20"/>
        </w:rPr>
        <w:t>. The standard requires further disaggregation of relevant expense captions in a separate note to the financial statements. The standard is effective for fiscal years beginning after December 15, 2026 and interim periods within fiscal years beginning after December 15, 2027. Early adoption is permitted. The Company is currently assessing the impact of adopting this guidance on its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3. Fair Value of Financial Instruments</w:t>
      </w:r>
    </w:p>
    <w:p>
      <w:pPr>
        <w:pStyle w:val="TextBody"/>
        <w:bidi w:val="0"/>
        <w:spacing w:lineRule="auto" w:line="288" w:before="0" w:after="180"/>
        <w:ind w:left="0" w:right="0" w:firstLine="720"/>
        <w:jc w:val="left"/>
        <w:rPr/>
      </w:pPr>
      <w:r>
        <w:rPr>
          <w:rFonts w:ascii="Times New Roman;serif" w:hAnsi="Times New Roman;serif"/>
          <w:b w:val="false"/>
          <w:color w:val="252525"/>
          <w:sz w:val="20"/>
        </w:rPr>
        <w:t xml:space="preserve">The Company's financial instruments consist of cash and cash equivalents, marketable securities, accounts receivable, accounts payable, accrued expenses and the liability related to future royalties. The carrying amount of accounts receivable, accounts payable and accrued expenses are generally considered to be representative of their respective fair values because of their short-term nature. The liability related to future royalties was recognized at fair value upon extinguishment of the Company's prior debt obligation and is subsequently measured at amortized cost using the effective interest method see </w:t>
      </w:r>
      <w:r>
        <w:rPr>
          <w:rFonts w:ascii="Times New Roman;serif" w:hAnsi="Times New Roman;serif"/>
          <w:b w:val="false"/>
          <w:color w:val="000000"/>
          <w:sz w:val="20"/>
        </w:rPr>
        <w:t>Note 5. Royalty Monetization Arrangement for additional information</w:t>
      </w:r>
      <w:r>
        <w:rPr>
          <w:rFonts w:ascii="Times New Roman;serif" w:hAnsi="Times New Roman;serif"/>
          <w:b w:val="false"/>
          <w:color w:val="252525"/>
          <w:sz w:val="20"/>
        </w:rPr>
        <w:t>. </w:t>
      </w:r>
      <w:r>
        <w:rPr>
          <w:rFonts w:ascii="Times New Roman;serif" w:hAnsi="Times New Roman;serif"/>
          <w:b w:val="false"/>
          <w:color w:val="000000"/>
          <w:sz w:val="20"/>
        </w:rPr>
        <w:t xml:space="preserve">The Company accounts for recurring and non-recurring fair value measurements in accordance with FASB ASC Topic 820, </w:t>
      </w:r>
      <w:r>
        <w:rPr>
          <w:rFonts w:ascii="Times New Roman;serif" w:hAnsi="Times New Roman;serif"/>
          <w:b w:val="false"/>
          <w:i/>
          <w:color w:val="000000"/>
          <w:sz w:val="20"/>
        </w:rPr>
        <w:t>Fair Value Measurements and Disclosures</w:t>
      </w:r>
      <w:r>
        <w:rPr>
          <w:color w:val="000000"/>
        </w:rPr>
        <w:t xml:space="preserve"> </w:t>
      </w:r>
      <w:r>
        <w:rPr>
          <w:rFonts w:ascii="Times New Roman;serif" w:hAnsi="Times New Roman;serif"/>
          <w:b w:val="false"/>
          <w:color w:val="000000"/>
          <w:sz w:val="20"/>
        </w:rPr>
        <w:t>(ASC 820). ASC 820 defines fair value, establishes a fair value hierarchy for assets and liabilities measured at fair value, and requires expanded disclosures about fair value measurements. The ASC 820 hierarchy ranks the quality of reliability of inputs, or assumptions, used in the determination of fair value and requires assets and liabilities carried at fair value to be classified and disclosed in one of the following three categories: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Level 1 - Fair value is determined by using unadjusted quoted prices that are available in active markets for identical assets and liabilities.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Level 2 - Fair value is determined by using inputs other than Level 1 quoted prices that are directly or indirectly observable. Inputs can include quoted prices for similar assets and liabilities in active markets or quoted prices for identical assets and liabilities in inactive markets. Related inputs can also include those used in valuation or other pricing models, such as interest rates and yield curves that can be corroborated by observable market data.</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Level 3 - Fair value is determined by inputs that are unobservable and not corroborated by market data. Use of these inputs involves significant and subjective judgments to be made by a reporting entity - e.g., determining an appropriate adjustment to a discount factor for illiquidity associated with a given security.</w:t>
      </w:r>
    </w:p>
    <w:p>
      <w:pPr>
        <w:pStyle w:val="TextBody"/>
        <w:bidi w:val="0"/>
        <w:spacing w:lineRule="auto" w:line="288" w:before="0" w:after="60"/>
        <w:ind w:left="0" w:right="0" w:firstLine="720"/>
        <w:jc w:val="left"/>
        <w:rPr/>
      </w:pPr>
      <w:r>
        <w:rPr>
          <w:rFonts w:ascii="Times New Roman;serif" w:hAnsi="Times New Roman;serif"/>
          <w:b w:val="false"/>
          <w:color w:val="000000"/>
          <w:sz w:val="20"/>
        </w:rPr>
        <w:t xml:space="preserve">The Company evaluates financial assets and liabilities subject to fair value measurements on a recurring basis to determine the appropriate level at which to classify them each reporting period. This determination requires the Company to make subjective judgments as to the significance of inputs used in determining fair value and where such inputs lie within the ASC 820 hierarchy. </w:t>
      </w:r>
      <w:r>
        <w:rPr>
          <w:rFonts w:ascii="Times New Roman;serif" w:hAnsi="Times New Roman;serif"/>
          <w:b w:val="false"/>
          <w:color w:val="252525"/>
          <w:sz w:val="20"/>
        </w:rPr>
        <w:t xml:space="preserve">There were no transfers between levels during the periods presented.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300" w:after="3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Financial assets measured at fair value on a recurring basis were as follows (in thousands):</w:t>
      </w:r>
    </w:p>
    <w:tbl>
      <w:tblPr>
        <w:tblW w:w="6957" w:type="dxa"/>
        <w:jc w:val="left"/>
        <w:tblInd w:w="0" w:type="dxa"/>
        <w:tblLayout w:type="fixed"/>
        <w:tblCellMar>
          <w:top w:w="28" w:type="dxa"/>
          <w:left w:w="28" w:type="dxa"/>
          <w:bottom w:w="28" w:type="dxa"/>
          <w:right w:w="28" w:type="dxa"/>
        </w:tblCellMar>
      </w:tblPr>
      <w:tblGrid>
        <w:gridCol w:w="1318"/>
        <w:gridCol w:w="850"/>
        <w:gridCol w:w="862"/>
        <w:gridCol w:w="211"/>
        <w:gridCol w:w="826"/>
        <w:gridCol w:w="109"/>
        <w:gridCol w:w="109"/>
        <w:gridCol w:w="109"/>
        <w:gridCol w:w="109"/>
        <w:gridCol w:w="211"/>
        <w:gridCol w:w="721"/>
        <w:gridCol w:w="109"/>
        <w:gridCol w:w="109"/>
        <w:gridCol w:w="109"/>
        <w:gridCol w:w="109"/>
        <w:gridCol w:w="211"/>
        <w:gridCol w:w="721"/>
        <w:gridCol w:w="154"/>
      </w:tblGrid>
      <w:tr>
        <w:trPr/>
        <w:tc>
          <w:tcPr>
            <w:tcW w:w="1318"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 Measurements at June 30, 2026</w:t>
            </w:r>
          </w:p>
        </w:tc>
      </w:tr>
      <w:tr>
        <w:trPr/>
        <w:tc>
          <w:tcPr>
            <w:tcW w:w="3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2</w:t>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Government-sponsored enterprises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Total assets measured at fair value</w:t>
            </w:r>
            <w:r>
              <w:rPr>
                <w:rFonts w:ascii="Times New Roman;serif" w:hAnsi="Times New Roman;serif"/>
                <w:b w:val="false"/>
                <w:color w:val="000000"/>
                <w:sz w:val="13"/>
              </w:rPr>
              <w:t>(a)</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108,637 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35,795 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72,842 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248" w:type="dxa"/>
        <w:jc w:val="left"/>
        <w:tblInd w:w="0" w:type="dxa"/>
        <w:tblLayout w:type="fixed"/>
        <w:tblCellMar>
          <w:top w:w="28" w:type="dxa"/>
          <w:left w:w="28" w:type="dxa"/>
          <w:bottom w:w="28" w:type="dxa"/>
          <w:right w:w="28" w:type="dxa"/>
        </w:tblCellMar>
      </w:tblPr>
      <w:tblGrid>
        <w:gridCol w:w="1324"/>
        <w:gridCol w:w="854"/>
        <w:gridCol w:w="866"/>
        <w:gridCol w:w="220"/>
        <w:gridCol w:w="863"/>
        <w:gridCol w:w="113"/>
        <w:gridCol w:w="113"/>
        <w:gridCol w:w="113"/>
        <w:gridCol w:w="113"/>
        <w:gridCol w:w="220"/>
        <w:gridCol w:w="753"/>
        <w:gridCol w:w="113"/>
        <w:gridCol w:w="113"/>
        <w:gridCol w:w="113"/>
        <w:gridCol w:w="113"/>
        <w:gridCol w:w="220"/>
        <w:gridCol w:w="863"/>
        <w:gridCol w:w="161"/>
      </w:tblGrid>
      <w:tr>
        <w:trPr/>
        <w:tc>
          <w:tcPr>
            <w:tcW w:w="1324"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 Measurements at December 31, 2025</w:t>
            </w:r>
          </w:p>
        </w:tc>
      </w:tr>
      <w:tr>
        <w:trPr/>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2</w:t>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11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11,466 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11,466 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Government-sponsored enterprises</w:t>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53,950 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53,950 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81,300 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81,300 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Total assets measured at fair value</w:t>
            </w:r>
            <w:r>
              <w:rPr>
                <w:rFonts w:ascii="Times New Roman;serif" w:hAnsi="Times New Roman;serif"/>
                <w:b w:val="false"/>
                <w:color w:val="000000"/>
                <w:sz w:val="13"/>
              </w:rPr>
              <w:t>(b)</w:t>
            </w:r>
          </w:p>
        </w:tc>
        <w:tc>
          <w:tcPr>
            <w:tcW w:w="22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151,655 </w:t>
            </w:r>
          </w:p>
        </w:tc>
        <w:tc>
          <w:tcPr>
            <w:tcW w:w="1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11,466 </w:t>
            </w:r>
          </w:p>
        </w:tc>
        <w:tc>
          <w:tcPr>
            <w:tcW w:w="1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140,189 </w:t>
            </w:r>
          </w:p>
        </w:tc>
        <w:tc>
          <w:tcPr>
            <w:tcW w:w="1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8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(a) Total assets measured at fair value at June 30, 2026 includes approximately $49.2 million reported in cash and cash equivalents on the consolidated balance sheet.</w:t>
      </w:r>
    </w:p>
    <w:p>
      <w:pPr>
        <w:pStyle w:val="TextBody"/>
        <w:bidi w:val="0"/>
        <w:spacing w:lineRule="auto" w:line="288" w:before="240" w:after="18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(b) Total assets measured at fair value at December 31, 2025 includes approximately $19.0 million reported in cash and cash equivalents on the consolidated balance sheet.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4. Marketable Securities</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tables summarize the Company's marketable securities (in thousands):</w:t>
      </w:r>
    </w:p>
    <w:tbl>
      <w:tblPr>
        <w:tblW w:w="9195" w:type="dxa"/>
        <w:jc w:val="left"/>
        <w:tblInd w:w="0" w:type="dxa"/>
        <w:tblLayout w:type="fixed"/>
        <w:tblCellMar>
          <w:top w:w="28" w:type="dxa"/>
          <w:left w:w="28" w:type="dxa"/>
          <w:bottom w:w="28" w:type="dxa"/>
          <w:right w:w="28" w:type="dxa"/>
        </w:tblCellMar>
      </w:tblPr>
      <w:tblGrid>
        <w:gridCol w:w="1059"/>
        <w:gridCol w:w="931"/>
        <w:gridCol w:w="935"/>
        <w:gridCol w:w="211"/>
        <w:gridCol w:w="721"/>
        <w:gridCol w:w="109"/>
        <w:gridCol w:w="109"/>
        <w:gridCol w:w="109"/>
        <w:gridCol w:w="109"/>
        <w:gridCol w:w="301"/>
        <w:gridCol w:w="579"/>
        <w:gridCol w:w="156"/>
        <w:gridCol w:w="109"/>
        <w:gridCol w:w="109"/>
        <w:gridCol w:w="109"/>
        <w:gridCol w:w="314"/>
        <w:gridCol w:w="559"/>
        <w:gridCol w:w="163"/>
        <w:gridCol w:w="109"/>
        <w:gridCol w:w="109"/>
        <w:gridCol w:w="109"/>
        <w:gridCol w:w="211"/>
        <w:gridCol w:w="721"/>
        <w:gridCol w:w="109"/>
        <w:gridCol w:w="109"/>
        <w:gridCol w:w="109"/>
        <w:gridCol w:w="109"/>
        <w:gridCol w:w="109"/>
        <w:gridCol w:w="109"/>
        <w:gridCol w:w="109"/>
        <w:gridCol w:w="109"/>
        <w:gridCol w:w="109"/>
        <w:gridCol w:w="109"/>
        <w:gridCol w:w="154"/>
      </w:tblGrid>
      <w:tr>
        <w:trPr/>
        <w:tc>
          <w:tcPr>
            <w:tcW w:w="105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Gross</w:t>
              <w:br/>
              <w:t>Unrealized</w:t>
              <w:b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Gross</w:t>
              <w:br/>
              <w:t>Unrealized</w:t>
              <w:br/>
              <w:t>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w:t>
              <w:br/>
              <w:t>Value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12,860 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12,857 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Government-sponsored enterprises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59,413 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6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59,398 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8315" w:type="dxa"/>
        <w:jc w:val="left"/>
        <w:tblInd w:w="0" w:type="dxa"/>
        <w:tblLayout w:type="fixed"/>
        <w:tblCellMar>
          <w:top w:w="28" w:type="dxa"/>
          <w:left w:w="28" w:type="dxa"/>
          <w:bottom w:w="28" w:type="dxa"/>
          <w:right w:w="28" w:type="dxa"/>
        </w:tblCellMar>
      </w:tblPr>
      <w:tblGrid>
        <w:gridCol w:w="1059"/>
        <w:gridCol w:w="931"/>
        <w:gridCol w:w="935"/>
        <w:gridCol w:w="211"/>
        <w:gridCol w:w="826"/>
        <w:gridCol w:w="109"/>
        <w:gridCol w:w="109"/>
        <w:gridCol w:w="109"/>
        <w:gridCol w:w="109"/>
        <w:gridCol w:w="320"/>
        <w:gridCol w:w="549"/>
        <w:gridCol w:w="167"/>
        <w:gridCol w:w="109"/>
        <w:gridCol w:w="109"/>
        <w:gridCol w:w="109"/>
        <w:gridCol w:w="301"/>
        <w:gridCol w:w="579"/>
        <w:gridCol w:w="156"/>
        <w:gridCol w:w="109"/>
        <w:gridCol w:w="109"/>
        <w:gridCol w:w="109"/>
        <w:gridCol w:w="211"/>
        <w:gridCol w:w="826"/>
        <w:gridCol w:w="154"/>
      </w:tblGrid>
      <w:tr>
        <w:trPr/>
        <w:tc>
          <w:tcPr>
            <w:tcW w:w="105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Gross</w:t>
              <w:br/>
              <w:t>Unrealized</w:t>
              <w:b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Gross</w:t>
              <w:br/>
              <w:t>Unrealized</w:t>
              <w:br/>
              <w:t>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w:t>
              <w:br/>
              <w:t>Value</w:t>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6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Government-sponsored enterprises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132,663 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6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132,696 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All of the Company's available-for-sale securities held as of June 30, 2026 and December 31, 2025 had contractual maturities of less than one year. All of the Company's available-for-sale securities in an unrealized loss position as of June 30, 2026 were in a loss position for less than twelve months. Unrealized losses on available-for-sale debt securities as of June 30, 2026 were not significant and were primarily due to changes in interest rates, including market credit spreads, and not due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increased credit risks associated with specific securities. Accordingly, no allowance for credit losses related to the Company's available-for-sale debt securities was recorded. The Company does not intend to sell its investments and it is not more likely than not that the Company will be required to sell its investments before recovery of their amortized cost bases, which may be at maturity.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5. Royalty Monetization Arrangement</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June 2025, the Company and an entity affiliated with Sagard Healthcare Partners (Sagard) entered into a Purchase and Sale Agreement (Royalty Purchase Agreement) pursuant to which the Company sold to Sagard its right to receive royalties on global net sales of ZYNYZ (retifanlimab-dlwr) occurring on and after July 1, 2025 under the Company’s Global Collaboration and License Agreement, dated as of October 24, 2017, as amended (Incyte License Agreement), with Incyte Corporation (Incyte).</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exchange, the Company received a cash payment of $70.0 million, and Sagard acquired the royalties payable to the Company for global net sales of ZYNYZ until Sagard’s receipt of aggregate royalty payments totaling $140.0 million (Threshold Amount), after which the Company would resume collecting all future royalties under the Incyte License Agreement. The Company accounted for the Royalty Purchase Agreement as a liability related to future royalties (a financing arrangement) because the Company has significant continuing involvement in the generation of the cash flows due to Sagard and other existing obligations under the Incyte License Agreement.</w:t>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Effective May 1, 2026, the Company and Sagard entered into a First Amendment to the Royalty Purchase Agreement (the Amendment). Under the Amendment, Sagard paid the Company $60.0 million, increasing the aggregate purchase price under the arrangement to $130.0 million. The Amendment also increased and re-defined the Threshold Amount, from a fixed $140.0 million to an amount equal to 1.70 times the aggregate purchase price for periods on or prior to September 30, 2032, or 2.0 times the aggregate purchase price thereafter (Amended Threshold Amount). In addition, the Amendment provides for a one-time milestone payment of up to $20.0 million payable by Sagard to the Company contingent upon ZYNYZ achieving specified calendar year 2026 net sales thresholds under the Incyte License Agreement. Any milestone payment, if paid, is deemed part of the aggregate purchase price and correspondingly increases the Amended Threshold Amount. All other terms of the Royalty Purchase Agreement remained in effect. The Company concluded that the milestone feature is not required to be bifurcated from the host liability and accounted for separately as an embedded derivative because an instrument with the same terms as the milestone feature would not, on a standalone basis, meet the definition of a derivative instrument under ASC 815.</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The Company evaluated the Amendment under ASC 470-50, </w:t>
      </w:r>
      <w:r>
        <w:rPr>
          <w:rFonts w:ascii="Times New Roman;serif" w:hAnsi="Times New Roman;serif"/>
          <w:b w:val="false"/>
          <w:i/>
          <w:color w:val="000000"/>
          <w:sz w:val="20"/>
        </w:rPr>
        <w:t>Debt (Modifications and Extinguishments)</w:t>
      </w:r>
      <w:r>
        <w:rPr>
          <w:rFonts w:ascii="Times New Roman;serif" w:hAnsi="Times New Roman;serif"/>
          <w:b w:val="false"/>
          <w:color w:val="000000"/>
          <w:sz w:val="20"/>
        </w:rPr>
        <w:t>, and determined that the present value of the future cash flows under the amended terms was substantially different from the present value of the remaining cash flows under the original terms. Accordingly, the Amendment was accounted for as an extinguishment of the original liability. The Company derecognized the original liability, which had a net carrying amount of $68.2 million at the amendment date, and recognized a new liability at its estimated fair value of $181.0 million. After giving effect to the $60.0 million of additional proceeds received, the Company recognized a loss on extinguishment of $52.8 million, which is reflected in Loss on extinguishment of royalty monetization liability in the consolidated statements of operations and comprehensive income (loss) for the three and six months ended June 30, 2026.</w:t>
      </w:r>
    </w:p>
    <w:p>
      <w:pPr>
        <w:pStyle w:val="TextBody"/>
        <w:bidi w:val="0"/>
        <w:spacing w:before="0" w:after="0"/>
        <w:jc w:val="both"/>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fair value of the new liability was determined based on the Company’s estimates of the future royalties expected to be paid to Sagard over the life of the arrangement, using forecasted net sales of ZYNYZ derived from market data sources and a risk-adjusted discount rate, which are considered Level 3 inputs within the fair value hierarchy. The new liability is amortized over the estimated life of the arrangement using the effective interest rate method. As of June 30, 2026, the estimated effective interest rate under the amended arrangement was approximately 7.40%, reflecting the recognition of the new liability at fair value. Royalty payments made by Incyte to Sagard are recorded as a reduction of the liability when earned, and the difference between the aggregate future estimated payments and the initial fair value of the new liability is recognized as non-cash interest expense over the estimated life of the arrangement. The Company estimates the payments to be made to Sagard based on forecasted royalties and, on a quarterly basis, reassesses the effective interest rate and adjusts it prospectively as necessary. The Company recognized non-cash interest expense of $4.0 million and $8.9 million during the three and six months ended June 30, 2026, respectively, which is reflected in interest and other expense in the consolidated statements of operations and comprehensive income (loss).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Changes to the liability related to future royalties were as follows for the six months ended June 30, 2026 and 2025 (in thousands):</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7588" w:type="dxa"/>
        <w:jc w:val="left"/>
        <w:tblInd w:w="0" w:type="dxa"/>
        <w:tblLayout w:type="fixed"/>
        <w:tblCellMar>
          <w:top w:w="28" w:type="dxa"/>
          <w:left w:w="28" w:type="dxa"/>
          <w:bottom w:w="28" w:type="dxa"/>
          <w:right w:w="28" w:type="dxa"/>
        </w:tblCellMar>
      </w:tblPr>
      <w:tblGrid>
        <w:gridCol w:w="1782"/>
        <w:gridCol w:w="1564"/>
        <w:gridCol w:w="1574"/>
        <w:gridCol w:w="211"/>
        <w:gridCol w:w="826"/>
        <w:gridCol w:w="109"/>
        <w:gridCol w:w="109"/>
        <w:gridCol w:w="109"/>
        <w:gridCol w:w="109"/>
        <w:gridCol w:w="211"/>
        <w:gridCol w:w="721"/>
        <w:gridCol w:w="109"/>
        <w:gridCol w:w="154"/>
      </w:tblGrid>
      <w:tr>
        <w:trPr/>
        <w:tc>
          <w:tcPr>
            <w:tcW w:w="1782"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15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Liability related to future royalties - beginning balance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 of future royalties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Derecognition of original liability upon extinguishment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liability recognized at fair value upon extinguishment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transaction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Non-cash royalty revenue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interest expense recognized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Liability related to future royalties - ending balance</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178,147 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70,260 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Liability related to future royalties - current portion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Liability related to future royalties, net of current portion</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163,155 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70,260 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 xml:space="preserve">6. Revenue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Collaborative and Other Agreements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Incyte Corporation</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Incyte License Agreement</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2017, the Company entered into an exclusive global collaboration and license agreement with Incyte, which was amended in March 2018, April 2022, July 2022 and July 2024, for retifanlimab, an investigational monoclonal antibody that inhibits PD-1 (Incyte License Agreement). Incyte has obtained exclusive worldwide rights for the development and commercialization of retifanlimab in all indications, while the Company retains the right to develop its pipeline assets in combination with retifanlimab. Under the terms of the Incyte License Agreement, Incyte paid the Company an upfront payment of $150.0 million in 2017. The Company manufactured a portion of Incyte’s global commercial supply of retifanlimab until June 30, 2026 when it sold its CDMO Operations to Bora; see Note 11, Discontinued Operations, for additional information. In March 2023, the FDA approved Incyte's Biologics License Application (BLA) for ZYNYZ (retifanlimab-dlwr) for the treatment of adults with metastatic or recurrent locally advanced Merkel cell carcinoma. In May 2025, the FDA approved ZYNYZ with carboplatin and paclitaxel for the first-line treatment of adults with inoperable locally recurrent or metastatic squamous cell carcinoma of the anal canal (SCAC), and as a single agent, for adults with locally recurrent or metastatic SCAC with disease progression on or intolerance to platinum-based chemotherapy. In December 2025, Japan's Ministry of Health, Labour and Welfare approved ZYNYZ as first-line therapy for adults with locally recurrent or metastatic SCAC. In March 2026, Incyte announced that the European Commission approved ZYNYZ in combination with carboplatin and paclitaxel for the first-line treatment of adult patients with metastatic or inoperable locally recurrent SCAC. Furthermore, Incyte has stated it is pursuing development of retifanlimab in potentially registration-enabling studies, including in patients with non-small cell lung cancer. Incyte is also pursuing development of retifanlimab in combination with select product candidates from its pipeline. </w:t>
      </w:r>
    </w:p>
    <w:p>
      <w:pPr>
        <w:pStyle w:val="TextBody"/>
        <w:bidi w:val="0"/>
        <w:spacing w:before="0" w:after="0"/>
        <w:ind w:left="0" w:right="0" w:firstLine="720"/>
        <w:jc w:val="left"/>
        <w:rPr/>
      </w:pPr>
      <w:r>
        <w:rPr/>
      </w:r>
    </w:p>
    <w:p>
      <w:pPr>
        <w:pStyle w:val="TextBody"/>
        <w:bidi w:val="0"/>
        <w:spacing w:lineRule="auto" w:line="288" w:before="0" w:after="180"/>
        <w:ind w:left="0" w:right="0" w:firstLine="720"/>
        <w:jc w:val="left"/>
        <w:rPr/>
      </w:pPr>
      <w:r>
        <w:rPr>
          <w:rFonts w:ascii="Times New Roman;serif" w:hAnsi="Times New Roman;serif"/>
          <w:b w:val="false"/>
          <w:color w:val="000000"/>
          <w:sz w:val="20"/>
        </w:rPr>
        <w:t xml:space="preserve">Under the terms of the Incyte License Agreement, as amended, Incyte leads global development of retifanlimab. From the inception of the Incyte License Agreement through </w:t>
      </w:r>
      <w:r>
        <w:rPr>
          <w:rFonts w:ascii="Times New Roman;serif" w:hAnsi="Times New Roman;serif"/>
          <w:b w:val="false"/>
          <w:color w:val="252525"/>
          <w:sz w:val="20"/>
        </w:rPr>
        <w:t>June 30, 2026</w:t>
      </w:r>
      <w:r>
        <w:rPr>
          <w:rFonts w:ascii="Times New Roman;serif" w:hAnsi="Times New Roman;serif"/>
          <w:b w:val="false"/>
          <w:color w:val="000000"/>
          <w:sz w:val="20"/>
        </w:rPr>
        <w:t xml:space="preserve">, the Company has recognized $215.0 million for certain development and regulatory milestones under the Incyte License Agreement. Assuming successful development and commercialization by Incyte in multiple indications, the Company is eligible to receive up to an additional $210.0 million in development and regulatory milestones and up to $330.0 million in commercial milestones. The Company was also eligible to receive tiered royalties of 15% to 24% on global net sales, but sold this right to Sagard in June 2025 as described more fully in Note 5. Royalty Monetization Arrangement. The Company retains the right to develop its pipeline assets in combination with retifanlimab, with Incyte commercializing retifanlimab and the Company commercializing its asset(s), if any such potential combinations are approved. </w:t>
      </w:r>
    </w:p>
    <w:p>
      <w:pPr>
        <w:pStyle w:val="TextBody"/>
        <w:bidi w:val="0"/>
        <w:spacing w:lineRule="auto" w:line="288" w:before="0" w:after="180"/>
        <w:ind w:left="0" w:right="0" w:firstLine="720"/>
        <w:jc w:val="left"/>
        <w:rPr/>
      </w:pPr>
      <w:r>
        <w:rPr>
          <w:rFonts w:ascii="Times New Roman;serif" w:hAnsi="Times New Roman;serif"/>
          <w:b w:val="false"/>
          <w:color w:val="000000"/>
          <w:sz w:val="20"/>
        </w:rPr>
        <w:t xml:space="preserve">The Company evaluated the Incyte License Agreement under the provisions of ASC Topic 606, </w:t>
      </w:r>
      <w:r>
        <w:rPr>
          <w:rFonts w:ascii="Times New Roman;serif" w:hAnsi="Times New Roman;serif"/>
          <w:b w:val="false"/>
          <w:i/>
          <w:color w:val="000000"/>
          <w:sz w:val="20"/>
        </w:rPr>
        <w:t>Revenue from Contracts with Customers</w:t>
      </w:r>
      <w:r>
        <w:rPr>
          <w:color w:val="000000"/>
        </w:rPr>
        <w:t xml:space="preserve"> </w:t>
      </w:r>
      <w:r>
        <w:rPr>
          <w:rFonts w:ascii="Times New Roman;serif" w:hAnsi="Times New Roman;serif"/>
          <w:b w:val="false"/>
          <w:color w:val="000000"/>
          <w:sz w:val="20"/>
        </w:rPr>
        <w:t xml:space="preserve">(ASC 606) at inception and identified the following two performance obligations under the agreement: (i) the license of retifanlimab and (ii) the performance of certain clinical activities through a brief technology transfer period. The Company determined that the license and clinical activities are separate performance obligations because they are capable of being distinct and are distinct in the context of the contract. The license has standalone functionality as it is sublicensable, Incyte has significant capabilities in performing clinical trials, and Incyte is capable of performing these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80"/>
        <w:jc w:val="left"/>
        <w:rPr/>
      </w:pPr>
      <w:r>
        <w:rPr>
          <w:rFonts w:ascii="Times New Roman;serif" w:hAnsi="Times New Roman;serif"/>
          <w:b w:val="false"/>
          <w:color w:val="000000"/>
          <w:sz w:val="20"/>
        </w:rPr>
        <w:t xml:space="preserve">activities without the Company's involvement; the Company performed the activities during the transfer period as a matter of convenience. The Company determined that the transaction price of the Incyte License Agreement at inception was $154.0 million, consisting of the consideration to which the Company was entitled in exchange for the license and an estimate of the consideration for clinical activities to be performed. The transaction price was allocated to each performance obligation based on their relative standalone selling price. The standalone selling price of the license was determined using the adjusted market assessment approach considering similar collaboration and license agreements. The standalone selling price for the agreed-upon clinical activities to be performed was determined using the expected cost approach based on similar arrangements the Company has with other parties. The potential development and regulatory milestone payments are fully constrained until the Company concludes that achievement of the milestone is probable, and that recognition of revenue related to the milestone will not result in a significant reversal in amounts recognized in future periods, and as such have been excluded from the transaction price. Any consideration related to sales-based milestones and royalties will be recognized when the related sales occur, as they were determined to relate predominantly to the license granted to Incyte and, therefore, have also been excluded from the transaction price. The Company re-assesses the transaction price in each reporting period and when events whose outcomes are resolved or other changes in circumstances occur. In July 2024, the Company and Incyte executed Amendment No. 4 to the Incyte License Agreement pursuant to which certain development milestones were deemed to have been met. The Company evaluated the amendment as a contract modification under the provisions of ASC 606 which resulted in $100.0 million of revenue being recognized in 2024. From 2018 through </w:t>
      </w:r>
      <w:r>
        <w:rPr>
          <w:rFonts w:ascii="Times New Roman;serif" w:hAnsi="Times New Roman;serif"/>
          <w:b w:val="false"/>
          <w:color w:val="252525"/>
          <w:sz w:val="20"/>
        </w:rPr>
        <w:t>June 30, 2026</w:t>
      </w:r>
      <w:r>
        <w:rPr>
          <w:rFonts w:ascii="Times New Roman;serif" w:hAnsi="Times New Roman;serif"/>
          <w:b w:val="false"/>
          <w:color w:val="000000"/>
          <w:sz w:val="20"/>
        </w:rPr>
        <w:t xml:space="preserve">, it became probable that a significant reversal of cumulative revenue would not occur for development milestones totaling $215.0 million related to </w:t>
      </w:r>
      <w:r>
        <w:rPr>
          <w:rFonts w:ascii="Times New Roman;serif" w:hAnsi="Times New Roman;serif"/>
          <w:b w:val="false"/>
          <w:color w:val="252525"/>
          <w:sz w:val="20"/>
        </w:rPr>
        <w:t>clinical and regulatory activities related to the further advancement of retifanlimab</w:t>
      </w:r>
      <w:r>
        <w:rPr>
          <w:rFonts w:ascii="Times New Roman;serif" w:hAnsi="Times New Roman;serif"/>
          <w:b w:val="false"/>
          <w:color w:val="000000"/>
          <w:sz w:val="20"/>
        </w:rPr>
        <w:t>. Therefore, the associated consideration was added to the estimated transaction price and was recognized as revenue</w:t>
      </w:r>
      <w:r>
        <w:rPr>
          <w:rFonts w:ascii="Times New Roman;serif" w:hAnsi="Times New Roman;serif"/>
          <w:b w:val="false"/>
          <w:color w:val="252525"/>
          <w:sz w:val="24"/>
        </w:rPr>
        <w:t xml:space="preserve">. </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recognized the $150.0 million allocated to the license when it satisfied its performance obligation and transferred the license to Incyte in 2017. The $4.0 million allocated to the clinical activities was recognized ratably as services were performed during 2017 and 2018. The Company recognized $7.3 million and $1.3 million in royalty revenue under the Incyte License Agreement during the three months ended June 30, 2026 and 2025 respectively. The Company recognized $13.5 million and $1.8 million in royalty revenue under the Incyte License Agreement during the six months ended June 30, 2026 and 2025, respectively.</w:t>
      </w:r>
    </w:p>
    <w:p>
      <w:pPr>
        <w:pStyle w:val="TextBody"/>
        <w:bidi w:val="0"/>
        <w:spacing w:lineRule="auto" w:line="288" w:before="180" w:after="180"/>
        <w:jc w:val="left"/>
        <w:rPr>
          <w:rFonts w:ascii="Times New Roman;serif" w:hAnsi="Times New Roman;serif"/>
          <w:b w:val="false"/>
          <w:i/>
          <w:color w:val="000000"/>
          <w:sz w:val="20"/>
        </w:rPr>
      </w:pPr>
      <w:r>
        <w:rPr>
          <w:rFonts w:ascii="Times New Roman;serif" w:hAnsi="Times New Roman;serif"/>
          <w:b w:val="false"/>
          <w:i/>
          <w:color w:val="000000"/>
          <w:sz w:val="20"/>
        </w:rPr>
        <w:t>Incyte Commercial Supply Agreement</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2020, the Company entered into an agreement with Incyte pursuant to which the Company was entitled to manufacture a portion of the global commercial supply needs for retifanlimab (Incyte Commercial Supply Agreement). Unless terminated earlier, the term of the Incyte Commercial Supply Agreement will expire upon the expiration of Incyte’s obligation to pay royalties under the Incyte License Agreement. The Company evaluated this agreement under ASC 606 and identified one performance obligation under the agreement: to perform services related to manufacturing the commercial supply of retifanlimab. The transaction price was based on a fixed price per batch of bulk drug substance to be manufactured and was recognized over time as the services were provided, as the performance by the Company did not create an asset with an alternative use and the Company had an enforceable right to payment for the performance completed to date. The transaction price was being recognized using the input method reflecting the costs incurred (including resources consumed and labor costs incurred) related to the manufacturing services. Variable consideration relating to the reimbursed materials and other reimbursed costs incurred to manufacture retifanlimab was allocated to the related manufacturing activities and was recognized as revenue as those activities occurred. Materials purchased by the Company to manufacture retifanlimab were considered inventory and were capitalized and expensed as the materials were used to provide the manufacturing services. As part of the sale of the Company's CDMO Operations, (see Note 11), the Incyte Commercial Supply Agreement was assigned to Bora. The Company recognized $10.3 million in revenue during the three months ended June 30, 2026, and recognized no revenue during the three months ended June 30, 2025 under the Incyte Commercial Supply Agreement, which is reflected in the Net income from discontinued operations, net of taxes line on the consolidated statements of operations and comprehensive income (loss). The Company recognized $14.4 million and $0.4 million in revenue under the Incyte Commercial Supply Agreement during the six months ended June 30, 2026 and 2025, respectively, which is reflected in the Net income from discontinued operations, net of taxes line on the consolidated statements of operations and comprehensive income (loss). </w:t>
      </w:r>
    </w:p>
    <w:p>
      <w:pPr>
        <w:pStyle w:val="TextBody"/>
        <w:bidi w:val="0"/>
        <w:spacing w:lineRule="auto" w:line="256" w:before="180" w:after="180"/>
        <w:jc w:val="left"/>
        <w:rPr>
          <w:rFonts w:ascii="Times New Roman;serif" w:hAnsi="Times New Roman;serif"/>
          <w:b/>
          <w:i/>
          <w:color w:val="000000"/>
          <w:sz w:val="20"/>
        </w:rPr>
      </w:pPr>
      <w:r>
        <w:rPr>
          <w:rFonts w:ascii="Times New Roman;serif" w:hAnsi="Times New Roman;serif"/>
          <w:b/>
          <w:i/>
          <w:color w:val="000000"/>
          <w:sz w:val="20"/>
        </w:rPr>
        <w:t xml:space="preserve">Gilead Sciences, Inc </w:t>
      </w:r>
    </w:p>
    <w:p>
      <w:pPr>
        <w:pStyle w:val="TextBody"/>
        <w:bidi w:val="0"/>
        <w:spacing w:lineRule="auto" w:line="288" w:before="0" w:after="0"/>
        <w:ind w:left="0" w:right="0" w:firstLine="720"/>
        <w:jc w:val="left"/>
        <w:rPr/>
      </w:pPr>
      <w:r>
        <w:rPr>
          <w:rFonts w:ascii="Times New Roman;serif" w:hAnsi="Times New Roman;serif"/>
          <w:b w:val="false"/>
          <w:color w:val="000000"/>
          <w:sz w:val="20"/>
          <w:shd w:fill="FFFFFF" w:val="clear"/>
        </w:rPr>
        <w:t>In 2022, the Company and Gilead Sciences, Inc. (Gilead) entered into an exclusive option and collaboration agreement (Gilead Agreement) to develop and commercialize MGD024, an investigational, bispecific antibody that binds CD123 and CD3, and create bispecific cancer antibodies using the Company’s DART and TRIDENT platforms and undertake their early development under a maximum of two separate bispecific cancer target research programs. Under the agreement, the Company will continue the ongoing phase 1 trial for MGD024 accordi</w:t>
      </w:r>
      <w:r>
        <w:rPr>
          <w:rFonts w:ascii="Times New Roman;serif" w:hAnsi="Times New Roman;serif"/>
          <w:b w:val="false"/>
          <w:color w:val="000000"/>
          <w:sz w:val="20"/>
        </w:rPr>
        <w:t>ng to a development plan</w:t>
      </w:r>
      <w:r>
        <w:rPr>
          <w:rFonts w:ascii="Times New Roman;serif" w:hAnsi="Times New Roman;serif"/>
          <w:b w:val="false"/>
          <w:color w:val="000000"/>
          <w:sz w:val="20"/>
          <w:shd w:fill="FFFFFF" w:val="clear"/>
        </w:rPr>
        <w:t xml:space="preserve">, during which Gilead will have the right to exercise an option granted to Gilead to obtain an exclusive license under the Company’s intellectual property to develop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shd w:fill="FFFFFF" w:val="clear"/>
        </w:rPr>
        <w:t>commercialize MGD024 and other bispecific antibodies of MacroGenics that bind CD123 and CD3 (CD123 Option)</w:t>
      </w:r>
      <w:r>
        <w:rPr>
          <w:rFonts w:ascii="Times New Roman;serif" w:hAnsi="Times New Roman;serif"/>
          <w:b w:val="false"/>
          <w:color w:val="000000"/>
          <w:sz w:val="20"/>
        </w:rPr>
        <w:t>. The agreement also granted Gilead the right, within its first two years, to nominate a bispecific cancer target set for up to two research programs conducted by the Company and to exercise separate options to obtain an exclusive license for the development, commercialization and exploitation of molecules created under each research program (Research Program Option). Gilead nominated the first of the two research programs in September</w:t>
      </w:r>
      <w:r>
        <w:rPr>
          <w:color w:val="000000"/>
          <w:shd w:fill="FFFFFF" w:val="clear"/>
        </w:rPr>
        <w:t xml:space="preserve"> </w:t>
      </w:r>
      <w:r>
        <w:rPr>
          <w:rFonts w:ascii="Times New Roman;serif" w:hAnsi="Times New Roman;serif"/>
          <w:b w:val="false"/>
          <w:color w:val="000000"/>
          <w:sz w:val="20"/>
          <w:shd w:fill="FFFFFF" w:val="clear"/>
        </w:rPr>
        <w:t>2023. In January 2024, the parties amended the Gilead Agreement to revise certain matters related to intellectual property in the performance of the research plans under the agreement. On August 30, 2024, the parties amended the agreement by entering into a second letter agreement under which Gilead will pay the Company to conduct certain research and which extended the period for Gilead to select its second research target combination.</w:t>
      </w:r>
    </w:p>
    <w:p>
      <w:pPr>
        <w:pStyle w:val="TextBody"/>
        <w:bidi w:val="0"/>
        <w:spacing w:lineRule="auto" w:line="288" w:before="180" w:after="283"/>
        <w:ind w:left="0" w:right="0" w:firstLine="720"/>
        <w:jc w:val="left"/>
        <w:rPr/>
      </w:pPr>
      <w:r>
        <w:rPr>
          <w:rFonts w:ascii="Times New Roman;serif" w:hAnsi="Times New Roman;serif"/>
          <w:b w:val="false"/>
          <w:color w:val="000000"/>
          <w:sz w:val="20"/>
          <w:shd w:fill="FFFFFF" w:val="clear"/>
        </w:rPr>
        <w:t>Under the terms of the Gilead Agreement, as amended, in October 2022 Gilead paid the Company an upfront payment of $60.0 million</w:t>
      </w:r>
      <w:r>
        <w:rPr>
          <w:rFonts w:ascii="Times New Roman;serif" w:hAnsi="Times New Roman;serif"/>
          <w:b w:val="false"/>
          <w:color w:val="000000"/>
          <w:sz w:val="20"/>
        </w:rPr>
        <w:t xml:space="preserve">. </w:t>
      </w:r>
      <w:r>
        <w:rPr>
          <w:rFonts w:ascii="Times New Roman;serif" w:hAnsi="Times New Roman;serif"/>
          <w:b w:val="false"/>
          <w:color w:val="000000"/>
          <w:sz w:val="20"/>
          <w:shd w:fill="FFFFFF" w:val="clear"/>
        </w:rPr>
        <w:t xml:space="preserve">Assuming Gilead exercises the CD123 Option and Research Program Option and successfully develops and commercializes MGD024, or other CD123 products developed under the agreement, and products result from the two additional research programs, the Company would be eligible to receive up to a total of </w:t>
      </w:r>
      <w:r>
        <w:rPr>
          <w:rFonts w:ascii="Times New Roman;serif" w:hAnsi="Times New Roman;serif"/>
          <w:b w:val="false"/>
          <w:color w:val="000000"/>
          <w:sz w:val="20"/>
        </w:rPr>
        <w:t xml:space="preserve">$1.7 billion </w:t>
      </w:r>
      <w:r>
        <w:rPr>
          <w:rFonts w:ascii="Times New Roman;serif" w:hAnsi="Times New Roman;serif"/>
          <w:b w:val="false"/>
          <w:color w:val="000000"/>
          <w:sz w:val="20"/>
          <w:shd w:fill="FFFFFF" w:val="clear"/>
        </w:rPr>
        <w:t xml:space="preserve">in target nomination, option fees, and development, regulatory and commercial milestones. Assuming exercise of the CD123 Option, the Company will also be eligible to receive tiered, low double-digit royalties on worldwide net sales of MGD024 (or other CD123 products developed under the agreement) and assuming exercise of the </w:t>
      </w:r>
      <w:r>
        <w:rPr>
          <w:rFonts w:ascii="Times New Roman;serif" w:hAnsi="Times New Roman;serif"/>
          <w:b w:val="false"/>
          <w:color w:val="000000"/>
          <w:sz w:val="20"/>
        </w:rPr>
        <w:t>Research Program Option,</w:t>
      </w:r>
      <w:r>
        <w:rPr>
          <w:color w:val="000000"/>
          <w:shd w:fill="FFFFFF" w:val="clear"/>
        </w:rPr>
        <w:t xml:space="preserve"> </w:t>
      </w:r>
      <w:r>
        <w:rPr>
          <w:rFonts w:ascii="Times New Roman;serif" w:hAnsi="Times New Roman;serif"/>
          <w:b w:val="false"/>
          <w:color w:val="000000"/>
          <w:sz w:val="20"/>
          <w:shd w:fill="FFFFFF" w:val="clear"/>
        </w:rPr>
        <w:t>a flat royalty on worldwide net sales of any products resulting from the two research programs.</w:t>
      </w:r>
      <w:r>
        <w:rPr>
          <w:color w:val="000000"/>
        </w:rPr>
        <w:t xml:space="preserve"> </w:t>
      </w:r>
    </w:p>
    <w:p>
      <w:pPr>
        <w:pStyle w:val="TextBody"/>
        <w:bidi w:val="0"/>
        <w:spacing w:lineRule="auto" w:line="288" w:before="180" w:after="283"/>
        <w:ind w:left="0" w:right="0" w:firstLine="720"/>
        <w:jc w:val="left"/>
        <w:rPr/>
      </w:pPr>
      <w:r>
        <w:rPr>
          <w:rFonts w:ascii="Times New Roman;serif" w:hAnsi="Times New Roman;serif"/>
          <w:b w:val="false"/>
          <w:color w:val="000000"/>
          <w:sz w:val="20"/>
          <w:shd w:fill="FFFFFF" w:val="clear"/>
        </w:rPr>
        <w:t xml:space="preserve">The Company evaluated the Gilead Agreement under the provisions of ASC 606 and identified the following material promises under the agreement: (i) a license to perform any activities allocated to Gilead under the MGD024 </w:t>
      </w:r>
      <w:r>
        <w:rPr>
          <w:rFonts w:ascii="Times New Roman;serif" w:hAnsi="Times New Roman;serif"/>
          <w:b w:val="false"/>
          <w:color w:val="000000"/>
          <w:sz w:val="20"/>
        </w:rPr>
        <w:t>development plan</w:t>
      </w:r>
      <w:r>
        <w:rPr>
          <w:rFonts w:ascii="Times New Roman;serif" w:hAnsi="Times New Roman;serif"/>
          <w:b w:val="false"/>
          <w:color w:val="000000"/>
          <w:sz w:val="20"/>
          <w:shd w:fill="FFFFFF" w:val="clear"/>
        </w:rPr>
        <w:t xml:space="preserve">; (ii) development activities regarding MGD024, including manufacturing, research and early clinical development activities, necessary to deliver an informational package of development and clinical data, information and materials specified in the Gilead Agreement during the period </w:t>
      </w:r>
      <w:r>
        <w:rPr>
          <w:rFonts w:ascii="Times New Roman;serif" w:hAnsi="Times New Roman;serif"/>
          <w:b w:val="false"/>
          <w:color w:val="000000"/>
          <w:sz w:val="20"/>
        </w:rPr>
        <w:t>in</w:t>
      </w:r>
      <w:r>
        <w:rPr>
          <w:color w:val="000000"/>
          <w:shd w:fill="FFFFFF" w:val="clear"/>
        </w:rPr>
        <w:t xml:space="preserve"> </w:t>
      </w:r>
      <w:r>
        <w:rPr>
          <w:rFonts w:ascii="Times New Roman;serif" w:hAnsi="Times New Roman;serif"/>
          <w:b w:val="false"/>
          <w:color w:val="000000"/>
          <w:sz w:val="20"/>
          <w:shd w:fill="FFFFFF" w:val="clear"/>
        </w:rPr>
        <w:t xml:space="preserve">which Gilead can exercise the CD123 Option; (iii) the CD123 Option and (iv) the </w:t>
      </w:r>
      <w:r>
        <w:rPr>
          <w:rFonts w:ascii="Times New Roman;serif" w:hAnsi="Times New Roman;serif"/>
          <w:b w:val="false"/>
          <w:color w:val="000000"/>
          <w:sz w:val="20"/>
        </w:rPr>
        <w:t>Research Program Option</w:t>
      </w:r>
      <w:r>
        <w:rPr>
          <w:rFonts w:ascii="Times New Roman;serif" w:hAnsi="Times New Roman;serif"/>
          <w:b w:val="false"/>
          <w:color w:val="000000"/>
          <w:sz w:val="20"/>
          <w:shd w:fill="FFFFFF" w:val="clear"/>
        </w:rPr>
        <w:t>.</w:t>
      </w:r>
    </w:p>
    <w:p>
      <w:pPr>
        <w:pStyle w:val="TextBody"/>
        <w:bidi w:val="0"/>
        <w:spacing w:lineRule="auto" w:line="288" w:before="180" w:after="283"/>
        <w:ind w:left="0" w:right="0" w:firstLine="720"/>
        <w:jc w:val="left"/>
        <w:rPr/>
      </w:pPr>
      <w:r>
        <w:rPr>
          <w:rFonts w:ascii="Times New Roman;serif" w:hAnsi="Times New Roman;serif"/>
          <w:b w:val="false"/>
          <w:color w:val="000000"/>
          <w:sz w:val="20"/>
          <w:shd w:fill="FFFFFF" w:val="clear"/>
        </w:rPr>
        <w:t>The Company concluded that the license under the MGD024 developme</w:t>
      </w:r>
      <w:r>
        <w:rPr>
          <w:rFonts w:ascii="Times New Roman;serif" w:hAnsi="Times New Roman;serif"/>
          <w:b w:val="false"/>
          <w:color w:val="000000"/>
          <w:sz w:val="20"/>
        </w:rPr>
        <w:t>nt plan</w:t>
      </w:r>
      <w:r>
        <w:rPr>
          <w:color w:val="000000"/>
          <w:shd w:fill="FFFFFF" w:val="clear"/>
        </w:rPr>
        <w:t xml:space="preserve"> </w:t>
      </w:r>
      <w:r>
        <w:rPr>
          <w:rFonts w:ascii="Times New Roman;serif" w:hAnsi="Times New Roman;serif"/>
          <w:b w:val="false"/>
          <w:color w:val="000000"/>
          <w:sz w:val="20"/>
          <w:shd w:fill="FFFFFF" w:val="clear"/>
        </w:rPr>
        <w:t>and development activities are not distinct from one another, as the license has limited value without the Company’s performance of the development activities. Therefore, the Company determined that the development term license and development activities should be combined into a single performance obligation (Development Activities). The CD123 Option is considered a material right as the value of the exclusive license exceeds the payment to be made by Gilead if they exercise their option to obtain an exclusive license to develop and commercialize MGD024 or an alternative CD123 product, and is therefore a distinct performance obligation. The Company determined that the Research Program Option does not provide a material right, as there is no discount on its standalone selling price.</w:t>
      </w:r>
    </w:p>
    <w:p>
      <w:pPr>
        <w:pStyle w:val="TextBody"/>
        <w:bidi w:val="0"/>
        <w:spacing w:lineRule="auto" w:line="288" w:before="180" w:after="283"/>
        <w:ind w:left="0" w:right="0" w:firstLine="720"/>
        <w:jc w:val="left"/>
        <w:rPr/>
      </w:pPr>
      <w:r>
        <w:rPr>
          <w:rFonts w:ascii="Times New Roman;serif" w:hAnsi="Times New Roman;serif"/>
          <w:b w:val="false"/>
          <w:color w:val="000000"/>
          <w:sz w:val="20"/>
          <w:shd w:fill="FFFFFF" w:val="clear"/>
        </w:rPr>
        <w:t>In accordance with ASC 606, the Company determined that the initial transaction price under the Gilead Agreement was $60.0 million, consisting of the upfront, non-refundable payment paid by Gilead. The CD123 Option and Research Program Option payments are excluded from the initial transaction price at contract inception along with any future development, regulatory, and commercial milestone payments (including royalties) following the CD123 Option and Research Program Option exercise.</w:t>
      </w:r>
      <w:r>
        <w:rPr>
          <w:color w:val="000000"/>
        </w:rPr>
        <w:t xml:space="preserve"> </w:t>
      </w:r>
      <w:r>
        <w:rPr>
          <w:rFonts w:ascii="Times New Roman;serif" w:hAnsi="Times New Roman;serif"/>
          <w:b w:val="false"/>
          <w:color w:val="000000"/>
          <w:sz w:val="20"/>
        </w:rPr>
        <w:t>The Company reassesses the amount of variable consideration included in the transaction price every reporting period.</w:t>
      </w:r>
      <w:r>
        <w:rPr>
          <w:color w:val="000000"/>
          <w:shd w:fill="FFFFFF" w:val="clear"/>
        </w:rPr>
        <w:t xml:space="preserve"> </w:t>
      </w:r>
      <w:r>
        <w:rPr>
          <w:rFonts w:ascii="Times New Roman;serif" w:hAnsi="Times New Roman;serif"/>
          <w:b w:val="false"/>
          <w:color w:val="000000"/>
          <w:sz w:val="20"/>
          <w:shd w:fill="FFFFFF" w:val="clear"/>
        </w:rPr>
        <w:t xml:space="preserve">The Company allocated the $60.0 million upfront payment in the transaction price to the Development Activities and the CD123 Option based on each performance obligation’s relative standalone selling price. The standalone selling price for the Development Activities was calculated using an expected cost-plus margin approach </w:t>
      </w:r>
      <w:r>
        <w:rPr>
          <w:rFonts w:ascii="Times New Roman;serif" w:hAnsi="Times New Roman;serif"/>
          <w:b w:val="false"/>
          <w:color w:val="000000"/>
          <w:sz w:val="20"/>
        </w:rPr>
        <w:t>for the pre-option development timeline.</w:t>
      </w:r>
      <w:r>
        <w:rPr>
          <w:color w:val="000000"/>
        </w:rPr>
        <w:t xml:space="preserve"> </w:t>
      </w:r>
      <w:r>
        <w:rPr>
          <w:rFonts w:ascii="Times New Roman;serif" w:hAnsi="Times New Roman;serif"/>
          <w:b w:val="false"/>
          <w:color w:val="000000"/>
          <w:sz w:val="20"/>
        </w:rPr>
        <w:t>For the standalone selling price of the CD123 Option, the Company utilized an income-based approach which included the following key assumptions:</w:t>
      </w:r>
      <w:r>
        <w:rPr>
          <w:color w:val="000000"/>
        </w:rPr>
        <w:t xml:space="preserve"> </w:t>
      </w:r>
      <w:r>
        <w:rPr>
          <w:rFonts w:ascii="Times New Roman;serif" w:hAnsi="Times New Roman;serif"/>
          <w:b w:val="false"/>
          <w:color w:val="000000"/>
          <w:sz w:val="20"/>
        </w:rPr>
        <w:t xml:space="preserve">post-option development timeline and costs, forecasted revenues, discount rates and probabilities of technical and regulatory success. </w:t>
      </w:r>
    </w:p>
    <w:p>
      <w:pPr>
        <w:pStyle w:val="TextBody"/>
        <w:bidi w:val="0"/>
        <w:spacing w:lineRule="auto" w:line="288" w:before="180" w:after="283"/>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is recognizing revenue related to the Development Activities performance obligation over the estimated period to complete the Development Activities using an input method reflecting the costs incurred (including resources consumed and labor hours expended) related to the Development Activities. The Company has deferred revenue recognition related to the CD123 Option. If Gilead exercises the CD123 Option and obtains an exclusive license, the Company will recognize revenue as it fulfills its obligations under the Gilead Agreement. If the CD123 Option is not exercised, the Company will recognize the entirety of the revenue in the period when the CD123 Option expires.</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recognized $1.0 million and $0.5 million in revenue under the Gilead Agreement during the three months ended June 30, 2026 and 2025, respectively. During the six months ended June 30, 2026 and 2025, the Company recognized revenue of $1.3 million and $0.1 million, respectively. As of June 30, 2026, $55.5 million in revenue was deferred under this agreement, all of which was current. As of December 31, 2025, $56.8 million in revenue was deferred under this agreement, $1.3 million of which was current and $55.5 million of which was non-current.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180"/>
        <w:ind w:left="0" w:right="0" w:firstLine="720"/>
        <w:jc w:val="left"/>
        <w:rPr/>
      </w:pPr>
      <w:r>
        <w:rPr>
          <w:rFonts w:ascii="Times New Roman;serif" w:hAnsi="Times New Roman;serif"/>
          <w:b w:val="false"/>
          <w:color w:val="000000"/>
          <w:sz w:val="20"/>
          <w:shd w:fill="FFFFFF" w:val="clear"/>
        </w:rPr>
        <w:t xml:space="preserve">In September 2023, </w:t>
      </w:r>
      <w:r>
        <w:rPr>
          <w:rFonts w:ascii="Times New Roman;serif" w:hAnsi="Times New Roman;serif"/>
          <w:b w:val="false"/>
          <w:color w:val="000000"/>
          <w:sz w:val="20"/>
        </w:rPr>
        <w:t>the Company and Gilead executed a letter agreement (First Letter Agreement) through which Gilead nominated the first of the two research programs contemplated in the Gilead Agreement (First Research Program), the Company granted Gilead a research license, and the parties agreed on a research plan for the First Research Program under which the Company will provide research and development services. Gilead paid the Company a $15.7 million nomination fee. The Company evaluated the First Letter Agreement under the terms of ASC 606, and concluded that it is a modification to the Gilead Agreement that results in a separate contract since the modification is for additional goods and services that are distinct and at standalone selling price. The Company determined that the license and the related research and development activities were not distinct from one another, as the license has limited value without the performance of the research and development activities. As such, the Company determined that these should be combined into a single performance obligation. Gilead also has the exclusive option to pay the Company $10.0 million to obtain a license to exploit the research molecule and research product with respect to the First Research Program. The Company determined that this exclusive option does not provide a material right, as there is no discount on its standalone selling price.</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accordance with ASC 606, the Company determined that the initial transaction price for the First Research Program agreement was $15.7 million, consisting of the non-refundable payment paid by Gilead. The Company recognized revenue over the estimated period to complete the services using the input method reflecting the costs incurred (including resources consumed and labor hours expended) related to the research and development services. In June 2024, the Company received variable consideration totaling $3.3 million from Gilead upon achievement of a research plan milestone. The variable consideration was added to the transaction price and allocated to the performance obligation to determine the amount of related revenue to be recognized. A proportional amount was recognized based on the input cost to cost measurement of work completed to date. </w:t>
      </w:r>
    </w:p>
    <w:p>
      <w:pPr>
        <w:pStyle w:val="TextBody"/>
        <w:bidi w:val="0"/>
        <w:spacing w:lineRule="auto" w:line="276" w:before="18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completed performing the services and recognizing revenue related to the First Research Program in mid-2025. The Company recorded $5.6 million and $11.0 million in revenue related to the First Research Program during the three and six months ended June 30, 2025, respectively.</w:t>
      </w:r>
    </w:p>
    <w:p>
      <w:pPr>
        <w:pStyle w:val="TextBody"/>
        <w:bidi w:val="0"/>
        <w:spacing w:lineRule="auto" w:line="288" w:before="18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November 2025, the parties amended the Gilead Agreement by entering into a third letter agreement (Third Letter Agreement) under which Gilead nominated the second of the two research programs contemplated in the Gilead Agreement (Second Research Program) and the Company granted Gilead a research license. Gilead also exercised their exclusive option to obtain a license to exploit the research molecule and research product with respect to the Second Research Program. Gilead paid the Company a total of $25.0 million related to the nomination and option exercise. </w:t>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The Company evaluated the Third Letter Agreement under the terms of ASC 606, and concluded that it is a modification to the Gilead Agreement that results in a separate contract since the modification is for additional goods and services that are distinct and at standalone selling price. The Company determined that there is one performance obligation under the Third Letter Agreement; to grant the research term license and exploitation license. In accordance with ASC 606, the Company determined that the initial transaction price for the Second Research Program was $25.0 million, consisting of the non-refundable payment made by Gilead. The Company recognized this amount when it satisfied its performance obligation and transferred the license to Gilead during the year ended </w:t>
      </w:r>
      <w:r>
        <w:rPr>
          <w:rFonts w:ascii="Times New Roman;serif" w:hAnsi="Times New Roman;serif"/>
          <w:b w:val="false"/>
          <w:color w:val="252525"/>
          <w:sz w:val="20"/>
          <w:shd w:fill="FFFFFF" w:val="clear"/>
        </w:rPr>
        <w:t xml:space="preserve">December 31, 2025. The Company is entitled to future development, regulatory and commercial milestones related to the Second Research Program should Gilead successfully develop and commercialize the molecule. </w:t>
      </w:r>
      <w:r>
        <w:rPr>
          <w:rFonts w:ascii="Times New Roman;serif" w:hAnsi="Times New Roman;serif"/>
          <w:b w:val="false"/>
          <w:color w:val="000000"/>
          <w:sz w:val="20"/>
        </w:rPr>
        <w:t xml:space="preserve">These potential development and regulatory milestone payments are </w:t>
      </w:r>
      <w:r>
        <w:rPr>
          <w:rFonts w:ascii="Times New Roman;serif" w:hAnsi="Times New Roman;serif"/>
          <w:b w:val="false"/>
          <w:color w:val="252525"/>
          <w:sz w:val="20"/>
        </w:rPr>
        <w:t xml:space="preserve">fully constrained until the Company concludes that achievement of the milestone is probable and that recognition of revenue related to the milestone will not result in a significant reversal in amounts recognized in future periods, </w:t>
      </w:r>
      <w:r>
        <w:rPr>
          <w:rFonts w:ascii="Times New Roman;serif" w:hAnsi="Times New Roman;serif"/>
          <w:b w:val="false"/>
          <w:color w:val="000000"/>
          <w:sz w:val="20"/>
        </w:rPr>
        <w:t>and as such have been excluded from the transaction price. Any consideration related to sales-based milestones and royalties will be recognized when the related sales occur, as they were determined to relate predominantly to the license granted to Gilead and, therefore, have also been excluded from the transaction price.</w:t>
      </w:r>
    </w:p>
    <w:p>
      <w:pPr>
        <w:pStyle w:val="TextBody"/>
        <w:bidi w:val="0"/>
        <w:spacing w:lineRule="auto" w:line="288" w:before="180" w:after="180"/>
        <w:jc w:val="left"/>
        <w:rPr>
          <w:rFonts w:ascii="Times New Roman;serif" w:hAnsi="Times New Roman;serif"/>
          <w:b/>
          <w:i/>
          <w:color w:val="000000"/>
          <w:sz w:val="20"/>
        </w:rPr>
      </w:pPr>
      <w:r>
        <w:rPr>
          <w:rFonts w:ascii="Times New Roman;serif" w:hAnsi="Times New Roman;serif"/>
          <w:b/>
          <w:i/>
          <w:color w:val="000000"/>
          <w:sz w:val="20"/>
        </w:rPr>
        <w:t>Sanofi S.A.</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2018, the Company entered into an asset purchase agreement with Provention Bio, Inc. (Provention) pursuant to which Provention acquired the Company’s interest in teplizumab, a monoclonal antibody being developed for the treatment of type 1 diabetes (Provention APA). The FDA approved the BLA for TZIELD (teplizumab-mzwv) in November 2022. In March 2023, the Company sold its single-digit royalty interest in TZIELD to a wholly-owned subsidiary of DRI Healthcare Trust (DRI) and received a $100.0 million payment from DRI under a Royalty Purchase Agreement. The Company retained its other economic interests related to TZIELD, including future potential regulatory and commercial milestones, as well as the right to receive a 50% share of the royalty on global net sales above a certain annual threshold. In addition, the Company was eligible to receive an additional $50.0 million if TZIELD achieved a certain level of net sales by June 30, 2026. This milestone was not achieved and has expired. </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April 2023, Sanofi S.A. (Sanofi) completed its acquisition of Provention and the Company entered into a tripartite agreement with DRI and Sanofi under which it was released of any obligations under the Royalty Purchase Agreement. In September 2023, the Company and Sanofi executed Amendment No. 2 to the Provention APA and terminated the Royalty Purchase Agreement with DRI. As a result, the remaining $50.0 million sales milestone under the Royalty Purchase Agreement was incorporated into the Provention APA. </w:t>
      </w:r>
    </w:p>
    <w:p>
      <w:pPr>
        <w:pStyle w:val="TextBody"/>
        <w:bidi w:val="0"/>
        <w:spacing w:before="0" w:after="0"/>
        <w:jc w:val="left"/>
        <w:rPr/>
      </w:pPr>
      <w:r>
        <w:rPr/>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evaluated the Provention APA under the provisions of ASC 606, and determined that the potential development and regulatory milestone payments are fully constrained until the Company concludes that achievement of the milestone is probable and that recognition of revenue related to the milestone will not result in a significant reversal in amounts recognized in future periods. Any consideration related to sales-based milestones will be recognized when the related sales occur. The Company re-assesses the transaction price in each reporting period and when events whose outcomes are resolved or other changes in circumstances occur. </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a regulatory milestone was achieved and the Company recognized $24.5 million in revenue. Payment for this milestone is not due from Sanofi until September 2026, therefore the $24.5 million is included in accounts receivable on the consolidated balance sheet. As of June 30, 2026, the remaining future potential regulatory and commercial milestones total $255.0 million.</w:t>
      </w: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Manufacturing Services Agreements</w:t>
      </w:r>
    </w:p>
    <w:p>
      <w:pPr>
        <w:pStyle w:val="TextBody"/>
        <w:bidi w:val="0"/>
        <w:spacing w:lineRule="auto" w:line="288" w:before="180" w:after="180"/>
        <w:jc w:val="left"/>
        <w:rPr>
          <w:rFonts w:ascii="Times New Roman;serif" w:hAnsi="Times New Roman;serif"/>
          <w:b/>
          <w:i/>
          <w:color w:val="000000"/>
          <w:sz w:val="20"/>
        </w:rPr>
      </w:pPr>
      <w:r>
        <w:rPr>
          <w:rFonts w:ascii="Times New Roman;serif" w:hAnsi="Times New Roman;serif"/>
          <w:b/>
          <w:i/>
          <w:color w:val="000000"/>
          <w:sz w:val="20"/>
        </w:rPr>
        <w:t xml:space="preserve">Incyte </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January 2022, the Company entered into a Manufacturing and Clinical Supply Agreement with Incyte (2022 Incyte Manufacturing and Clinical Supply Agreement) to provide manufacturing services to produce certain Incyte bulk drug substance over a three-year period. Under the terms of the 2022 Incyte Manufacturing and Clinical Supply Agreement, the Company received an upfront payment of $10.0 million and was eligible to receive annual fixed payments paid quarterly over the term of the contract totaling $14.4 million. The Company was also reimbursed for materials used to manufacture product as well as other costs incurred to provide manufacturing services. In July 2022, the Company and Incyte executed an amendment to the 2022 Incyte Manufacturing and Clinical Supply Agreement which extended the term for one year and provided for an additional annual fixed payment of $5.1 million (July 2022 Incyte Amendment). In December 2024 and March 2025, the Company and Incyte entered into letter agreements whereby Incyte reserved additional manufacturing services during 2025 with a total fixed cost of $13.5 million (Incyte Letter Agreements). </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evaluated the 2022 Incyte Manufacturing and Clinical Supply Agreement, the July 2022 Incyte Amendment and the Incyte Letter Agreements under the provisions of ASC 606 and identified one performance obligation to provide manufacturing runs to Incyte, as and when requested by Incyte, over the term of the contract that is part of a series of goods and services. The Company determined that the transaction price consists of the upfront payment of $10.0 million, the annual fixed payments and the payments per batch under the Incyte Letter Agreements totaling $41.7 million. The Company recognized revenue over time on a straight-line basis as the manufacturing services were provided to Incyte, as the Company determined that its efforts in providing the manufacturing services were incurred evenly throughout the performance period and therefore straight-line revenue recognition closely approximated the level of effort for the manufacturing services. Variable consideration relating to the reimbursed materials and other reimbursed costs incurred to manufacture product for Incyte was allocated to the related manufacturing activities and was recognized as revenue as those activities occurred. Materials purchased by the Company to manufacture the product for Incyte were considered inventory and were capitalized and expensed as the materials were used to provide the manufacturing services.</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2022 Incyte Manufacturing and Clinical Supply Agreement expired on December 31, 2025. During the three and six months ended June 30, 2025, the Company recognized revenue of $13.3 million and $18.3 million, respectively, under the 2022 Incyte Manufacturing and Clinical Supply Agreement.</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September 2025, the Company entered into a new Manufacturing and Clinical Supply Agreement with Incyte (2025 Incyte Manufacturing and Clinical Supply Agreement) to provide manufacturing services to produce certain Incyte bulk drug substance over a three-year period beginning in January 2026. Based on the current manufacturing schedule contemplated in the 2025 Incyte Manufacturing and Clinical Supply Agreement, Incyte was to pay a total fixed cost of $16.8 million over the term of the agreement. The Company would also be reimbursed for materials used to manufacture product as well as other costs incurred to provide manufacturing services. </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evaluated the 2025 Incyte Manufacturing and Clinical Supply Agreement under the provisions of ASC 606 and identified one performance obligation to provide manufacturing runs to Incyte, as and when requested by Incyte, over the term of the contract that is part of a series of goods and services.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recognized revenue over time on a straight-line basis as the manufacturing services were provided to Incyte, as the Company determined that its efforts in providing the manufacturing services were incurred evenly throughout the performance period and therefore straight-line revenue recognition closely approximated the level of effort for the manufacturing services. Variable consideration relating to the reimbursed materials and other reimbursed costs incurred to manufacture product for Incyte was allocated to the related manufacturing activities and was recognized as revenue as those activities occurred. Materials purchased by the Company to manufacture the product for Incyte were considered inventory and were capitalized and expensed as the materials were used to provide the manufacturing services. </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described more fully in Note 11, Discontinued Operations, the Company sold its CDMO Operations as of June 30, 2026 and assigned the 2025 Incyte Manufacturing and Clinical Supply Agreement to Bora. During the three and six months ended June 30, 2026, the Company recognized revenue of $0.8 million and $4.7 million, respectively, under the 2025 Incyte Manufacturing and Clinical Supply Agreement, which is reflected in the Net income from discontinued operations, net of taxes line on the consolidated statements of operations and comprehensive income (loss). </w:t>
      </w: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Emergent BioSolutions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2024 and 2025, the Company entered into agreements with Emergent BioSolutions (Emergent) to provide manufacturing services to produce certain Emergent bulk drug substance (Emergent Agreement). Under the terms of the agreement, the Company received payments in accordance with the manufacturing schedule and was reimbursed for materials used to manufacture product, as well as other costs incurred to provide development and manufacturing services. The Company evaluated the Emergent Agreement under the provisions of ASC 606 and identified one performance obligation to manufacture bulk drug substances over the term of the contract that is part of a series of goods and services. The Company determined that the transaction price consisted of $13.5 million of fixed consideration. The Company recognized revenue over time on a straight-line basis as the manufacturing is provided to Emergent, as the Company determined that its efforts in providing the manufacturing services were incurred evenly throughout the performance period and therefore straight-line revenue recognition closely approximated the level of effort for the manufacturing services. Variable consideration relating to the reimbursed materials and other reimbursed costs incurred to manufacture product for Emergent was allocated to the related manufacturing activities and was recognized as revenue as those activities occurred. The Emergent Agreement was assigned to Bora as of June 30, 2026. During the three months ended June 30, 2026 and 2025, the Company recognized revenue of $1.9 million and $1.6 million, respectively, under the Emergent Agreement. During the six months ended June 30, 2026 and 2025 the Company recognized revenue of $7.5 million and $2.8 million, respectively, under the Emergent Agreement, which is reflected in the Net income from discontinued operations, net of taxes line on the consolidated statements of operations and comprehensive income (loss).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7. Stock-Based Compensation</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Employee Stock Purchase Plan</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May 2017, the Company’s stockholders approved the 2016 Employee Stock Purchase Plan (the 2016 ESPP). The 2016 ESPP is structured as a qualified employee stock purchase plan under Section 423 of the Internal Revenue Code of 1986, as amended, and is not subject to the provisions of the Employee Retirement Income Security Act of 1974. The Company reserved 800,000 shares of common stock for issuance under the 2016 ESPP. The 2016 ESPP allows eligible employees to purchase shares of the Company’s common stock at a discount through payroll deductions of up to 10% of their eligible compensation, subject to any plan limitations. The 2016 ESPP provides for six-month offering periods ending on May 31 and November 30 of each year. At the end of each offering period, employees are able to purchase shares at 85% of the fair market value of the Company’s common stock on the last day of the offering period. During the six months ended June 30, 2026 and 2025, 33,092 and 56,880 shares of common stock were purchased under the 2016 ESPP, respectively.</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Employee Stock Incentive Plans</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October 2013, the Company implemented the 2013 Equity Incentive Plan (2013 Plan). In May 2023, the 2013 Plan was terminated, and no further awards may be issued under the plan. If an option granted under the 2013 Plan expires or terminates for any reason without having been fully exercised, if any shares of restricted stock are forfeited, or if any award terminates, expires or is settled without all or a portion of the shares of common stock covered by the award being issued, such shares will become available for issuance under the 2023 Equity Incentive Plan (2023 Plan).</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2023 Plan was effective as of stockholder approval in May 2023. The 2023 Plan provides for grants of stock options and other stock-based awards, as well as cash-based performance awards. The 2023 Plan originally authorized the issuance of up to an aggregate of 4,850,000 shares of common stock. The Board of Directors and stockholders of the Company subsequently approved amendments to the 2023 Plan to increase the number of shares of common stock available to a total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9,350,000 shares. If an option expires or terminates for any reason without having been fully exercised, if any shares of restricted stock are forfeited, or if any award terminates, expires or is settled without all or a portion of the shares of common stock covered by the award being issued, such shares are available for the grant of additional awards. However, any shares that are withheld (or delivered) to pay withholding taxes or to pay the exercise price of an option are not available for the grant of additional awards.</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stock-based compensation expense was recognized for the periods indicated (in thousands):</w:t>
      </w:r>
    </w:p>
    <w:tbl>
      <w:tblPr>
        <w:tblW w:w="8827" w:type="dxa"/>
        <w:jc w:val="left"/>
        <w:tblInd w:w="0" w:type="dxa"/>
        <w:tblLayout w:type="fixed"/>
        <w:tblCellMar>
          <w:top w:w="28" w:type="dxa"/>
          <w:left w:w="28" w:type="dxa"/>
          <w:bottom w:w="28" w:type="dxa"/>
          <w:right w:w="28" w:type="dxa"/>
        </w:tblCellMar>
      </w:tblPr>
      <w:tblGrid>
        <w:gridCol w:w="1250"/>
        <w:gridCol w:w="1097"/>
        <w:gridCol w:w="1103"/>
        <w:gridCol w:w="251"/>
        <w:gridCol w:w="735"/>
        <w:gridCol w:w="130"/>
        <w:gridCol w:w="130"/>
        <w:gridCol w:w="130"/>
        <w:gridCol w:w="130"/>
        <w:gridCol w:w="251"/>
        <w:gridCol w:w="735"/>
        <w:gridCol w:w="130"/>
        <w:gridCol w:w="109"/>
        <w:gridCol w:w="109"/>
        <w:gridCol w:w="109"/>
        <w:gridCol w:w="228"/>
        <w:gridCol w:w="667"/>
        <w:gridCol w:w="118"/>
        <w:gridCol w:w="118"/>
        <w:gridCol w:w="118"/>
        <w:gridCol w:w="118"/>
        <w:gridCol w:w="228"/>
        <w:gridCol w:w="667"/>
        <w:gridCol w:w="166"/>
      </w:tblGrid>
      <w:tr>
        <w:trPr/>
        <w:tc>
          <w:tcPr>
            <w:tcW w:w="1250"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2,237 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2,170 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5,320 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9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1,221 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1,453 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2,450 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2,756 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 expense</w:t>
            </w:r>
          </w:p>
        </w:tc>
        <w:tc>
          <w:tcPr>
            <w:tcW w:w="2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1,974 </w:t>
            </w:r>
          </w:p>
        </w:tc>
        <w:tc>
          <w:tcPr>
            <w:tcW w:w="1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3,690 </w:t>
            </w:r>
          </w:p>
        </w:tc>
        <w:tc>
          <w:tcPr>
            <w:tcW w:w="1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4,620 </w:t>
            </w:r>
          </w:p>
        </w:tc>
        <w:tc>
          <w:tcPr>
            <w:tcW w:w="1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8,076 </w:t>
            </w:r>
          </w:p>
        </w:tc>
        <w:tc>
          <w:tcPr>
            <w:tcW w:w="1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Employee stock options</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fair value of each option award is estimated on the date of grant using the Black-Scholes option-pricing model using the assumptions in the following table for options issued during the period indicated:</w:t>
      </w:r>
    </w:p>
    <w:tbl>
      <w:tblPr>
        <w:tblW w:w="5978" w:type="dxa"/>
        <w:jc w:val="left"/>
        <w:tblInd w:w="0" w:type="dxa"/>
        <w:tblLayout w:type="fixed"/>
        <w:tblCellMar>
          <w:top w:w="28" w:type="dxa"/>
          <w:left w:w="28" w:type="dxa"/>
          <w:bottom w:w="28" w:type="dxa"/>
          <w:right w:w="28" w:type="dxa"/>
        </w:tblCellMar>
      </w:tblPr>
      <w:tblGrid>
        <w:gridCol w:w="772"/>
        <w:gridCol w:w="678"/>
        <w:gridCol w:w="680"/>
        <w:gridCol w:w="505"/>
        <w:gridCol w:w="505"/>
        <w:gridCol w:w="505"/>
        <w:gridCol w:w="258"/>
        <w:gridCol w:w="258"/>
        <w:gridCol w:w="258"/>
        <w:gridCol w:w="457"/>
        <w:gridCol w:w="457"/>
        <w:gridCol w:w="645"/>
      </w:tblGrid>
      <w:tr>
        <w:trPr/>
        <w:tc>
          <w:tcPr>
            <w:tcW w:w="772"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7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dividend yield</w:t>
            </w:r>
          </w:p>
        </w:tc>
        <w:tc>
          <w:tcPr>
            <w:tcW w:w="151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w:t>
            </w:r>
          </w:p>
        </w:tc>
        <w:tc>
          <w:tcPr>
            <w:tcW w:w="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w:t>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151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112.6% - 114.0%</w:t>
            </w:r>
          </w:p>
        </w:tc>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110.7% - 115.6%</w:t>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3.7% - 4.4%</w:t>
            </w:r>
          </w:p>
        </w:tc>
        <w:tc>
          <w:tcPr>
            <w:tcW w:w="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3.9% - 4.5%</w:t>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term</w:t>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6.22 years</w:t>
            </w:r>
          </w:p>
        </w:tc>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6.11 years</w:t>
            </w:r>
          </w:p>
        </w:tc>
      </w:tr>
    </w:tbl>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stock option activity during the six months ended June 30, 2026:</w:t>
      </w:r>
    </w:p>
    <w:tbl>
      <w:tblPr>
        <w:tblW w:w="9473" w:type="dxa"/>
        <w:jc w:val="left"/>
        <w:tblInd w:w="0" w:type="dxa"/>
        <w:tblLayout w:type="fixed"/>
        <w:tblCellMar>
          <w:top w:w="28" w:type="dxa"/>
          <w:left w:w="28" w:type="dxa"/>
          <w:bottom w:w="28" w:type="dxa"/>
          <w:right w:w="28" w:type="dxa"/>
        </w:tblCellMar>
      </w:tblPr>
      <w:tblGrid>
        <w:gridCol w:w="1010"/>
        <w:gridCol w:w="889"/>
        <w:gridCol w:w="891"/>
        <w:gridCol w:w="540"/>
        <w:gridCol w:w="541"/>
        <w:gridCol w:w="226"/>
        <w:gridCol w:w="109"/>
        <w:gridCol w:w="109"/>
        <w:gridCol w:w="109"/>
        <w:gridCol w:w="301"/>
        <w:gridCol w:w="878"/>
        <w:gridCol w:w="156"/>
        <w:gridCol w:w="109"/>
        <w:gridCol w:w="109"/>
        <w:gridCol w:w="109"/>
        <w:gridCol w:w="565"/>
        <w:gridCol w:w="565"/>
        <w:gridCol w:w="566"/>
        <w:gridCol w:w="109"/>
        <w:gridCol w:w="109"/>
        <w:gridCol w:w="109"/>
        <w:gridCol w:w="265"/>
        <w:gridCol w:w="906"/>
        <w:gridCol w:w="193"/>
      </w:tblGrid>
      <w:tr>
        <w:trPr/>
        <w:tc>
          <w:tcPr>
            <w:tcW w:w="1010"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w:t>
              <w:br/>
              <w:t>Average</w:t>
              <w:br/>
              <w:t>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Weighted-Average</w:t>
              <w:br/>
              <w:t>Remaining</w:t>
              <w:br/>
              <w:t>Contractual Term</w:t>
              <w:br/>
              <w:t>(Years)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Aggregate</w:t>
              <w:br/>
              <w:t>Intrinsic</w:t>
              <w:br/>
              <w:t>Value</w:t>
              <w:br/>
              <w:t> (in thousands)</w:t>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December 31, 2025</w:t>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14,106,148 </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11.72 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9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2,975,160 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(23,032)</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(1,251,731)</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Expired</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(1,046,363)</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June 30, 2026</w:t>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14,760,182 </w:t>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13,003 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 of June 30, 2026:</w:t>
            </w:r>
          </w:p>
        </w:tc>
        <w:tc>
          <w:tcPr>
            <w:tcW w:w="130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Exercisable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10,006,891 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2,327 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 and expected to vest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14,359,528 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12,146 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the total unrecognized compensation expense related to unvested stock options, net of related forfeiture estimates, was approximately $9.6 million, which the Company expects to recognize over a weighted-average period of approximately 1.2 years. </w:t>
      </w:r>
    </w:p>
    <w:p>
      <w:pPr>
        <w:pStyle w:val="TextBody"/>
        <w:bidi w:val="0"/>
        <w:spacing w:lineRule="auto" w:line="288" w:before="18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additional information on stock options (in thousands, except per share amounts):</w:t>
      </w:r>
    </w:p>
    <w:tbl>
      <w:tblPr>
        <w:tblW w:w="9100" w:type="dxa"/>
        <w:jc w:val="left"/>
        <w:tblInd w:w="0" w:type="dxa"/>
        <w:tblLayout w:type="fixed"/>
        <w:tblCellMar>
          <w:top w:w="28" w:type="dxa"/>
          <w:left w:w="28" w:type="dxa"/>
          <w:bottom w:w="28" w:type="dxa"/>
          <w:right w:w="28" w:type="dxa"/>
        </w:tblCellMar>
      </w:tblPr>
      <w:tblGrid>
        <w:gridCol w:w="1881"/>
        <w:gridCol w:w="1651"/>
        <w:gridCol w:w="1658"/>
        <w:gridCol w:w="109"/>
        <w:gridCol w:w="109"/>
        <w:gridCol w:w="225"/>
        <w:gridCol w:w="225"/>
        <w:gridCol w:w="436"/>
        <w:gridCol w:w="1273"/>
        <w:gridCol w:w="225"/>
        <w:gridCol w:w="109"/>
        <w:gridCol w:w="109"/>
        <w:gridCol w:w="109"/>
        <w:gridCol w:w="211"/>
        <w:gridCol w:w="616"/>
        <w:gridCol w:w="154"/>
      </w:tblGrid>
      <w:tr>
        <w:trPr/>
        <w:tc>
          <w:tcPr>
            <w:tcW w:w="1881"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c>
          <w:tcPr>
            <w:tcW w:w="16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4"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1308" w:type="dxa"/>
            <w:gridSpan w:val="6"/>
            <w:tcBorders/>
          </w:tcPr>
          <w:p>
            <w:pPr>
              <w:pStyle w:val="TableContents"/>
              <w:bidi w:val="0"/>
              <w:spacing w:before="0" w:after="283"/>
              <w:jc w:val="left"/>
              <w:rPr>
                <w:sz w:val="4"/>
                <w:szCs w:val="4"/>
              </w:rPr>
            </w:pPr>
            <w:r>
              <w:rPr>
                <w:sz w:val="4"/>
                <w:szCs w:val="4"/>
              </w:rPr>
            </w:r>
          </w:p>
        </w:tc>
      </w:tr>
      <w:tr>
        <w:trPr/>
        <w:tc>
          <w:tcPr>
            <w:tcW w:w="5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9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Weighted-average fair value per share of stock options granted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4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2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tcMar>
              <w:top w:w="0" w:type="dxa"/>
              <w:left w:w="0" w:type="dxa"/>
              <w:bottom w:w="0" w:type="dxa"/>
              <w:right w:w="0" w:type="dxa"/>
            </w:tcMar>
            <w:vAlign w:val="center"/>
          </w:tcPr>
          <w:p>
            <w:pPr>
              <w:pStyle w:val="TableContents"/>
              <w:bidi w:val="0"/>
              <w:spacing w:lineRule="auto" w:line="240" w:before="180" w:after="180"/>
              <w:jc w:val="left"/>
              <w:rPr>
                <w:rFonts w:ascii="Times New Roman;serif" w:hAnsi="Times New Roman;serif"/>
                <w:b w:val="false"/>
                <w:color w:val="000000"/>
                <w:sz w:val="20"/>
              </w:rPr>
            </w:pPr>
            <w:r>
              <w:rPr>
                <w:rFonts w:ascii="Times New Roman;serif" w:hAnsi="Times New Roman;serif"/>
                <w:b w:val="false"/>
                <w:color w:val="000000"/>
                <w:sz w:val="20"/>
              </w:rPr>
              <w:t>Total intrinsic value of stock options exercised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43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40" w:before="180" w:after="180"/>
              <w:jc w:val="left"/>
              <w:rPr>
                <w:rFonts w:ascii="Times New Roman;serif" w:hAnsi="Times New Roman;serif"/>
                <w:b w:val="false"/>
                <w:color w:val="000000"/>
                <w:sz w:val="20"/>
              </w:rPr>
            </w:pPr>
            <w:r>
              <w:rPr>
                <w:rFonts w:ascii="Times New Roman;serif" w:hAnsi="Times New Roman;serif"/>
                <w:b w:val="false"/>
                <w:color w:val="000000"/>
                <w:sz w:val="20"/>
              </w:rPr>
              <w:t>Total cash received for stock options exercised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tcMar>
              <w:top w:w="0" w:type="dxa"/>
              <w:left w:w="0" w:type="dxa"/>
              <w:bottom w:w="0" w:type="dxa"/>
              <w:right w:w="0" w:type="dxa"/>
            </w:tcMar>
            <w:vAlign w:val="center"/>
          </w:tcPr>
          <w:p>
            <w:pPr>
              <w:pStyle w:val="TableContents"/>
              <w:bidi w:val="0"/>
              <w:spacing w:lineRule="auto" w:line="240" w:before="180" w:after="180"/>
              <w:jc w:val="left"/>
              <w:rPr>
                <w:rFonts w:ascii="Times New Roman;serif" w:hAnsi="Times New Roman;serif"/>
                <w:b w:val="false"/>
                <w:color w:val="000000"/>
                <w:sz w:val="20"/>
              </w:rPr>
            </w:pPr>
            <w:r>
              <w:rPr>
                <w:rFonts w:ascii="Times New Roman;serif" w:hAnsi="Times New Roman;serif"/>
                <w:b w:val="false"/>
                <w:color w:val="000000"/>
                <w:sz w:val="20"/>
              </w:rPr>
              <w:t>Total grant date fair value of stock options vested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43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4,285 </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9,494 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180"/>
        <w:jc w:val="left"/>
        <w:rPr>
          <w:rFonts w:ascii="Times New Roman;serif" w:hAnsi="Times New Roman;serif"/>
          <w:b/>
          <w:i/>
          <w:color w:val="000000"/>
          <w:sz w:val="20"/>
        </w:rPr>
      </w:pPr>
      <w:r>
        <w:rPr>
          <w:rFonts w:ascii="Times New Roman;serif" w:hAnsi="Times New Roman;serif"/>
          <w:b/>
          <w:i/>
          <w:color w:val="000000"/>
          <w:sz w:val="20"/>
        </w:rPr>
        <w:t>Restricted Stock Units</w:t>
      </w:r>
    </w:p>
    <w:p>
      <w:pPr>
        <w:pStyle w:val="TextBody"/>
        <w:bidi w:val="0"/>
        <w:spacing w:lineRule="auto" w:line="288" w:before="0" w:after="180"/>
        <w:ind w:left="0" w:right="0" w:firstLine="720"/>
        <w:jc w:val="left"/>
        <w:rPr/>
      </w:pPr>
      <w:r>
        <w:rPr>
          <w:rFonts w:ascii="Times New Roman;serif" w:hAnsi="Times New Roman;serif"/>
          <w:b w:val="false"/>
          <w:color w:val="000000"/>
          <w:sz w:val="20"/>
        </w:rPr>
        <w:t>Restricted stock units (RSUs) are valued based on the closing price of the Company’s common stock on the date of the grant. The fair value of RSUs is recognized and amortized on a straight-line basis over the requisite service period of the award</w:t>
      </w:r>
      <w:r>
        <w:rPr>
          <w:rFonts w:ascii="sans-serif" w:hAnsi="sans-serif"/>
          <w:b w:val="false"/>
          <w:color w:val="252525"/>
          <w:sz w:val="20"/>
        </w:rPr>
        <w:t>.</w:t>
      </w:r>
      <w:r>
        <w:rPr>
          <w:color w:val="000000"/>
        </w:rPr>
        <w:t xml:space="preserve"> </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RSU activity during the six months ended June 30, 2026:</w:t>
      </w:r>
    </w:p>
    <w:tbl>
      <w:tblPr>
        <w:tblW w:w="6297" w:type="dxa"/>
        <w:jc w:val="left"/>
        <w:tblInd w:w="0" w:type="dxa"/>
        <w:tblLayout w:type="fixed"/>
        <w:tblCellMar>
          <w:top w:w="28" w:type="dxa"/>
          <w:left w:w="28" w:type="dxa"/>
          <w:bottom w:w="28" w:type="dxa"/>
          <w:right w:w="28" w:type="dxa"/>
        </w:tblCellMar>
      </w:tblPr>
      <w:tblGrid>
        <w:gridCol w:w="1010"/>
        <w:gridCol w:w="889"/>
        <w:gridCol w:w="891"/>
        <w:gridCol w:w="449"/>
        <w:gridCol w:w="451"/>
        <w:gridCol w:w="226"/>
        <w:gridCol w:w="109"/>
        <w:gridCol w:w="109"/>
        <w:gridCol w:w="109"/>
        <w:gridCol w:w="494"/>
        <w:gridCol w:w="1198"/>
        <w:gridCol w:w="362"/>
      </w:tblGrid>
      <w:tr>
        <w:trPr/>
        <w:tc>
          <w:tcPr>
            <w:tcW w:w="1010"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Weighted-Average</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Grant Date Fair Value</w:t>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December 31, 2025</w:t>
            </w:r>
          </w:p>
        </w:tc>
        <w:tc>
          <w:tcPr>
            <w:tcW w:w="90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745,796 </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8.84 </w:t>
            </w:r>
          </w:p>
        </w:tc>
        <w:tc>
          <w:tcPr>
            <w:tcW w:w="3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696,260 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(393,754)</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8.62 </w:t>
            </w:r>
          </w:p>
        </w:tc>
        <w:tc>
          <w:tcPr>
            <w:tcW w:w="3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(212,292)</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June 30, 2026</w:t>
            </w:r>
          </w:p>
        </w:tc>
        <w:tc>
          <w:tcPr>
            <w:tcW w:w="900"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836,010 </w:t>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4.12 </w:t>
            </w:r>
          </w:p>
        </w:tc>
        <w:tc>
          <w:tcPr>
            <w:tcW w:w="3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At June 30, 2026, there was $2.1 million of total unrecognized compensation cost related to unvested RSUs, which the Company expects to recognize over a remaining weighted-average period of approximately 1.2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8. Commitments and Contingencies</w:t>
      </w:r>
    </w:p>
    <w:p>
      <w:pPr>
        <w:pStyle w:val="TextBody"/>
        <w:bidi w:val="0"/>
        <w:spacing w:lineRule="auto" w:line="288" w:before="180" w:after="180"/>
        <w:jc w:val="left"/>
        <w:rPr>
          <w:rFonts w:ascii="Times New Roman;serif" w:hAnsi="Times New Roman;serif"/>
          <w:b/>
          <w:i/>
          <w:color w:val="000000"/>
          <w:sz w:val="20"/>
        </w:rPr>
      </w:pPr>
      <w:r>
        <w:rPr>
          <w:rFonts w:ascii="Times New Roman;serif" w:hAnsi="Times New Roman;serif"/>
          <w:b/>
          <w:i/>
          <w:color w:val="000000"/>
          <w:sz w:val="20"/>
        </w:rPr>
        <w:t>In-licensing Arrangement</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January 2022, the Company entered into a non-exclusive license agreement with Synaffix B.V., a Lonza company, (Synaffix) to develop, manufacture and commercialize up to three antibody-drug conjugate targets using Synaffix’s proprietary technology. The Company made an upfront payment to Synaffix upon contract execution. In March 2023, the Company and Synaffix amended the agreement, adding four additional targets. Assuming all seven targets are successfully developed and commercialized, the Company would be obligated to pay up to $2.8 billion for development, regulatory and sales milestones. Finally, pursuant to the terms of this license agreement, as amended, upon commencement of commercial sales of any products developed from these targets, the Company would be required to pay Synaffix tiered royalties in the low</w:t>
        <w:noBreakHyphen/>
        <w:t>single digit percentages on net sales of the respective products. The Company may terminate this agreement at any time with 30 days’ notice to Synaffix. Amounts paid to Synaffix under this agreement are recorded as research and development expense in the consolidated statements of operations and comprehensive income (loss). During the three months ended June 30, 2026, the company recorded no expense under this agreement compared to $1.2 million during the three months ended June 30, 2025. During the six months ended June 30, 2026 and 2025, the Company recorded expense of $0.3 million and $2.4 million, respectively, under this agreement.</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Contractual Commitments</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has certain contractual commitments under manufacturing-related supplier arrangements as of June 30, 2026 totaling $10.4 million that expire through November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9. Net Income (Loss) Per Share</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numerator for both basic and diluted earnings per share (EPS) is net income (loss). The denominator for basic EPS is the weighted-average number of shares outstanding during the period. The dilutive effect of outstanding stock options and RSUs is reflected in the denominator for diluted EPS using the treasury stock method.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is a reconciliation of loss from continuing operations to net income (loss). </w:t>
      </w:r>
    </w:p>
    <w:tbl>
      <w:tblPr>
        <w:tblW w:w="10154" w:type="dxa"/>
        <w:jc w:val="left"/>
        <w:tblInd w:w="0" w:type="dxa"/>
        <w:tblLayout w:type="fixed"/>
        <w:tblCellMar>
          <w:top w:w="28" w:type="dxa"/>
          <w:left w:w="28" w:type="dxa"/>
          <w:bottom w:w="28" w:type="dxa"/>
          <w:right w:w="28" w:type="dxa"/>
        </w:tblCellMar>
      </w:tblPr>
      <w:tblGrid>
        <w:gridCol w:w="1631"/>
        <w:gridCol w:w="1432"/>
        <w:gridCol w:w="1436"/>
        <w:gridCol w:w="216"/>
        <w:gridCol w:w="816"/>
        <w:gridCol w:w="111"/>
        <w:gridCol w:w="111"/>
        <w:gridCol w:w="111"/>
        <w:gridCol w:w="111"/>
        <w:gridCol w:w="216"/>
        <w:gridCol w:w="816"/>
        <w:gridCol w:w="111"/>
        <w:gridCol w:w="109"/>
        <w:gridCol w:w="109"/>
        <w:gridCol w:w="109"/>
        <w:gridCol w:w="211"/>
        <w:gridCol w:w="901"/>
        <w:gridCol w:w="109"/>
        <w:gridCol w:w="109"/>
        <w:gridCol w:w="109"/>
        <w:gridCol w:w="109"/>
        <w:gridCol w:w="211"/>
        <w:gridCol w:w="796"/>
        <w:gridCol w:w="154"/>
      </w:tblGrid>
      <w:tr>
        <w:trPr/>
        <w:tc>
          <w:tcPr>
            <w:tcW w:w="1631" w:type="dxa"/>
            <w:tcBorders/>
            <w:vAlign w:val="center"/>
          </w:tcPr>
          <w:p>
            <w:pPr>
              <w:pStyle w:val="TableContents"/>
              <w:bidi w:val="0"/>
              <w:spacing w:before="0" w:after="283"/>
              <w:jc w:val="left"/>
              <w:rPr>
                <w:sz w:val="4"/>
                <w:szCs w:val="4"/>
              </w:rPr>
            </w:pPr>
            <w:r>
              <w:rPr>
                <w:sz w:val="4"/>
                <w:szCs w:val="4"/>
              </w:rPr>
            </w:r>
          </w:p>
        </w:tc>
        <w:tc>
          <w:tcPr>
            <w:tcW w:w="1432"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from continuing operations</w:t>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(69,642)</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(42,717)</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(110,940)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(84,504)</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from discontinued operations, net of taxes</w:t>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89,157 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93,681 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19,515 </w:t>
            </w:r>
          </w:p>
        </w:tc>
        <w:tc>
          <w:tcPr>
            <w:tcW w:w="1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(36,251)</w:t>
            </w:r>
          </w:p>
        </w:tc>
        <w:tc>
          <w:tcPr>
            <w:tcW w:w="1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(17,259)</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(77,287)</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is a reconciliation of basic shares and diluted shares:</w:t>
      </w:r>
    </w:p>
    <w:tbl>
      <w:tblPr>
        <w:tblW w:w="9857" w:type="dxa"/>
        <w:jc w:val="left"/>
        <w:tblInd w:w="0" w:type="dxa"/>
        <w:tblLayout w:type="fixed"/>
        <w:tblCellMar>
          <w:top w:w="28" w:type="dxa"/>
          <w:left w:w="28" w:type="dxa"/>
          <w:bottom w:w="28" w:type="dxa"/>
          <w:right w:w="28" w:type="dxa"/>
        </w:tblCellMar>
      </w:tblPr>
      <w:tblGrid>
        <w:gridCol w:w="853"/>
        <w:gridCol w:w="749"/>
        <w:gridCol w:w="753"/>
        <w:gridCol w:w="754"/>
        <w:gridCol w:w="327"/>
        <w:gridCol w:w="291"/>
        <w:gridCol w:w="291"/>
        <w:gridCol w:w="291"/>
        <w:gridCol w:w="291"/>
        <w:gridCol w:w="754"/>
        <w:gridCol w:w="327"/>
        <w:gridCol w:w="291"/>
        <w:gridCol w:w="109"/>
        <w:gridCol w:w="109"/>
        <w:gridCol w:w="109"/>
        <w:gridCol w:w="668"/>
        <w:gridCol w:w="413"/>
        <w:gridCol w:w="258"/>
        <w:gridCol w:w="258"/>
        <w:gridCol w:w="258"/>
        <w:gridCol w:w="258"/>
        <w:gridCol w:w="668"/>
        <w:gridCol w:w="413"/>
        <w:gridCol w:w="364"/>
      </w:tblGrid>
      <w:tr>
        <w:trPr/>
        <w:tc>
          <w:tcPr>
            <w:tcW w:w="853"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87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77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shares</w:t>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63,594,453 </w:t>
            </w:r>
          </w:p>
        </w:tc>
        <w:tc>
          <w:tcPr>
            <w:tcW w:w="29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63,136,057 </w:t>
            </w:r>
          </w:p>
        </w:tc>
        <w:tc>
          <w:tcPr>
            <w:tcW w:w="29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63,522,516 </w:t>
            </w:r>
          </w:p>
        </w:tc>
        <w:tc>
          <w:tcPr>
            <w:tcW w:w="2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63,051,207 </w:t>
            </w:r>
          </w:p>
        </w:tc>
        <w:tc>
          <w:tcPr>
            <w:tcW w:w="36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Effect of dilutive securities </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shares</w:t>
            </w:r>
          </w:p>
        </w:tc>
        <w:tc>
          <w:tcPr>
            <w:tcW w:w="108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63,594,453 </w:t>
            </w:r>
          </w:p>
        </w:tc>
        <w:tc>
          <w:tcPr>
            <w:tcW w:w="2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63,136,057 </w:t>
            </w:r>
          </w:p>
        </w:tc>
        <w:tc>
          <w:tcPr>
            <w:tcW w:w="2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63,522,516 </w:t>
            </w:r>
          </w:p>
        </w:tc>
        <w:tc>
          <w:tcPr>
            <w:tcW w:w="2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63,051,207 </w:t>
            </w:r>
          </w:p>
        </w:tc>
        <w:tc>
          <w:tcPr>
            <w:tcW w:w="36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Basic and diluted shares are the same for the three and six months ended June 30, 2026 and 2025 due to the Company's net loss from continuing operations. Although the Company recorded net income from discontinued operations in all periods presented, the net income from discontinued operations does not change the treatment of potentially dilutive securities. The Company is required to use net income (loss) from continuing operations as the benchmark to determine whether potential common shares are dilutive or antidilutive. Accordingly, all stock options and RSUs are excluded from the per share calculations as such securities were anti-dilutive for all periods presented and the number of stock options and RSUs that were excluded from the calculation of net loss per share are 15,596,192 and 15,508,633 for the three and six months ended June 30, 2026 and 2025,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10. Segment Reporting</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identifies its reportable segments based on information reviewed by the Company’s Chief Operating Decision Maker (CODM), who is the Chief Executive Officer. The Company operates as one operating and reportable segment, which is developing innovative antibody-based therapeutics for the treatment of cancer. The Company has determined its reportable operating segment based on the management approach, which considers the internal organization and reporting used by the Company’s CODM to make decisions about allocating resources and assessing the Company’s performance. The determination of a single business segment is consistent with the consolidated financial information regularly reviewed by the CODM for purposes of assessing performance and allocating resources. </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CODM uses consolidated net loss from continuing operations, consistent with the amounts reported in the Company’s consolidated statements of operations to evaluate performance, forecast future period financial results and allocate resources. Please refer to the consolidated balance sheets and the accompanying notes to the consolidated financial statements for segment asset information.</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table below summarizes the significant expenses regularly reviewed by the CODM (in thousands):</w:t>
      </w:r>
    </w:p>
    <w:tbl>
      <w:tblPr>
        <w:tblW w:w="9652" w:type="dxa"/>
        <w:jc w:val="left"/>
        <w:tblInd w:w="0" w:type="dxa"/>
        <w:tblLayout w:type="fixed"/>
        <w:tblCellMar>
          <w:top w:w="28" w:type="dxa"/>
          <w:left w:w="28" w:type="dxa"/>
          <w:bottom w:w="28" w:type="dxa"/>
          <w:right w:w="28" w:type="dxa"/>
        </w:tblCellMar>
      </w:tblPr>
      <w:tblGrid>
        <w:gridCol w:w="1365"/>
        <w:gridCol w:w="1205"/>
        <w:gridCol w:w="1209"/>
        <w:gridCol w:w="216"/>
        <w:gridCol w:w="816"/>
        <w:gridCol w:w="111"/>
        <w:gridCol w:w="111"/>
        <w:gridCol w:w="111"/>
        <w:gridCol w:w="111"/>
        <w:gridCol w:w="216"/>
        <w:gridCol w:w="816"/>
        <w:gridCol w:w="111"/>
        <w:gridCol w:w="109"/>
        <w:gridCol w:w="109"/>
        <w:gridCol w:w="109"/>
        <w:gridCol w:w="211"/>
        <w:gridCol w:w="901"/>
        <w:gridCol w:w="109"/>
        <w:gridCol w:w="109"/>
        <w:gridCol w:w="109"/>
        <w:gridCol w:w="109"/>
        <w:gridCol w:w="211"/>
        <w:gridCol w:w="796"/>
        <w:gridCol w:w="109"/>
        <w:gridCol w:w="109"/>
        <w:gridCol w:w="154"/>
      </w:tblGrid>
      <w:tr>
        <w:trPr/>
        <w:tc>
          <w:tcPr>
            <w:tcW w:w="136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 (a)</w:t>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32,832 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6,869 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39,553 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13,911 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w:t>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MGC028</w:t>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10,179 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MGC026</w:t>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Lorigerlimab</w:t>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10,547 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Next-generation T-cell engagers</w:t>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MGC030</w:t>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MGD024</w:t>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Vobramitamab duocarmazine</w:t>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Preclinical antibody-drug conjugates (ADCs)</w:t>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programs</w:t>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research and development expenses</w:t>
            </w:r>
          </w:p>
        </w:tc>
        <w:tc>
          <w:tcPr>
            <w:tcW w:w="10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38,780 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40,791 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73,754 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80,489 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9,302 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segment income (loss), net (b)</w:t>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(55,790)</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from continuing operations</w:t>
            </w:r>
          </w:p>
        </w:tc>
        <w:tc>
          <w:tcPr>
            <w:tcW w:w="2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(69,642)</w:t>
            </w:r>
          </w:p>
        </w:tc>
        <w:tc>
          <w:tcPr>
            <w:tcW w:w="1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(42,717)</w:t>
            </w:r>
          </w:p>
        </w:tc>
        <w:tc>
          <w:tcPr>
            <w:tcW w:w="1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(110,940)</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(84,504)</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 Total revenue includes collaborative and other agreements and royalty revenue.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 Other segment income (loss), net includes interest and other income and interest and other expense, and for the three and six months ended June 30, 2026 the loss on extinguishment of royalty monetization liability.</w:t>
      </w:r>
    </w:p>
    <w:p>
      <w:pPr>
        <w:pStyle w:val="TextBody"/>
        <w:bidi w:val="0"/>
        <w:spacing w:before="0" w:after="0"/>
        <w:jc w:val="left"/>
        <w:rPr/>
      </w:pPr>
      <w:r>
        <w:rPr/>
      </w:r>
    </w:p>
    <w:p>
      <w:pPr>
        <w:pStyle w:val="TextBody"/>
        <w:bidi w:val="0"/>
        <w:spacing w:lineRule="auto" w:line="256"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operates in the United States and all material long-lived assets of the Company reside in the United States. For information about the Company’s revenues, see Note 6. Revenue.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11. Discontinued Operations</w:t>
      </w:r>
    </w:p>
    <w:p>
      <w:pPr>
        <w:pStyle w:val="TextBody"/>
        <w:bidi w:val="0"/>
        <w:spacing w:lineRule="auto" w:line="288" w:before="18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May 11, 2026, the Company entered into the Bora Agreement to sell certain assets and liabilities comprising its CDMO Operations, including the leased warehouse in Frederick, Maryland to Bora for cash consideration of $122.5 million, subject to certain closing cash, working capital and indebtedness adjustments. The disposal represents a strategic shift that has a major effect on the Company’s operations and financial results, reflecting the Company’s exit from its contract manufacturing line of business and its decision to focus its resources on its pre-clinical and clinical-stage research and development pipeline. Accordingly, the results of the CDMO Operations are reported as discontinued operations for all periods presented in the accompanying consolidated financial statements.</w:t>
      </w:r>
    </w:p>
    <w:p>
      <w:pPr>
        <w:pStyle w:val="TextBody"/>
        <w:bidi w:val="0"/>
        <w:spacing w:lineRule="auto" w:line="288" w:before="18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Effective as of June 30, 2026, the Company and Bora completed the sale under the Bora Agreement, and the Company received cash consideration of $119.6 million, subject to customary post-closing adjustments for net working capital and indebtedness, in July 2026. The Company is entitled to receive up to an additional $5.0 million of contingent consideration upon the achievement of specified manufacturing and process development milestones during 2027 and 2028. The Company assessed the likelihood of achieving these milestones as remote and, accordingly, assigned a de minimis value to the contingent consideration at closing. Any additional consideration will be recognized within discontinued operations in the period the related milestones are achieved. Subsequent changes in the estimated fair value of the contingent consideration, if any, will be recognized in earnings in the period of change.</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CDMO Operations were classified as held for sale during the three months ended June 30, 2026 and were disposed of on June 30, 2026.</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carrying value of the assets and liabilities of the Company’s former CDMO discontinued operations, as of December 31, 2025 were as follows:</w:t>
      </w:r>
    </w:p>
    <w:tbl>
      <w:tblPr>
        <w:tblW w:w="5921" w:type="dxa"/>
        <w:jc w:val="left"/>
        <w:tblInd w:w="0" w:type="dxa"/>
        <w:tblLayout w:type="fixed"/>
        <w:tblCellMar>
          <w:top w:w="28" w:type="dxa"/>
          <w:left w:w="28" w:type="dxa"/>
          <w:bottom w:w="28" w:type="dxa"/>
          <w:right w:w="28" w:type="dxa"/>
        </w:tblCellMar>
      </w:tblPr>
      <w:tblGrid>
        <w:gridCol w:w="1377"/>
        <w:gridCol w:w="1217"/>
        <w:gridCol w:w="1230"/>
        <w:gridCol w:w="109"/>
        <w:gridCol w:w="109"/>
        <w:gridCol w:w="109"/>
        <w:gridCol w:w="344"/>
        <w:gridCol w:w="1175"/>
        <w:gridCol w:w="251"/>
      </w:tblGrid>
      <w:tr>
        <w:trPr/>
        <w:tc>
          <w:tcPr>
            <w:tcW w:w="1377"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December 31, 2025</w:t>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12,946 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7,910 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1,521 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22,377 </w:t>
            </w:r>
          </w:p>
        </w:tc>
        <w:tc>
          <w:tcPr>
            <w:tcW w:w="25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equipment and software,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10,522 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1,115 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1,178 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35,192 </w:t>
            </w:r>
          </w:p>
        </w:tc>
        <w:tc>
          <w:tcPr>
            <w:tcW w:w="25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1,529 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9,645 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11,615 </w:t>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liabilities, net of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12,599 </w:t>
            </w:r>
          </w:p>
        </w:tc>
        <w:tc>
          <w:tcPr>
            <w:tcW w:w="2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i/>
          <w:color w:val="000000"/>
          <w:sz w:val="20"/>
        </w:rPr>
      </w:pPr>
      <w:r>
        <w:rPr>
          <w:rFonts w:ascii="Times New Roman;serif" w:hAnsi="Times New Roman;serif"/>
          <w:b w:val="false"/>
          <w:i/>
          <w:color w:val="000000"/>
          <w:sz w:val="20"/>
        </w:rPr>
        <w:t>Gain on sale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three and six months ended June 30, 2026, the Company recognized a pretax net gain on the sale of the CDMO Operations before and after transaction related costs of $94.8 million, and $86.1 million, respectively, which is included in net income from discontinued operations, net of tax in the consolidated statements of operations. The gain after transaction related costs on the sale of CDMO Operations (the net gain) reflects the deduction of incremental costs directly incurred in the sale of CDMO operations which amounted to $8.8 million. The net gain was computed as follows and remains subject to finalization of customary post-closing purchase price adjustments:</w:t>
      </w:r>
    </w:p>
    <w:p>
      <w:pPr>
        <w:pStyle w:val="TextBody"/>
        <w:bidi w:val="0"/>
        <w:spacing w:before="0" w:after="0"/>
        <w:jc w:val="left"/>
        <w:rPr/>
      </w:pPr>
      <w:r>
        <w:rPr/>
      </w:r>
    </w:p>
    <w:tbl>
      <w:tblPr>
        <w:tblW w:w="6243" w:type="dxa"/>
        <w:jc w:val="left"/>
        <w:tblInd w:w="0" w:type="dxa"/>
        <w:tblLayout w:type="fixed"/>
        <w:tblCellMar>
          <w:top w:w="28" w:type="dxa"/>
          <w:left w:w="28" w:type="dxa"/>
          <w:bottom w:w="28" w:type="dxa"/>
          <w:right w:w="28" w:type="dxa"/>
        </w:tblCellMar>
      </w:tblPr>
      <w:tblGrid>
        <w:gridCol w:w="1711"/>
        <w:gridCol w:w="1503"/>
        <w:gridCol w:w="1511"/>
        <w:gridCol w:w="109"/>
        <w:gridCol w:w="109"/>
        <w:gridCol w:w="109"/>
        <w:gridCol w:w="211"/>
        <w:gridCol w:w="826"/>
        <w:gridCol w:w="154"/>
      </w:tblGrid>
      <w:tr>
        <w:trPr/>
        <w:tc>
          <w:tcPr>
            <w:tcW w:w="1711"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consideration, net of estimated closing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119,572 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to sell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(8,765)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Carrying amount of assets sold: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receivables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(11,778)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(9,075)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 sold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(35,586)</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Carrying amount of net liabilities assumed: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assumed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10,856 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carrying amount of net assets sold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(24,730)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gain on sale of the CDMO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86,077 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90"/>
        <w:jc w:val="both"/>
        <w:rPr>
          <w:rFonts w:ascii="Times New Roman;serif" w:hAnsi="Times New Roman;serif"/>
          <w:b w:val="false"/>
          <w:i/>
          <w:color w:val="000000"/>
          <w:sz w:val="20"/>
        </w:rPr>
      </w:pPr>
      <w:r>
        <w:rPr>
          <w:rFonts w:ascii="Times New Roman;serif" w:hAnsi="Times New Roman;serif"/>
          <w:b w:val="false"/>
          <w:i/>
          <w:color w:val="000000"/>
          <w:sz w:val="20"/>
        </w:rPr>
        <w:t>Results of discontinued operations</w:t>
      </w:r>
    </w:p>
    <w:p>
      <w:pPr>
        <w:pStyle w:val="TextBody"/>
        <w:bidi w:val="0"/>
        <w:spacing w:lineRule="auto" w:line="288" w:before="0" w:after="0"/>
        <w:ind w:left="0" w:right="0" w:firstLine="81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the major classes of line items constituting income from discontinued operations, net of tax, for the periods presented: </w:t>
      </w:r>
    </w:p>
    <w:p>
      <w:pPr>
        <w:pStyle w:val="TextBody"/>
        <w:bidi w:val="0"/>
        <w:spacing w:before="0" w:after="0"/>
        <w:jc w:val="left"/>
        <w:rPr/>
      </w:pPr>
      <w:r>
        <w:rPr/>
      </w:r>
    </w:p>
    <w:tbl>
      <w:tblPr>
        <w:tblW w:w="9900" w:type="dxa"/>
        <w:jc w:val="left"/>
        <w:tblInd w:w="0" w:type="dxa"/>
        <w:tblLayout w:type="fixed"/>
        <w:tblCellMar>
          <w:top w:w="28" w:type="dxa"/>
          <w:left w:w="28" w:type="dxa"/>
          <w:bottom w:w="28" w:type="dxa"/>
          <w:right w:w="28" w:type="dxa"/>
        </w:tblCellMar>
      </w:tblPr>
      <w:tblGrid>
        <w:gridCol w:w="1630"/>
        <w:gridCol w:w="1433"/>
        <w:gridCol w:w="1436"/>
        <w:gridCol w:w="230"/>
        <w:gridCol w:w="785"/>
        <w:gridCol w:w="118"/>
        <w:gridCol w:w="118"/>
        <w:gridCol w:w="118"/>
        <w:gridCol w:w="118"/>
        <w:gridCol w:w="230"/>
        <w:gridCol w:w="785"/>
        <w:gridCol w:w="118"/>
        <w:gridCol w:w="109"/>
        <w:gridCol w:w="109"/>
        <w:gridCol w:w="109"/>
        <w:gridCol w:w="211"/>
        <w:gridCol w:w="721"/>
        <w:gridCol w:w="109"/>
        <w:gridCol w:w="109"/>
        <w:gridCol w:w="109"/>
        <w:gridCol w:w="109"/>
        <w:gridCol w:w="211"/>
        <w:gridCol w:w="721"/>
        <w:gridCol w:w="154"/>
      </w:tblGrid>
      <w:tr>
        <w:trPr/>
        <w:tc>
          <w:tcPr>
            <w:tcW w:w="1630"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manufacturing revenue</w:t>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13,142 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15,372 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manufacturing services</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(10,062)</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(8,906)</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(14,306)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 of the CDMO Operations</w:t>
            </w:r>
          </w:p>
        </w:tc>
        <w:tc>
          <w:tcPr>
            <w:tcW w:w="101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3,080 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6,466 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gain on sale of the CDMO Operations</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86,077 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499"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from discontinued operations, net of taxes</w:t>
            </w:r>
          </w:p>
        </w:tc>
        <w:tc>
          <w:tcPr>
            <w:tcW w:w="2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89,157 </w:t>
            </w:r>
          </w:p>
        </w:tc>
        <w:tc>
          <w:tcPr>
            <w:tcW w:w="1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6,466 </w:t>
            </w:r>
          </w:p>
        </w:tc>
        <w:tc>
          <w:tcPr>
            <w:tcW w:w="1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93,681 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7,217 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4" w:before="0" w:after="0"/>
        <w:jc w:val="both"/>
        <w:rPr>
          <w:rFonts w:ascii="Times New Roman;serif" w:hAnsi="Times New Roman;serif"/>
          <w:b w:val="false"/>
          <w:i/>
          <w:color w:val="000000"/>
          <w:sz w:val="20"/>
        </w:rPr>
      </w:pPr>
      <w:r>
        <w:rPr>
          <w:rFonts w:ascii="Times New Roman;serif" w:hAnsi="Times New Roman;serif"/>
          <w:b w:val="false"/>
          <w:i/>
          <w:color w:val="000000"/>
          <w:sz w:val="20"/>
        </w:rPr>
        <w:t>Cash flows of discontinued operations</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Cash flows attributable to the Company's discontinued operations are included in the Company's consolidated statements of cash flows. Significant non-cash activities attributable to discontinued operations consisted of the following (in thousands):</w:t>
      </w:r>
    </w:p>
    <w:p>
      <w:pPr>
        <w:pStyle w:val="TextBody"/>
        <w:bidi w:val="0"/>
        <w:spacing w:before="0" w:after="0"/>
        <w:ind w:left="0" w:right="0" w:firstLine="720"/>
        <w:jc w:val="both"/>
        <w:rPr/>
      </w:pPr>
      <w:r>
        <w:rPr/>
      </w:r>
    </w:p>
    <w:tbl>
      <w:tblPr>
        <w:tblW w:w="7243" w:type="dxa"/>
        <w:jc w:val="left"/>
        <w:tblInd w:w="0" w:type="dxa"/>
        <w:tblLayout w:type="fixed"/>
        <w:tblCellMar>
          <w:top w:w="28" w:type="dxa"/>
          <w:left w:w="28" w:type="dxa"/>
          <w:bottom w:w="28" w:type="dxa"/>
          <w:right w:w="28" w:type="dxa"/>
        </w:tblCellMar>
      </w:tblPr>
      <w:tblGrid>
        <w:gridCol w:w="1743"/>
        <w:gridCol w:w="1533"/>
        <w:gridCol w:w="1539"/>
        <w:gridCol w:w="228"/>
        <w:gridCol w:w="667"/>
        <w:gridCol w:w="118"/>
        <w:gridCol w:w="118"/>
        <w:gridCol w:w="118"/>
        <w:gridCol w:w="118"/>
        <w:gridCol w:w="228"/>
        <w:gridCol w:w="667"/>
        <w:gridCol w:w="166"/>
      </w:tblGrid>
      <w:tr>
        <w:trPr/>
        <w:tc>
          <w:tcPr>
            <w:tcW w:w="1743" w:type="dxa"/>
            <w:tcBorders/>
            <w:vAlign w:val="center"/>
          </w:tcPr>
          <w:p>
            <w:pPr>
              <w:pStyle w:val="TableContents"/>
              <w:bidi w:val="0"/>
              <w:spacing w:before="0" w:after="283"/>
              <w:jc w:val="left"/>
              <w:rPr>
                <w:sz w:val="4"/>
                <w:szCs w:val="4"/>
              </w:rPr>
            </w:pPr>
            <w:r>
              <w:rPr>
                <w:sz w:val="4"/>
                <w:szCs w:val="4"/>
              </w:rPr>
            </w:r>
          </w:p>
        </w:tc>
        <w:tc>
          <w:tcPr>
            <w:tcW w:w="1533"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1,798 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2,788 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lease expense</w:t>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CDMO operations before transaction costs</w:t>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(94,842)</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180"/>
        <w:jc w:val="both"/>
        <w:rPr>
          <w:rFonts w:ascii="Times New Roman;serif" w:hAnsi="Times New Roman;serif"/>
          <w:b w:val="false"/>
          <w:i/>
          <w:color w:val="000000"/>
          <w:sz w:val="20"/>
        </w:rPr>
      </w:pPr>
      <w:r>
        <w:rPr>
          <w:rFonts w:ascii="Times New Roman;serif" w:hAnsi="Times New Roman;serif"/>
          <w:b w:val="false"/>
          <w:i/>
          <w:color w:val="000000"/>
          <w:sz w:val="20"/>
        </w:rPr>
        <w:t>Continuing involvement</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connection with the sale, the Company and Bora entered into a number of agreements that constitute continuing involvement with the CDMO Operations following the disposal:</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Manufacturing and Supply Agreement</w:t>
      </w:r>
    </w:p>
    <w:p>
      <w:pPr>
        <w:pStyle w:val="TextBody"/>
        <w:bidi w:val="0"/>
        <w:spacing w:before="0" w:after="0"/>
        <w:ind w:left="0" w:right="0" w:firstLine="360"/>
        <w:jc w:val="both"/>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Bora will manufacture and supply specified products to the Company using reserved capacity at the Rockville facility. The Company accounts for this arrangement as a supply contract. The Company evaluated whether that contains a lease under ASC 842. The Company concluded that the agreement does not contain an embedded lease, because the reserved manufacturing capacity is not an identified asset that the Company controls and the counterparty retains substantive rights to substitute and reallocate that capacity, and accordingly no right-of-use asset or lease liability has been recognized The initial term is for three years from June 30, 2026. Amounts recognized under this agreement will commence after June 30, 2026. </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Transition Services Agreement</w:t>
      </w:r>
    </w:p>
    <w:p>
      <w:pPr>
        <w:pStyle w:val="TextBody"/>
        <w:bidi w:val="0"/>
        <w:spacing w:before="0" w:after="0"/>
        <w:ind w:left="0" w:right="0" w:firstLine="36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and Bora will provide each other with specified transitional support services on a cost-reimbursement basis with no markup, for a period expected to be less than one year. Amounts recognized under this agreement will commence after June 30, 2026.</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Manufacturing Facility Lease Assignment</w:t>
      </w:r>
    </w:p>
    <w:p>
      <w:pPr>
        <w:pStyle w:val="TextBody"/>
        <w:bidi w:val="0"/>
        <w:spacing w:before="0" w:after="0"/>
        <w:ind w:left="0" w:right="0" w:firstLine="360"/>
        <w:jc w:val="both"/>
        <w:rPr/>
      </w:pPr>
      <w:r>
        <w:rPr/>
      </w:r>
    </w:p>
    <w:p>
      <w:pPr>
        <w:pStyle w:val="TextBody"/>
        <w:bidi w:val="0"/>
        <w:spacing w:lineRule="auto" w:line="276" w:before="0" w:after="0"/>
        <w:ind w:left="0" w:right="0" w:firstLine="360"/>
        <w:jc w:val="left"/>
        <w:rPr/>
      </w:pPr>
      <w:r>
        <w:rPr>
          <w:rFonts w:ascii="Times New Roman;serif" w:hAnsi="Times New Roman;serif"/>
          <w:b w:val="false"/>
          <w:color w:val="000000"/>
          <w:sz w:val="20"/>
        </w:rPr>
        <w:t>In connection with the sale of the CDMO Operations, the Company assigned its lease for the Rockville, Maryland manufacturing facility to Bora; Under the landlord's consent to that assignment, the Company was not relieved of its obligations under the original lease. The lease assignment is accounted for as an in-substance sublease and thus the right-of-use asset and lease liability have not been derecognized nor have the right-of-use asset and lease liability been included in the disposal group.</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12. Subsequent Event</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August 2026, Gilead exercised its option to obtain a license to exploit the research molecule and research product with respect to the First Research Program (see Note 6, Revenue, for additional information). In accordance with the terms of the First Letter Agreement under the Gilead Agreement, Gilead will pay the Company $10.0 million related to this option exercise.</w:t>
      </w:r>
    </w:p>
    <w:p>
      <w:pPr>
        <w:pStyle w:val="TextBody"/>
        <w:bidi w:val="0"/>
        <w:spacing w:before="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98"/>
        <w:gridCol w:w="261"/>
        <w:gridCol w:w="264"/>
        <w:gridCol w:w="2743"/>
        <w:gridCol w:w="2743"/>
        <w:gridCol w:w="3896"/>
      </w:tblGrid>
      <w:tr>
        <w:trPr/>
        <w:tc>
          <w:tcPr>
            <w:tcW w:w="298"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743" w:type="dxa"/>
            <w:tcBorders/>
            <w:vAlign w:val="center"/>
          </w:tcPr>
          <w:p>
            <w:pPr>
              <w:pStyle w:val="TableContents"/>
              <w:bidi w:val="0"/>
              <w:spacing w:before="0" w:after="283"/>
              <w:jc w:val="left"/>
              <w:rPr>
                <w:sz w:val="4"/>
                <w:szCs w:val="4"/>
              </w:rPr>
            </w:pPr>
            <w:r>
              <w:rPr>
                <w:sz w:val="4"/>
                <w:szCs w:val="4"/>
              </w:rPr>
            </w:r>
          </w:p>
        </w:tc>
        <w:tc>
          <w:tcPr>
            <w:tcW w:w="2743" w:type="dxa"/>
            <w:tcBorders/>
            <w:vAlign w:val="center"/>
          </w:tcPr>
          <w:p>
            <w:pPr>
              <w:pStyle w:val="TableContents"/>
              <w:bidi w:val="0"/>
              <w:spacing w:before="0" w:after="283"/>
              <w:jc w:val="left"/>
              <w:rPr>
                <w:sz w:val="4"/>
                <w:szCs w:val="4"/>
              </w:rPr>
            </w:pPr>
            <w:r>
              <w:rPr>
                <w:sz w:val="4"/>
                <w:szCs w:val="4"/>
              </w:rPr>
            </w:r>
          </w:p>
        </w:tc>
        <w:tc>
          <w:tcPr>
            <w:tcW w:w="3896" w:type="dxa"/>
            <w:tcBorders/>
            <w:vAlign w:val="center"/>
          </w:tcPr>
          <w:p>
            <w:pPr>
              <w:pStyle w:val="TableContents"/>
              <w:bidi w:val="0"/>
              <w:spacing w:before="0" w:after="283"/>
              <w:jc w:val="left"/>
              <w:rPr>
                <w:sz w:val="4"/>
                <w:szCs w:val="4"/>
              </w:rPr>
            </w:pPr>
            <w:r>
              <w:rPr>
                <w:sz w:val="4"/>
                <w:szCs w:val="4"/>
              </w:rPr>
            </w:r>
          </w:p>
        </w:tc>
      </w:tr>
      <w:tr>
        <w:trPr/>
        <w:tc>
          <w:tcPr>
            <w:tcW w:w="8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2.</w:t>
            </w:r>
          </w:p>
        </w:tc>
        <w:tc>
          <w:tcPr>
            <w:tcW w:w="93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MANAGEMENT'S DISCUSSION AND ANALYSIS OF FINANCIAL CONDITION AND RESULTS OF OPERATIONS</w:t>
            </w:r>
          </w:p>
        </w:tc>
      </w:tr>
    </w:tbl>
    <w:p>
      <w:pPr>
        <w:pStyle w:val="TextBody"/>
        <w:bidi w:val="0"/>
        <w:spacing w:lineRule="auto" w:line="288" w:before="0" w:after="180"/>
        <w:ind w:left="0" w:right="0" w:firstLine="900"/>
        <w:jc w:val="left"/>
        <w:rPr/>
      </w:pPr>
      <w:r>
        <w:rPr>
          <w:rFonts w:ascii="Times New Roman;serif" w:hAnsi="Times New Roman;serif"/>
          <w:b w:val="false"/>
          <w:i/>
          <w:color w:val="000000"/>
          <w:sz w:val="20"/>
        </w:rPr>
        <w:t>The following discussion of our financial condition and results of operations is based upon our unaudited consolidated financial statements included in this Quarterly Report on Form 10-Q, which have been prepared by us in accordance with U.S. generally accepted accounting principles (GAAP), for interim periods and with Regulation S-X promulgated under the Securities Exchange Act of 1934, as amended. This discussion and analysis should be read in conjunction with these unaudited consolidated financial statements and the notes thereto as well as in conjunction with our audited consolidated financial statements and related notes thereto included in our Annual Report on Form 10-K for the fiscal year ended December 31, 2025.</w:t>
      </w: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a clinical-stage biopharmaceutical company focused on developing innovative antibody-based therapeutics for the treatment of cancer. We generate our pipeline of product candidates from our proprietary suite of antibody technology platforms. We are currently developing therapeutics utilizing multiple modalities, including antibody-drug conjugates (ADCs) and multi-specific antibodies (which we refer to as DART and TRIDENT molecules). The combination of our technology platforms and antibody engineering expertise has allowed us to generate promising product candidates – three of which have received marketing approval by the U.S. Food and Drug Administration (FDA) – and to enter into several strategic collaborations with global biopharmaceutical companies. These collaborations have provided us with over $1.6 billion of non-dilutive funding since our inception in 2000, and have enabled us to leverage the additional expertise of our collaborators to advance the development of multiple partnered product candidates. In addition, we operated a commercial-scale cGMP antibody manufacturing facility in our Maryland headquarters. We utilized the facility to support our clinical programs and we also provided outsourced contract development and manufacturing services to our collaborators and other third parties for commercial and clinical products to offset a significant portion of the operating costs of this facility. Effective June 30, 2026, we completed the sale of certain assets and liabilities related to our GMP manufacturing operations, including our CDMO business (the CDMO Operations) conducted at our manufacturing facility and related warehouse operations located in Frederick, Maryland to Bora Pharmaceuticals Co., Ltd. and Bora Biologics USA, LLC (collectively, Bora). The transaction was conducted pursuant to the Asset Purchase Agreement, dated as of May 11, 2026 (the Bora Agreement). Under the terms of the Bora Agreement, Bora paid us $119.6 million in July 2026, which represented the purchase price of $122.5 million net of customary adjustments, including for working capital and indebtedness, and Bora assumed responsibility for the CDMO Operations.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currently have multiple proprietary product candidates. These include three clinical-stage ADCs incorporating a novel topoisomerase I inhibitor (TOP1i)-based linker-payload: MGC026, which targets B7-H3; MGC028, which targets ADAM9; and MGC030, which is directed against an undisclosed target. We are also developing lorigerlimab, a clinical-stage bispecific DART molecule targeting the immune checkpoint receptors PD-1 and CTLA-4. In addition, we are developing multiple preclinical-stage ADC and next-generation T-cell engager programs.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and our partners are developing or commercializing product candidates for which we retain certain economic rights. These include three products approved by the FDA: ZYNYZ (retifanlimab-dlwr), an anti-PD-1 monoclonal antibody (mAb) that we out-licensed; MARGENZA (margetuximab-cmkb), an anti-HER2 mAb that we sold to a partner; and TZIELD (teplizumab-mzwv), an anti-CD3 mAb that we sold to a partner. We are also collaborating with Gilead Sciences, Inc. (Gilead) on the development of MGD024, a bispecific DART molecule targeting CD123 and CD3 that utilizes our next-generation T-cell engager technology, as well as two additional undisclosed pre-clinical DART and TRIDENT molecule development programs.</w:t>
      </w:r>
    </w:p>
    <w:p>
      <w:pPr>
        <w:pStyle w:val="TextBody"/>
        <w:bidi w:val="0"/>
        <w:spacing w:before="0" w:after="0"/>
        <w:ind w:left="0" w:right="0" w:firstLine="720"/>
        <w:jc w:val="left"/>
        <w:rPr/>
      </w:pPr>
      <w:r>
        <w:rPr/>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operations to date have concentrated on developing our technology platforms, identifying potential product candidates, undertaking preclinical studies, conducting clinical trials, developing collaborations, operating manufacturing facilities, business planning and raising capital. We have financed our operations primarily through the public and private offerings of our securities, and collaborations with other biopharmaceutical companies. Although it is difficult to predict our funding requirements, we anticipate that our cash, cash equivalents and marketable securities as of June 30, 2026, combined with the $119.6 million received from Bora in July 2026, the $24.5 million milestone due from Sanofi in September 2026 and the $10.0 million for the First Research Program option exercise due from Gilead, as well as projected and anticipated future payments from our partners and anticipated savings from our ongoing cost-reduction initiatives, supports our cash runway through 2028. We have implemented, and will continue to evaluate and execute, various cost-saving measures that are intended to extend our financial runway while continuing to progress our pipeline.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Through June 30, 2026, we had an accumulated deficit of $1.3 billion. We expect that over the next several years this deficit will increase as we continue to incur research and development expense in connection with our ongoing activities and several clinical trials.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Macroeconomic Conditions </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global economy, credit markets and financial markets have and may continue to experience significant volatility as a result of significant worldwide events, including, fluctuating interest rates, geopolitical upheaval and tariffs or other restrictions imposed by the United States government or governments of other nations (collectively, the Macroeconomic Conditions). These Macroeconomic Conditions have and may continue to create supply chain disruptions, inventory disruptions, and fluctuations in economic growth, including fluctuations in employment rates, inflation, energy prices and consumer sentiment. It remains difficult to assess or predict the ultimate duration and economic impact of the Macroeconomic Conditions. Prolonged uncertainty with respect to Macroeconomic Conditions could cause further economic slowdown or cause other unpredictable events, each of which could adversely affect our business, results of operations or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Collaborations</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pursue a balanced approach between product candidates that we develop ourselves and those that we develop with our collaborators. Under our strategic collaborations to date, we have received significant non-dilutive funding and continue to have rights to additional funding upon completion of certain research, achievement of key product development milestones and royalties and other payments upon the commercial sale of products. Our current collaborations include the following:</w:t>
      </w:r>
    </w:p>
    <w:p>
      <w:pPr>
        <w:pStyle w:val="TextBody"/>
        <w:bidi w:val="0"/>
        <w:spacing w:lineRule="auto" w:line="288" w:before="0" w:after="180"/>
        <w:ind w:left="0" w:right="0" w:hanging="360"/>
        <w:jc w:val="left"/>
        <w:rPr/>
      </w:pPr>
      <w:r>
        <w:rPr>
          <w:color w:val="252525"/>
        </w:rPr>
        <w:t>•</w:t>
      </w:r>
      <w:r>
        <w:rPr>
          <w:rFonts w:ascii="Times New Roman;serif" w:hAnsi="Times New Roman;serif"/>
          <w:b w:val="false"/>
          <w:i/>
          <w:color w:val="000000"/>
          <w:sz w:val="20"/>
        </w:rPr>
        <w:t xml:space="preserve">Incyte Corporation (Incyte). </w:t>
      </w:r>
      <w:r>
        <w:rPr>
          <w:rFonts w:ascii="Times New Roman;serif" w:hAnsi="Times New Roman;serif"/>
          <w:b w:val="false"/>
          <w:color w:val="000000"/>
          <w:sz w:val="20"/>
        </w:rPr>
        <w:t>We have an exclusive global collaboration and license agreement with Incyte for retifanlimab, an investigational monoclonal antibody that inhibits PD-1 (Incyte License Agreement). Under this agreement, as amended, Incyte has obtained exclusive worldwide rights for the development and commercialization of retifanlimab in all indications, while we retain the right to develop our pipeline assets in combination with retifanlimab. We received an upfront payment of $150.0 million and milestone payments totaling $215.0 million from Incyte through June 30, 2026</w:t>
      </w:r>
      <w:r>
        <w:rPr>
          <w:rFonts w:ascii="sans-serif" w:hAnsi="sans-serif"/>
          <w:b w:val="false"/>
          <w:color w:val="008080"/>
          <w:sz w:val="24"/>
        </w:rPr>
        <w:t>.</w:t>
      </w:r>
      <w:r>
        <w:rPr>
          <w:color w:val="000000"/>
        </w:rPr>
        <w:t xml:space="preserve"> </w:t>
      </w:r>
      <w:r>
        <w:rPr>
          <w:rFonts w:ascii="Times New Roman;serif" w:hAnsi="Times New Roman;serif"/>
          <w:b w:val="false"/>
          <w:color w:val="000000"/>
          <w:sz w:val="20"/>
        </w:rPr>
        <w:t>We are eligible to receive up to an additional $210.0 million in development and regulatory milestones and $330.0 million in commercial milestones. We receive tiered royalties of 15% to 24% on any global net sales, other than with respect to ZYNYZ (see Note 5. Royalty Monetization Arrangement for further information), and we have the option to co-promote retifanlimab with Incyte. We retain the right to develop our pipeline assets in combination with retifanlimab, with Incyte commercializing retifanlimab and us commercializing our asset(s), if any such potential combinations are approved. We also had an agreement under which we were entitled to manufacture a portion of Incyte’s global commercial supply of retifanlimab (Incyte Commercial Supply Agreement). This agreement was assigned to Bora under the Bora Agreement.</w:t>
      </w:r>
    </w:p>
    <w:p>
      <w:pPr>
        <w:pStyle w:val="TextBody"/>
        <w:bidi w:val="0"/>
        <w:spacing w:lineRule="auto" w:line="288" w:before="0" w:after="180"/>
        <w:ind w:left="0" w:right="0" w:hanging="360"/>
        <w:jc w:val="left"/>
        <w:rPr/>
      </w:pPr>
      <w:r>
        <w:rPr>
          <w:color w:val="000000"/>
          <w:shd w:fill="FFFFFF" w:val="clear"/>
        </w:rPr>
        <w:t>•</w:t>
      </w:r>
      <w:r>
        <w:rPr>
          <w:rFonts w:ascii="Times New Roman;serif" w:hAnsi="Times New Roman;serif"/>
          <w:b w:val="false"/>
          <w:i/>
          <w:color w:val="000000"/>
          <w:sz w:val="20"/>
        </w:rPr>
        <w:t>Gilead</w:t>
      </w:r>
      <w:r>
        <w:rPr>
          <w:rFonts w:ascii="Times New Roman;serif" w:hAnsi="Times New Roman;serif"/>
          <w:b w:val="false"/>
          <w:color w:val="000000"/>
          <w:sz w:val="20"/>
        </w:rPr>
        <w:t xml:space="preserve">. In October 2022, we and Gilead entered into an exclusive option and collaboration agreement (Gilead Agreement) to develop and commercialize MGD024 </w:t>
      </w:r>
      <w:r>
        <w:rPr>
          <w:rFonts w:ascii="Times New Roman;serif" w:hAnsi="Times New Roman;serif"/>
          <w:b w:val="false"/>
          <w:color w:val="000000"/>
          <w:sz w:val="20"/>
          <w:shd w:fill="FFFFFF" w:val="clear"/>
        </w:rPr>
        <w:t>and create bispecific cancer antibodies using our DART platform and undertake their early development under a maximum of two separate bispecific cancer target research programs. Under t</w:t>
      </w:r>
      <w:r>
        <w:rPr>
          <w:rFonts w:ascii="Times New Roman;serif" w:hAnsi="Times New Roman;serif"/>
          <w:b w:val="false"/>
          <w:color w:val="000000"/>
          <w:sz w:val="20"/>
        </w:rPr>
        <w:t xml:space="preserve">he Gilead Agreement, we </w:t>
      </w:r>
      <w:r>
        <w:rPr>
          <w:rFonts w:ascii="Times New Roman;serif" w:hAnsi="Times New Roman;serif"/>
          <w:b w:val="false"/>
          <w:color w:val="000000"/>
          <w:sz w:val="20"/>
          <w:shd w:fill="FFFFFF" w:val="clear"/>
        </w:rPr>
        <w:t>will continue the ongoing phase 1 trial for MGD024 accordi</w:t>
      </w:r>
      <w:r>
        <w:rPr>
          <w:rFonts w:ascii="Times New Roman;serif" w:hAnsi="Times New Roman;serif"/>
          <w:b w:val="false"/>
          <w:color w:val="000000"/>
          <w:sz w:val="20"/>
        </w:rPr>
        <w:t>ng to a development plan</w:t>
      </w:r>
      <w:r>
        <w:rPr>
          <w:rFonts w:ascii="Times New Roman;serif" w:hAnsi="Times New Roman;serif"/>
          <w:b w:val="false"/>
          <w:color w:val="000000"/>
          <w:sz w:val="20"/>
          <w:shd w:fill="FFFFFF" w:val="clear"/>
        </w:rPr>
        <w:t>, during which Gilead will have the right to exercise an option granted to Gilead to obtain an exclusive license to develop and commercialize MGD024 and other bispecific antibodies of ours that bind CD123 and CD3</w:t>
      </w:r>
      <w:r>
        <w:rPr>
          <w:color w:val="000000"/>
        </w:rPr>
        <w:t xml:space="preserve"> </w:t>
      </w:r>
      <w:r>
        <w:rPr>
          <w:rFonts w:ascii="Times New Roman;serif" w:hAnsi="Times New Roman;serif"/>
          <w:b w:val="false"/>
          <w:color w:val="000000"/>
          <w:sz w:val="20"/>
        </w:rPr>
        <w:t xml:space="preserve">(CD123 Option). The agreement also granted Gilead the right, within its first two years, to nominate a bispecific cancer target set for up to two research programs conducted by us and to exercise separate options to obtain an exclusive license for the development, commercialization and exploitation of molecules created under each research program (Research Program Option). As part of the Gilead Agreement, Gilead paid us a non-refundable upfront payment of $60.0 million and we will be eligible to receive up to $1.7 billion in target nomination, option fees, and development, regulatory and commercial milestones, assuming Gilead exercises the CD123 Option and Research Program Option, successfully develops and commercializes MGD024 or other CD123 products developed under the agreement, </w:t>
      </w:r>
      <w:r>
        <w:rPr>
          <w:rFonts w:ascii="Times New Roman;serif" w:hAnsi="Times New Roman;serif"/>
          <w:b w:val="false"/>
          <w:color w:val="000000"/>
          <w:sz w:val="20"/>
          <w:shd w:fill="FFFFFF" w:val="clear"/>
        </w:rPr>
        <w:t>and products result from the two additional research programs</w:t>
      </w:r>
      <w:r>
        <w:rPr>
          <w:rFonts w:ascii="Times New Roman;serif" w:hAnsi="Times New Roman;serif"/>
          <w:b w:val="false"/>
          <w:color w:val="000000"/>
          <w:sz w:val="20"/>
        </w:rPr>
        <w:t xml:space="preserve">. </w:t>
      </w:r>
      <w:r>
        <w:rPr>
          <w:rFonts w:ascii="Times New Roman;serif" w:hAnsi="Times New Roman;serif"/>
          <w:b w:val="false"/>
          <w:color w:val="000000"/>
          <w:sz w:val="20"/>
          <w:shd w:fill="FFFFFF" w:val="clear"/>
        </w:rPr>
        <w:t>Assuming exercise of the CD123 Option, w</w:t>
      </w:r>
      <w:r>
        <w:rPr>
          <w:rFonts w:ascii="Times New Roman;serif" w:hAnsi="Times New Roman;serif"/>
          <w:b w:val="false"/>
          <w:color w:val="000000"/>
          <w:sz w:val="20"/>
        </w:rPr>
        <w:t xml:space="preserve">e will also be eligible to receive tiered, low double-digit royalties on worldwide net sales of MGD024 </w:t>
      </w:r>
      <w:r>
        <w:rPr>
          <w:rFonts w:ascii="Times New Roman;serif" w:hAnsi="Times New Roman;serif"/>
          <w:b w:val="false"/>
          <w:color w:val="000000"/>
          <w:sz w:val="20"/>
          <w:shd w:fill="FFFFFF" w:val="clear"/>
        </w:rPr>
        <w:t xml:space="preserve">(or other CD123 products developed under the agreement) </w:t>
      </w:r>
      <w:r>
        <w:rPr>
          <w:rFonts w:ascii="Times New Roman;serif" w:hAnsi="Times New Roman;serif"/>
          <w:b w:val="false"/>
          <w:color w:val="000000"/>
          <w:sz w:val="20"/>
        </w:rPr>
        <w:t xml:space="preserve">and </w:t>
      </w:r>
      <w:r>
        <w:rPr>
          <w:rFonts w:ascii="Times New Roman;serif" w:hAnsi="Times New Roman;serif"/>
          <w:b w:val="false"/>
          <w:color w:val="000000"/>
          <w:sz w:val="20"/>
          <w:shd w:fill="FFFFFF" w:val="clear"/>
        </w:rPr>
        <w:t xml:space="preserve">assuming exercise of the </w:t>
      </w:r>
      <w:r>
        <w:rPr>
          <w:rFonts w:ascii="Times New Roman;serif" w:hAnsi="Times New Roman;serif"/>
          <w:b w:val="false"/>
          <w:color w:val="000000"/>
          <w:sz w:val="20"/>
        </w:rPr>
        <w:t>Research Program Option, a flat royalty on worldwide net sales of any products resulting from the two research programs.</w:t>
      </w:r>
      <w:r>
        <w:rPr>
          <w:color w:val="008080"/>
        </w:rPr>
        <w:t xml:space="preserve"> </w:t>
      </w:r>
      <w:r>
        <w:rPr>
          <w:rFonts w:ascii="Times New Roman;serif" w:hAnsi="Times New Roman;serif"/>
          <w:b w:val="false"/>
          <w:color w:val="000000"/>
          <w:sz w:val="20"/>
        </w:rPr>
        <w:t xml:space="preserve">In 2023, Gilead nominated the first of the two research programs contemplated in the Gilead Agreement (First Research Program) and paid us a $15.7 million nomination fee. We granted Gilead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research license, and the parties agreed on a research plan for the First Research Program under which we will provide research and development services. In January 2024, the parties amended the Gilead Agreement to revise certain matters related to intellectual property in the performance of the research plans under the agreement. In June 2024, Gilead paid us variable consideration totaling $3.3 million upon achievement of a research plan milestone. In September 2025, Gilead nominated the second of the two research programs contemplated in the Gilead Agreement (Second Research Program) and we granted Gilead a research license. Gilead also exercised their exclusive option to obtain a license to exploit the research molecule and research product with respect to the Second Research Program. Gilead is obligated to pay us a total of $25.0 million related to the nomination and option exercise. Additionally, in August 2026, Gilead exercised its option to obtain a license to exploit the research molecule and research product with respect to the First Research Program (see Note 6, Revenue, for additional information). In accordance with the terms of the First Letter Agreement under the Gilead Agreement, Gilead will pay the Company $10.0 million related to this option exercise.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critical accounting estimates are policies which require the most significant judgments and estimates in the preparation of our consolidated financial statements. A summary of our critical accounting estimates is presented in Part II, Item 7, "Management's Discussion and Analysis of Financial Condition and Results of Operations" of our Annual Report on Form 10-K for the fiscal year ended December 31, 2025. There have been no material changes with respect to our critical accounting estimates during the six months ended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lineRule="auto" w:line="288" w:before="12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represents a comparison of our revenue for the three and six months ended June 30, 2026 and 2025 (dollars in millions):</w:t>
      </w:r>
    </w:p>
    <w:tbl>
      <w:tblPr>
        <w:tblW w:w="10205" w:type="dxa"/>
        <w:jc w:val="left"/>
        <w:tblInd w:w="0" w:type="dxa"/>
        <w:tblLayout w:type="fixed"/>
        <w:tblCellMar>
          <w:top w:w="28" w:type="dxa"/>
          <w:left w:w="28" w:type="dxa"/>
          <w:bottom w:w="28" w:type="dxa"/>
          <w:right w:w="28" w:type="dxa"/>
        </w:tblCellMar>
      </w:tblPr>
      <w:tblGrid>
        <w:gridCol w:w="506"/>
        <w:gridCol w:w="445"/>
        <w:gridCol w:w="447"/>
        <w:gridCol w:w="218"/>
        <w:gridCol w:w="528"/>
        <w:gridCol w:w="112"/>
        <w:gridCol w:w="112"/>
        <w:gridCol w:w="112"/>
        <w:gridCol w:w="112"/>
        <w:gridCol w:w="218"/>
        <w:gridCol w:w="419"/>
        <w:gridCol w:w="112"/>
        <w:gridCol w:w="109"/>
        <w:gridCol w:w="109"/>
        <w:gridCol w:w="109"/>
        <w:gridCol w:w="212"/>
        <w:gridCol w:w="514"/>
        <w:gridCol w:w="109"/>
        <w:gridCol w:w="109"/>
        <w:gridCol w:w="109"/>
        <w:gridCol w:w="109"/>
        <w:gridCol w:w="233"/>
        <w:gridCol w:w="233"/>
        <w:gridCol w:w="272"/>
        <w:gridCol w:w="109"/>
        <w:gridCol w:w="109"/>
        <w:gridCol w:w="109"/>
        <w:gridCol w:w="214"/>
        <w:gridCol w:w="519"/>
        <w:gridCol w:w="110"/>
        <w:gridCol w:w="110"/>
        <w:gridCol w:w="110"/>
        <w:gridCol w:w="110"/>
        <w:gridCol w:w="214"/>
        <w:gridCol w:w="519"/>
        <w:gridCol w:w="110"/>
        <w:gridCol w:w="109"/>
        <w:gridCol w:w="109"/>
        <w:gridCol w:w="109"/>
        <w:gridCol w:w="212"/>
        <w:gridCol w:w="514"/>
        <w:gridCol w:w="109"/>
        <w:gridCol w:w="109"/>
        <w:gridCol w:w="109"/>
        <w:gridCol w:w="109"/>
        <w:gridCol w:w="233"/>
        <w:gridCol w:w="233"/>
        <w:gridCol w:w="339"/>
      </w:tblGrid>
      <w:tr>
        <w:trPr/>
        <w:tc>
          <w:tcPr>
            <w:tcW w:w="506"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r>
      <w:tr>
        <w:trPr/>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Increase/(Decrease)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Increase/(Decrease)</w:t>
            </w:r>
          </w:p>
        </w:tc>
      </w:tr>
      <w:tr>
        <w:trPr/>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Collaborative and other agreements</w:t>
            </w:r>
          </w:p>
        </w:tc>
        <w:tc>
          <w:tcPr>
            <w:tcW w:w="2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355 </w:t>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98" w:type="dxa"/>
            <w:gridSpan w:val="3"/>
            <w:tcBorders/>
            <w:vAlign w:val="center"/>
          </w:tcPr>
          <w:p>
            <w:pPr>
              <w:pStyle w:val="TableContents"/>
              <w:bidi w:val="0"/>
              <w:spacing w:before="0" w:after="283"/>
              <w:jc w:val="left"/>
              <w:rPr>
                <w:sz w:val="4"/>
                <w:szCs w:val="4"/>
              </w:rPr>
            </w:pPr>
            <w:r>
              <w:rPr>
                <w:sz w:val="4"/>
                <w:szCs w:val="4"/>
              </w:rPr>
            </w:r>
          </w:p>
        </w:tc>
        <w:tc>
          <w:tcPr>
            <w:tcW w:w="85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5" w:type="dxa"/>
            <w:gridSpan w:val="3"/>
            <w:tcBorders/>
            <w:vAlign w:val="center"/>
          </w:tcPr>
          <w:p>
            <w:pPr>
              <w:pStyle w:val="TableContents"/>
              <w:bidi w:val="0"/>
              <w:spacing w:before="0" w:after="283"/>
              <w:jc w:val="left"/>
              <w:rPr>
                <w:sz w:val="4"/>
                <w:szCs w:val="4"/>
              </w:rPr>
            </w:pPr>
            <w:r>
              <w:rPr>
                <w:sz w:val="4"/>
                <w:szCs w:val="4"/>
              </w:rPr>
            </w:r>
          </w:p>
        </w:tc>
      </w:tr>
      <w:tr>
        <w:trPr/>
        <w:tc>
          <w:tcPr>
            <w:tcW w:w="1398" w:type="dxa"/>
            <w:gridSpan w:val="3"/>
            <w:tcBorders/>
            <w:vAlign w:val="center"/>
          </w:tcPr>
          <w:p>
            <w:pPr>
              <w:pStyle w:val="TableContents"/>
              <w:bidi w:val="0"/>
              <w:spacing w:before="0" w:after="283"/>
              <w:jc w:val="left"/>
              <w:rPr>
                <w:sz w:val="4"/>
                <w:szCs w:val="4"/>
              </w:rPr>
            </w:pPr>
            <w:r>
              <w:rPr>
                <w:sz w:val="4"/>
                <w:szCs w:val="4"/>
              </w:rPr>
            </w:r>
          </w:p>
        </w:tc>
        <w:tc>
          <w:tcPr>
            <w:tcW w:w="85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5" w:type="dxa"/>
            <w:gridSpan w:val="3"/>
            <w:tcBorders/>
            <w:vAlign w:val="center"/>
          </w:tcPr>
          <w:p>
            <w:pPr>
              <w:pStyle w:val="TableContents"/>
              <w:bidi w:val="0"/>
              <w:spacing w:before="0" w:after="283"/>
              <w:jc w:val="left"/>
              <w:rPr>
                <w:sz w:val="4"/>
                <w:szCs w:val="4"/>
              </w:rPr>
            </w:pPr>
            <w:r>
              <w:rPr>
                <w:sz w:val="4"/>
                <w:szCs w:val="4"/>
              </w:rPr>
            </w:r>
          </w:p>
        </w:tc>
      </w:tr>
      <w:tr>
        <w:trPr/>
        <w:tc>
          <w:tcPr>
            <w:tcW w:w="13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Royalty revenue</w:t>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462 </w:t>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688 </w:t>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98" w:type="dxa"/>
            <w:gridSpan w:val="3"/>
            <w:tcBorders/>
            <w:vAlign w:val="center"/>
          </w:tcPr>
          <w:p>
            <w:pPr>
              <w:pStyle w:val="TableContents"/>
              <w:bidi w:val="0"/>
              <w:spacing w:before="0" w:after="283"/>
              <w:jc w:val="left"/>
              <w:rPr>
                <w:sz w:val="4"/>
                <w:szCs w:val="4"/>
              </w:rPr>
            </w:pPr>
            <w:r>
              <w:rPr>
                <w:sz w:val="4"/>
                <w:szCs w:val="4"/>
              </w:rPr>
            </w:r>
          </w:p>
        </w:tc>
        <w:tc>
          <w:tcPr>
            <w:tcW w:w="85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5" w:type="dxa"/>
            <w:gridSpan w:val="3"/>
            <w:tcBorders/>
            <w:vAlign w:val="center"/>
          </w:tcPr>
          <w:p>
            <w:pPr>
              <w:pStyle w:val="TableContents"/>
              <w:bidi w:val="0"/>
              <w:spacing w:before="0" w:after="283"/>
              <w:jc w:val="left"/>
              <w:rPr>
                <w:sz w:val="4"/>
                <w:szCs w:val="4"/>
              </w:rPr>
            </w:pPr>
            <w:r>
              <w:rPr>
                <w:sz w:val="4"/>
                <w:szCs w:val="4"/>
              </w:rPr>
            </w:r>
          </w:p>
        </w:tc>
      </w:tr>
      <w:tr>
        <w:trPr/>
        <w:tc>
          <w:tcPr>
            <w:tcW w:w="13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32.8 </w:t>
            </w:r>
          </w:p>
        </w:tc>
        <w:tc>
          <w:tcPr>
            <w:tcW w:w="1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375 </w:t>
            </w:r>
          </w:p>
        </w:tc>
        <w:tc>
          <w:tcPr>
            <w:tcW w:w="27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39.5 </w:t>
            </w:r>
          </w:p>
        </w:tc>
        <w:tc>
          <w:tcPr>
            <w:tcW w:w="1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1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3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increase in revenue of $25.9 million for the three months ended June 30, 2026 compared to the three months ended June 30, 2025 was primarily due to:</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the achievement of a $24.5 million regulatory milestone related to TZIELD; and</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an increase of $6.0 million in royalty revenue recognized due to higher sales of ZYNYZ.</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These increases were partially offset by:</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a decrease of $5.6 million in revenue recognized under the Gilead First Research Program, as it was completed in the second quarter of 2025.</w:t>
      </w:r>
    </w:p>
    <w:p>
      <w:pPr>
        <w:pStyle w:val="TextBody"/>
        <w:bidi w:val="0"/>
        <w:spacing w:lineRule="auto" w:line="288" w:before="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increase in revenue of $25.6 million for the six months ended June 30, 2026 compared to the six months ended June 30, 2025 was primarily due to:</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the achievement of a $24.5 million regulatory milestone related to TZIELD; and</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an increase of $11.7 million in royalty revenue recognized due to higher sales of ZYNYZ.</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These increases were partially offset by:</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a decrease of $11.0 million in revenue recognized under the Gilead First Research Program, as it was completed in the second quarter of 2025.</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Revenue from collaborative and other agreements may vary substantially from period to period depending on the progress made by our collaborators with their product candidates and the timing of milestones achieved under current agreements, and whether we enter into additional collaboration agreements.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180"/>
        <w:jc w:val="left"/>
        <w:rPr/>
      </w:pPr>
      <w:r>
        <w:rPr/>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Research and Development Expense</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represents a comparison of our research and development expense for the three and six months ended June 30, 2026 and 2025 (dollars in millions):</w:t>
      </w:r>
    </w:p>
    <w:tbl>
      <w:tblPr>
        <w:tblW w:w="10205" w:type="dxa"/>
        <w:jc w:val="left"/>
        <w:tblInd w:w="0" w:type="dxa"/>
        <w:tblLayout w:type="fixed"/>
        <w:tblCellMar>
          <w:top w:w="28" w:type="dxa"/>
          <w:left w:w="28" w:type="dxa"/>
          <w:bottom w:w="28" w:type="dxa"/>
          <w:right w:w="28" w:type="dxa"/>
        </w:tblCellMar>
      </w:tblPr>
      <w:tblGrid>
        <w:gridCol w:w="564"/>
        <w:gridCol w:w="495"/>
        <w:gridCol w:w="500"/>
        <w:gridCol w:w="214"/>
        <w:gridCol w:w="519"/>
        <w:gridCol w:w="110"/>
        <w:gridCol w:w="110"/>
        <w:gridCol w:w="110"/>
        <w:gridCol w:w="110"/>
        <w:gridCol w:w="214"/>
        <w:gridCol w:w="519"/>
        <w:gridCol w:w="110"/>
        <w:gridCol w:w="109"/>
        <w:gridCol w:w="109"/>
        <w:gridCol w:w="109"/>
        <w:gridCol w:w="212"/>
        <w:gridCol w:w="426"/>
        <w:gridCol w:w="109"/>
        <w:gridCol w:w="109"/>
        <w:gridCol w:w="109"/>
        <w:gridCol w:w="109"/>
        <w:gridCol w:w="241"/>
        <w:gridCol w:w="242"/>
        <w:gridCol w:w="272"/>
        <w:gridCol w:w="109"/>
        <w:gridCol w:w="109"/>
        <w:gridCol w:w="109"/>
        <w:gridCol w:w="213"/>
        <w:gridCol w:w="516"/>
        <w:gridCol w:w="110"/>
        <w:gridCol w:w="110"/>
        <w:gridCol w:w="110"/>
        <w:gridCol w:w="110"/>
        <w:gridCol w:w="213"/>
        <w:gridCol w:w="516"/>
        <w:gridCol w:w="110"/>
        <w:gridCol w:w="109"/>
        <w:gridCol w:w="109"/>
        <w:gridCol w:w="109"/>
        <w:gridCol w:w="211"/>
        <w:gridCol w:w="426"/>
        <w:gridCol w:w="109"/>
        <w:gridCol w:w="109"/>
        <w:gridCol w:w="109"/>
        <w:gridCol w:w="109"/>
        <w:gridCol w:w="216"/>
        <w:gridCol w:w="191"/>
        <w:gridCol w:w="332"/>
      </w:tblGrid>
      <w:tr>
        <w:trPr/>
        <w:tc>
          <w:tcPr>
            <w:tcW w:w="564"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r>
      <w:tr>
        <w:trPr/>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6"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Increase/(Decrease)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8"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2"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Increase/(Decrease)</w:t>
            </w:r>
          </w:p>
        </w:tc>
      </w:tr>
      <w:tr>
        <w:trPr/>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MGC028</w:t>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3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MGC026</w:t>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3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Lorigerlimab</w:t>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3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Next-generation T-cell engagers</w:t>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3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MGC030</w:t>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3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MGD024</w:t>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Vobramitamab duocarmazine (vobra duo)</w:t>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w:t>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w:t>
            </w:r>
          </w:p>
        </w:tc>
        <w:tc>
          <w:tcPr>
            <w:tcW w:w="3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Preclinical antibody-drug conjugates (ADCs)</w:t>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w:t>
            </w:r>
          </w:p>
        </w:tc>
        <w:tc>
          <w:tcPr>
            <w:tcW w:w="3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programs (a)</w:t>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3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research and development expense</w:t>
            </w:r>
          </w:p>
        </w:tc>
        <w:tc>
          <w:tcPr>
            <w:tcW w:w="2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38.8 </w:t>
            </w:r>
          </w:p>
        </w:tc>
        <w:tc>
          <w:tcPr>
            <w:tcW w:w="1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40.8 </w:t>
            </w:r>
          </w:p>
        </w:tc>
        <w:tc>
          <w:tcPr>
            <w:tcW w:w="1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27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73.8 </w:t>
            </w:r>
          </w:p>
        </w:tc>
        <w:tc>
          <w:tcPr>
            <w:tcW w:w="1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80.5 </w:t>
            </w:r>
          </w:p>
        </w:tc>
        <w:tc>
          <w:tcPr>
            <w:tcW w:w="1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33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80" w:after="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Includes discontinued projects.</w:t>
      </w:r>
    </w:p>
    <w:p>
      <w:pPr>
        <w:pStyle w:val="TextBody"/>
        <w:bidi w:val="0"/>
        <w:spacing w:lineRule="auto" w:line="288" w:before="18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decrease in our research and development expense for the three and six months ended June 30, 2026 compared to the three and six months ended June 30, 2025 was primarily due to: </w:t>
      </w:r>
    </w:p>
    <w:p>
      <w:pPr>
        <w:pStyle w:val="TextBody"/>
        <w:bidi w:val="0"/>
        <w:spacing w:lineRule="auto" w:line="288" w:before="180" w:after="120"/>
        <w:ind w:left="0" w:right="0" w:hanging="360"/>
        <w:jc w:val="left"/>
        <w:rPr/>
      </w:pPr>
      <w:r>
        <w:rPr>
          <w:color w:val="252525"/>
        </w:rPr>
        <w:t>•</w:t>
      </w:r>
      <w:r>
        <w:rPr>
          <w:rFonts w:ascii="Times New Roman;serif" w:hAnsi="Times New Roman;serif"/>
          <w:b w:val="false"/>
          <w:color w:val="252525"/>
          <w:sz w:val="20"/>
        </w:rPr>
        <w:t>decreased lorigerlimab costs related to the LORIKEET study;</w:t>
      </w:r>
    </w:p>
    <w:p>
      <w:pPr>
        <w:pStyle w:val="TextBody"/>
        <w:bidi w:val="0"/>
        <w:spacing w:lineRule="auto" w:line="288" w:before="180" w:after="120"/>
        <w:ind w:left="0" w:right="0" w:hanging="360"/>
        <w:jc w:val="left"/>
        <w:rPr/>
      </w:pPr>
      <w:r>
        <w:rPr>
          <w:color w:val="000000"/>
        </w:rPr>
        <w:t>•</w:t>
      </w:r>
      <w:r>
        <w:rPr>
          <w:rFonts w:ascii="Times New Roman;serif" w:hAnsi="Times New Roman;serif"/>
          <w:b w:val="false"/>
          <w:color w:val="000000"/>
          <w:sz w:val="20"/>
        </w:rPr>
        <w:t>decreased vobra duo costs due to the decision to discontinue further internal development of that program; and</w:t>
      </w:r>
    </w:p>
    <w:p>
      <w:pPr>
        <w:pStyle w:val="TextBody"/>
        <w:bidi w:val="0"/>
        <w:spacing w:lineRule="auto" w:line="288" w:before="180" w:after="120"/>
        <w:ind w:left="0" w:right="0" w:hanging="360"/>
        <w:jc w:val="left"/>
        <w:rPr/>
      </w:pPr>
      <w:r>
        <w:rPr>
          <w:color w:val="000000"/>
        </w:rPr>
        <w:t>•</w:t>
      </w:r>
      <w:r>
        <w:rPr>
          <w:rFonts w:ascii="Times New Roman;serif" w:hAnsi="Times New Roman;serif"/>
          <w:b w:val="false"/>
          <w:color w:val="000000"/>
          <w:sz w:val="20"/>
        </w:rPr>
        <w:t>decreased development costs related to certain pre-clinical ADCs.</w:t>
      </w:r>
    </w:p>
    <w:p>
      <w:pPr>
        <w:pStyle w:val="TextBody"/>
        <w:bidi w:val="0"/>
        <w:spacing w:lineRule="auto" w:line="288" w:before="18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These decreases were partially offset by:</w:t>
      </w:r>
    </w:p>
    <w:p>
      <w:pPr>
        <w:pStyle w:val="TextBody"/>
        <w:bidi w:val="0"/>
        <w:spacing w:lineRule="auto" w:line="288" w:before="180" w:after="120"/>
        <w:ind w:left="0" w:right="0" w:hanging="360"/>
        <w:jc w:val="left"/>
        <w:rPr/>
      </w:pPr>
      <w:r>
        <w:rPr>
          <w:color w:val="000000"/>
        </w:rPr>
        <w:t>•</w:t>
      </w:r>
      <w:r>
        <w:rPr>
          <w:rFonts w:ascii="Times New Roman;serif" w:hAnsi="Times New Roman;serif"/>
          <w:b w:val="false"/>
          <w:color w:val="000000"/>
          <w:sz w:val="20"/>
        </w:rPr>
        <w:t>increased clinical trial costs related to MGC026 and MGC028; and</w:t>
      </w:r>
    </w:p>
    <w:p>
      <w:pPr>
        <w:pStyle w:val="TextBody"/>
        <w:bidi w:val="0"/>
        <w:spacing w:lineRule="auto" w:line="288" w:before="180" w:after="120"/>
        <w:ind w:left="0" w:right="0" w:hanging="360"/>
        <w:jc w:val="left"/>
        <w:rPr/>
      </w:pPr>
      <w:r>
        <w:rPr>
          <w:color w:val="000000"/>
        </w:rPr>
        <w:t>•</w:t>
      </w:r>
      <w:r>
        <w:rPr>
          <w:rFonts w:ascii="Times New Roman;serif" w:hAnsi="Times New Roman;serif"/>
          <w:b w:val="false"/>
          <w:color w:val="000000"/>
          <w:sz w:val="20"/>
        </w:rPr>
        <w:t>increased development costs related to certain next generation T-cell engagers.</w:t>
      </w:r>
    </w:p>
    <w:p>
      <w:pPr>
        <w:pStyle w:val="TextBody"/>
        <w:bidi w:val="0"/>
        <w:spacing w:lineRule="auto" w:line="288" w:before="18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are uncertainties associated with our research and development expenses for future quarters which are impacted by multiple variables, including timing of wind down activities for recently closed studies and current and expected expenditures associated with our ongoing clinical studies.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General and Administrative Expense</w:t>
      </w:r>
    </w:p>
    <w:p>
      <w:pPr>
        <w:pStyle w:val="TextBody"/>
        <w:bidi w:val="0"/>
        <w:spacing w:lineRule="auto" w:line="288" w:before="180" w:after="120"/>
        <w:ind w:left="0" w:right="0" w:firstLine="720"/>
        <w:jc w:val="left"/>
        <w:rPr/>
      </w:pPr>
      <w:r>
        <w:rPr>
          <w:rFonts w:ascii="Times New Roman;serif" w:hAnsi="Times New Roman;serif"/>
          <w:b w:val="false"/>
          <w:color w:val="000000"/>
          <w:sz w:val="20"/>
        </w:rPr>
        <w:t>For the three months ended June 30, 2026 and 2025, general and administrative expenses were $7.9 million</w:t>
      </w:r>
      <w:r>
        <w:rPr>
          <w:color w:val="000000"/>
        </w:rPr>
        <w:t xml:space="preserve"> </w:t>
      </w:r>
      <w:r>
        <w:rPr>
          <w:rFonts w:ascii="Times New Roman;serif" w:hAnsi="Times New Roman;serif"/>
          <w:b w:val="false"/>
          <w:color w:val="000000"/>
          <w:sz w:val="20"/>
        </w:rPr>
        <w:t>and</w:t>
      </w:r>
      <w:r>
        <w:rPr>
          <w:color w:val="000000"/>
        </w:rPr>
        <w:t xml:space="preserve"> </w:t>
      </w:r>
      <w:r>
        <w:rPr>
          <w:rFonts w:ascii="Times New Roman;serif" w:hAnsi="Times New Roman;serif"/>
          <w:b w:val="false"/>
          <w:color w:val="000000"/>
          <w:sz w:val="20"/>
        </w:rPr>
        <w:t>$9.3 million, respectively. For the six months ended June 30, 2026 and 2025, general and administrative expenses were $17.6 million and $20.0 million, respectively. The decrease for both periods is primarily due to lower personnel related costs, including stock-based compensation expense.</w:t>
      </w:r>
    </w:p>
    <w:p>
      <w:pPr>
        <w:pStyle w:val="TextBody"/>
        <w:bidi w:val="0"/>
        <w:spacing w:lineRule="auto" w:line="288" w:before="180" w:after="120"/>
        <w:jc w:val="left"/>
        <w:rPr>
          <w:rFonts w:ascii="Times New Roman;serif" w:hAnsi="Times New Roman;serif"/>
          <w:b/>
          <w:i/>
          <w:color w:val="000000"/>
          <w:sz w:val="20"/>
        </w:rPr>
      </w:pPr>
      <w:r>
        <w:rPr>
          <w:rFonts w:ascii="Times New Roman;serif" w:hAnsi="Times New Roman;serif"/>
          <w:b/>
          <w:i/>
          <w:color w:val="000000"/>
          <w:sz w:val="20"/>
        </w:rPr>
        <w:t>Income from discontinued operations, net of tax</w:t>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May 11, 2026, the Company entered into an agreement with Bora to sell substantially all of the assets and liabilities comprising its CDMO Operations for cash consideration of $122.5 million, subject to certain closing adjustments. The sale was completed on June 30, 2026, and the Company received net cash proceeds of $119.6 million in July 2026.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disposal represents a strategic shift that has a material effect on the Company's operations and financial results, reflecting the Company's exit from its contract manufacturing line of business and its decision to focus its resources on its pre-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clinical and clinical-stage research and development pipeline. Accordingly, the results of the CDMO Operations are presented as discontinued operations for all periods presented.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the Company recognized a pretax net gain on sale of $86.1 million within discontinued operations, in connection with the sale. Refer to Note 11, Discontinued Operations, for further information.</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from discontinued operations, net of tax includes the results of operations from the CDMO operations for the three and six months ended June 30, 2026 and 2025 as well as the net gain on sale for the three and six months ended June 30, 2026. </w:t>
      </w:r>
    </w:p>
    <w:p>
      <w:pPr>
        <w:pStyle w:val="TextBody"/>
        <w:bidi w:val="0"/>
        <w:spacing w:before="0" w:after="0"/>
        <w:jc w:val="left"/>
        <w:rPr/>
      </w:pPr>
      <w:r>
        <w:rPr/>
      </w:r>
    </w:p>
    <w:p>
      <w:pPr>
        <w:pStyle w:val="TextBody"/>
        <w:bidi w:val="0"/>
        <w:spacing w:lineRule="auto" w:line="268" w:before="0" w:after="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results of the CDMO Operations reported as net income from discontinued operations, net of taxes for the three and six months ended June 30, 2026 and 2025.</w:t>
      </w:r>
    </w:p>
    <w:p>
      <w:pPr>
        <w:pStyle w:val="TextBody"/>
        <w:bidi w:val="0"/>
        <w:spacing w:before="0" w:after="0"/>
        <w:jc w:val="left"/>
        <w:rPr/>
      </w:pPr>
      <w:r>
        <w:rPr/>
      </w:r>
    </w:p>
    <w:tbl>
      <w:tblPr>
        <w:tblW w:w="9873" w:type="dxa"/>
        <w:jc w:val="left"/>
        <w:tblInd w:w="0" w:type="dxa"/>
        <w:tblLayout w:type="fixed"/>
        <w:tblCellMar>
          <w:top w:w="28" w:type="dxa"/>
          <w:left w:w="28" w:type="dxa"/>
          <w:bottom w:w="28" w:type="dxa"/>
          <w:right w:w="28" w:type="dxa"/>
        </w:tblCellMar>
      </w:tblPr>
      <w:tblGrid>
        <w:gridCol w:w="1630"/>
        <w:gridCol w:w="1433"/>
        <w:gridCol w:w="1436"/>
        <w:gridCol w:w="278"/>
        <w:gridCol w:w="674"/>
        <w:gridCol w:w="143"/>
        <w:gridCol w:w="143"/>
        <w:gridCol w:w="143"/>
        <w:gridCol w:w="143"/>
        <w:gridCol w:w="278"/>
        <w:gridCol w:w="674"/>
        <w:gridCol w:w="143"/>
        <w:gridCol w:w="109"/>
        <w:gridCol w:w="109"/>
        <w:gridCol w:w="109"/>
        <w:gridCol w:w="252"/>
        <w:gridCol w:w="610"/>
        <w:gridCol w:w="130"/>
        <w:gridCol w:w="130"/>
        <w:gridCol w:w="130"/>
        <w:gridCol w:w="130"/>
        <w:gridCol w:w="252"/>
        <w:gridCol w:w="610"/>
        <w:gridCol w:w="184"/>
      </w:tblGrid>
      <w:tr>
        <w:trPr/>
        <w:tc>
          <w:tcPr>
            <w:tcW w:w="1630"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4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(dollars in millions)</w:t>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manufacturing revenue</w:t>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manufacturing services</w:t>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 of the CDMO Operations</w:t>
            </w:r>
          </w:p>
        </w:tc>
        <w:tc>
          <w:tcPr>
            <w:tcW w:w="9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8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gain on sale of the CDMO Operations</w:t>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86.1 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r>
      <w:tr>
        <w:trPr/>
        <w:tc>
          <w:tcPr>
            <w:tcW w:w="4499"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from discontinued operations, net of taxes</w:t>
            </w:r>
          </w:p>
        </w:tc>
        <w:tc>
          <w:tcPr>
            <w:tcW w:w="27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89.1 </w:t>
            </w:r>
          </w:p>
        </w:tc>
        <w:tc>
          <w:tcPr>
            <w:tcW w:w="14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4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93.7 </w:t>
            </w:r>
          </w:p>
        </w:tc>
        <w:tc>
          <w:tcPr>
            <w:tcW w:w="1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8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Cash Flows</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represents a summary of our cash flows for the six months ended June 30, 2026 and 2025:</w:t>
      </w:r>
    </w:p>
    <w:tbl>
      <w:tblPr>
        <w:tblW w:w="5817" w:type="dxa"/>
        <w:jc w:val="left"/>
        <w:tblInd w:w="0" w:type="dxa"/>
        <w:tblLayout w:type="fixed"/>
        <w:tblCellMar>
          <w:top w:w="28" w:type="dxa"/>
          <w:left w:w="28" w:type="dxa"/>
          <w:bottom w:w="28" w:type="dxa"/>
          <w:right w:w="28" w:type="dxa"/>
        </w:tblCellMar>
      </w:tblPr>
      <w:tblGrid>
        <w:gridCol w:w="1227"/>
        <w:gridCol w:w="1077"/>
        <w:gridCol w:w="1086"/>
        <w:gridCol w:w="234"/>
        <w:gridCol w:w="652"/>
        <w:gridCol w:w="121"/>
        <w:gridCol w:w="121"/>
        <w:gridCol w:w="121"/>
        <w:gridCol w:w="121"/>
        <w:gridCol w:w="234"/>
        <w:gridCol w:w="652"/>
        <w:gridCol w:w="171"/>
      </w:tblGrid>
      <w:tr>
        <w:trPr/>
        <w:tc>
          <w:tcPr>
            <w:tcW w:w="1227"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3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(dollars in millions)</w:t>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w:t>
            </w:r>
          </w:p>
        </w:tc>
        <w:tc>
          <w:tcPr>
            <w:tcW w:w="10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activities</w:t>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(93.9)</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Investing activities</w:t>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activities</w:t>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cash and cash equivalents</w:t>
            </w:r>
          </w:p>
        </w:tc>
        <w:tc>
          <w:tcPr>
            <w:tcW w:w="2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56.7 </w:t>
            </w:r>
          </w:p>
        </w:tc>
        <w:tc>
          <w:tcPr>
            <w:tcW w:w="1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w:t>
            </w:r>
          </w:p>
        </w:tc>
        <w:tc>
          <w:tcPr>
            <w:tcW w:w="1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Operating Activities</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 consists of our net loss adjusted for non-cash items such as depreciation and amortization expense, stock-based compensation, our loss on extinguishment of royalty monetization liability, gain on sale of our CDMO Operations before transaction costs and changes in working capital.</w:t>
      </w:r>
    </w:p>
    <w:p>
      <w:pPr>
        <w:pStyle w:val="TextBody"/>
        <w:bidi w:val="0"/>
        <w:spacing w:lineRule="auto" w:line="276" w:before="0" w:after="180"/>
        <w:jc w:val="left"/>
        <w:rPr>
          <w:rFonts w:ascii="Times New Roman;serif" w:hAnsi="Times New Roman;serif"/>
          <w:b w:val="false"/>
          <w:i/>
          <w:color w:val="000000"/>
          <w:sz w:val="20"/>
        </w:rPr>
      </w:pPr>
      <w:r>
        <w:rPr>
          <w:rFonts w:ascii="Times New Roman;serif" w:hAnsi="Times New Roman;serif"/>
          <w:b w:val="false"/>
          <w:i/>
          <w:color w:val="000000"/>
          <w:sz w:val="20"/>
        </w:rPr>
        <w:t>Investing Activities</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Net cash provided by investing activities during the six months ended June 30, 2026 is primarily due to maturities of marketable securities, partially offset by purchases of marketable securities. and net cash used in investing activities during the six months ended June 30, 2025 was primarily due to purchases of marketable securities, partially offset by maturities of marketable securities.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Financing Activities</w:t>
      </w:r>
    </w:p>
    <w:p>
      <w:pPr>
        <w:pStyle w:val="TextBody"/>
        <w:bidi w:val="0"/>
        <w:spacing w:lineRule="auto" w:line="288" w:before="0" w:after="180"/>
        <w:ind w:left="0" w:right="0" w:firstLine="720"/>
        <w:jc w:val="left"/>
        <w:rPr/>
      </w:pPr>
      <w:r>
        <w:rPr>
          <w:rFonts w:ascii="Times New Roman;serif" w:hAnsi="Times New Roman;serif"/>
          <w:b w:val="false"/>
          <w:color w:val="252525"/>
          <w:sz w:val="20"/>
        </w:rPr>
        <w:t>Net cash provided by</w:t>
      </w:r>
      <w:r>
        <w:rPr>
          <w:color w:val="252525"/>
        </w:rPr>
        <w:t xml:space="preserve"> </w:t>
      </w:r>
      <w:r>
        <w:rPr>
          <w:rFonts w:ascii="Times New Roman;serif" w:hAnsi="Times New Roman;serif"/>
          <w:b w:val="false"/>
          <w:color w:val="000000"/>
          <w:sz w:val="20"/>
        </w:rPr>
        <w:t xml:space="preserve">financing activities during the six months ended June 30, 2026 and 2025 includes net cash proceeds from Sagard Healthcare Partners (Sagard) under a Purchase and Sale Agreement (Royalty Purchase Agreement) pursuant to which we sold to Sagard our right to receive royalties on global net sales of ZYNYZ (retifanlimab-dlwr), and the subsequent amendment to the Royalty Purchase Agreement. See Note 5. Royalty Monetization Arrangement for further information. </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multiple product candidates currently under development will require significant additional research and development efforts that include extensive preclinical studies and clinical testing, and regulatory approval prior to commercial use. Our future success is dependent on our ability to identify and develop our product candidates, and ultimately upon our ability to attain profitable operations. We have devoted substantially all of our financial resources and efforts to research and development and general and administrative expense to support such research and development. Net losses and negative cash flows have had, and will continue to have, an adverse effect on our stockholders’ equity and working capital, and accordingly, our ability to execute our future operating plans.</w:t>
      </w:r>
    </w:p>
    <w:p>
      <w:pPr>
        <w:pStyle w:val="TextBody"/>
        <w:bidi w:val="0"/>
        <w:spacing w:lineRule="auto" w:line="288" w:before="0" w:after="180"/>
        <w:ind w:left="0" w:right="0" w:firstLine="720"/>
        <w:jc w:val="left"/>
        <w:rPr/>
      </w:pPr>
      <w:r>
        <w:rPr>
          <w:rFonts w:ascii="Times New Roman;serif" w:hAnsi="Times New Roman;serif"/>
          <w:b w:val="false"/>
          <w:color w:val="000000"/>
          <w:sz w:val="20"/>
        </w:rPr>
        <w:t>As a biotechnology company, we have primarily funded our operations with proceeds from the sale of our common stock in equity offerings and revenue from our multiple collaboration agreements.</w:t>
      </w:r>
      <w:r>
        <w:rPr>
          <w:color w:val="000000"/>
        </w:rPr>
        <w:t xml:space="preserve"> </w:t>
      </w:r>
      <w:r>
        <w:rPr>
          <w:rFonts w:ascii="Times New Roman;serif" w:hAnsi="Times New Roman;serif"/>
          <w:b w:val="false"/>
          <w:color w:val="000000"/>
          <w:sz w:val="20"/>
        </w:rPr>
        <w:t>Management regularly reviews our available liquidity relative to our operating budget and forecast to monitor the sufficiency of our working capital, and anticipates continuing to draw upon available sources of capital, including equity and debt instruments, to support our product development activities. There can be no assurances that new sources of capital will be available to us on commercially acceptable terms, if at all. Also, any future collaborations, strategic alliances and marketing, distribution or licensing arrangements may require us to give up some or all rights to a product or technology at less than its full potential value. If we are unable to enter into new arrangements or to perform under current or future agreements or obtain additional capital, we will assess our capital resources and may be required to delay, reduce the scope of, or eliminate one or more of our product research and development programs or clinical studies, and/or downsize our organization</w:t>
      </w:r>
      <w:r>
        <w:rPr>
          <w:rFonts w:ascii="Times New Roman;serif" w:hAnsi="Times New Roman;serif"/>
          <w:b w:val="false"/>
          <w:color w:val="EE2724"/>
          <w:sz w:val="20"/>
        </w:rPr>
        <w:t xml:space="preserve">. </w:t>
      </w:r>
      <w:r>
        <w:rPr>
          <w:rFonts w:ascii="Times New Roman;serif" w:hAnsi="Times New Roman;serif"/>
          <w:b w:val="false"/>
          <w:color w:val="000000"/>
          <w:sz w:val="20"/>
        </w:rPr>
        <w:t xml:space="preserve">Although it is difficult to predict our funding requirements, we anticipate that our cash, cash equivalents and marketable securities as of June 30, 2026, combined with the $119.6 million received from Bora in July 2026, the $24.5 million milestone due from Sanofi in September 2026 and the $10.0 million for the First Research Program option exercise due from Gilead, as well as projected and anticipated future payments from our partners, and anticipated savings from our ongoing cost-reduction initiatives, supports our cash runway through 2028. We have implemented, and will continue to evaluate and execute, various cost-saving measures that are intended to extend our financial runway while continuing to progress our pipeline. </w:t>
      </w:r>
    </w:p>
    <w:p>
      <w:pPr>
        <w:pStyle w:val="TextBody"/>
        <w:bidi w:val="0"/>
        <w:spacing w:lineRule="auto" w:line="288" w:before="0" w:after="180"/>
        <w:jc w:val="left"/>
        <w:rPr>
          <w:rFonts w:ascii="Times New Roman;serif" w:hAnsi="Times New Roman;serif"/>
          <w:b/>
          <w:i/>
          <w:color w:val="252525"/>
          <w:sz w:val="20"/>
        </w:rPr>
      </w:pPr>
      <w:r>
        <w:rPr>
          <w:rFonts w:ascii="Times New Roman;serif" w:hAnsi="Times New Roman;serif"/>
          <w:b/>
          <w:i/>
          <w:color w:val="252525"/>
          <w:sz w:val="20"/>
        </w:rPr>
        <w:t>Material Cash Requirements</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there were no significant changes to our material cash requirements, including contractual and other obligations, as presented in Part II, Item 7, "Management’s Discussion and Analysis of Financial Condition and Results of Operations" included in our Annual Report on Form 10-K for the fiscal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7933" w:type="dxa"/>
        <w:jc w:val="left"/>
        <w:tblInd w:w="0" w:type="dxa"/>
        <w:tblLayout w:type="fixed"/>
        <w:tblCellMar>
          <w:top w:w="28" w:type="dxa"/>
          <w:left w:w="28" w:type="dxa"/>
          <w:bottom w:w="28" w:type="dxa"/>
          <w:right w:w="28" w:type="dxa"/>
        </w:tblCellMar>
      </w:tblPr>
      <w:tblGrid>
        <w:gridCol w:w="304"/>
        <w:gridCol w:w="266"/>
        <w:gridCol w:w="269"/>
        <w:gridCol w:w="2078"/>
        <w:gridCol w:w="2078"/>
        <w:gridCol w:w="2938"/>
      </w:tblGrid>
      <w:tr>
        <w:trPr/>
        <w:tc>
          <w:tcPr>
            <w:tcW w:w="30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078" w:type="dxa"/>
            <w:tcBorders/>
            <w:vAlign w:val="center"/>
          </w:tcPr>
          <w:p>
            <w:pPr>
              <w:pStyle w:val="TableContents"/>
              <w:bidi w:val="0"/>
              <w:spacing w:before="0" w:after="283"/>
              <w:jc w:val="left"/>
              <w:rPr>
                <w:sz w:val="4"/>
                <w:szCs w:val="4"/>
              </w:rPr>
            </w:pPr>
            <w:r>
              <w:rPr>
                <w:sz w:val="4"/>
                <w:szCs w:val="4"/>
              </w:rPr>
            </w:r>
          </w:p>
        </w:tc>
        <w:tc>
          <w:tcPr>
            <w:tcW w:w="2078" w:type="dxa"/>
            <w:tcBorders/>
            <w:vAlign w:val="center"/>
          </w:tcPr>
          <w:p>
            <w:pPr>
              <w:pStyle w:val="TableContents"/>
              <w:bidi w:val="0"/>
              <w:spacing w:before="0" w:after="283"/>
              <w:jc w:val="left"/>
              <w:rPr>
                <w:sz w:val="4"/>
                <w:szCs w:val="4"/>
              </w:rPr>
            </w:pPr>
            <w:r>
              <w:rPr>
                <w:sz w:val="4"/>
                <w:szCs w:val="4"/>
              </w:rPr>
            </w:r>
          </w:p>
        </w:tc>
        <w:tc>
          <w:tcPr>
            <w:tcW w:w="2938" w:type="dxa"/>
            <w:tcBorders/>
            <w:vAlign w:val="center"/>
          </w:tcPr>
          <w:p>
            <w:pPr>
              <w:pStyle w:val="TableContents"/>
              <w:bidi w:val="0"/>
              <w:spacing w:before="0" w:after="283"/>
              <w:jc w:val="left"/>
              <w:rPr>
                <w:sz w:val="4"/>
                <w:szCs w:val="4"/>
              </w:rPr>
            </w:pPr>
            <w:r>
              <w:rPr>
                <w:sz w:val="4"/>
                <w:szCs w:val="4"/>
              </w:rPr>
            </w:r>
          </w:p>
        </w:tc>
      </w:tr>
      <w:tr>
        <w:trPr/>
        <w:tc>
          <w:tcPr>
            <w:tcW w:w="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3.</w:t>
            </w:r>
          </w:p>
        </w:tc>
        <w:tc>
          <w:tcPr>
            <w:tcW w:w="7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QUANTITATIVE AND QUALITATIVE DISCLOSURES ABOUT MARKET RISK</w:t>
            </w:r>
          </w:p>
        </w:tc>
      </w:tr>
    </w:tbl>
    <w:p>
      <w:pPr>
        <w:pStyle w:val="TextBody"/>
        <w:bidi w:val="0"/>
        <w:spacing w:lineRule="auto" w:line="288" w:before="120" w:after="180"/>
        <w:ind w:left="0" w:right="0" w:firstLine="720"/>
        <w:jc w:val="left"/>
        <w:rPr>
          <w:color w:val="000000"/>
        </w:rPr>
      </w:pPr>
      <w:r>
        <w:rPr>
          <w:color w:val="000000"/>
        </w:rPr>
        <w:t> </w:t>
      </w:r>
      <w:r>
        <w:rPr>
          <w:rFonts w:ascii="Times New Roman;serif" w:hAnsi="Times New Roman;serif"/>
          <w:b w:val="false"/>
          <w:color w:val="000000"/>
          <w:sz w:val="20"/>
        </w:rPr>
        <w:t>As of June 30, 2026, our exposure to market risk has not changed materially since December 31, 2025. For more information on financial market risks related to changes in interest rates, reference is made to Item 7A. "Quantitative and Qualitative Disclosures About Market Risk" contained in Part II of our Annual Report on Form 10-K for the fiscal year ended December 31, 2025, filed with the SEC on March 9,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884" w:type="dxa"/>
        <w:jc w:val="left"/>
        <w:tblInd w:w="0" w:type="dxa"/>
        <w:tblLayout w:type="fixed"/>
        <w:tblCellMar>
          <w:top w:w="28" w:type="dxa"/>
          <w:left w:w="28" w:type="dxa"/>
          <w:bottom w:w="28" w:type="dxa"/>
          <w:right w:w="28" w:type="dxa"/>
        </w:tblCellMar>
      </w:tblPr>
      <w:tblGrid>
        <w:gridCol w:w="304"/>
        <w:gridCol w:w="266"/>
        <w:gridCol w:w="269"/>
        <w:gridCol w:w="892"/>
        <w:gridCol w:w="892"/>
        <w:gridCol w:w="1261"/>
      </w:tblGrid>
      <w:tr>
        <w:trPr/>
        <w:tc>
          <w:tcPr>
            <w:tcW w:w="30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4.</w:t>
            </w:r>
          </w:p>
        </w:tc>
        <w:tc>
          <w:tcPr>
            <w:tcW w:w="3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CONTROLS AND PROCEDURES</w:t>
            </w:r>
          </w:p>
        </w:tc>
      </w:tr>
    </w:tbl>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Disclosure Controls and Procedures</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management, including our principal executive officer and principal financial officer, has evaluated the effectiveness of our disclosure controls and procedures (as defined in Exchange Act Rule 13a-15(e) and 15d-15(e)) as of June 30, 2026. Our disclosure controls and procedures are designed to provide reasonable assurance that the information required to be disclosed in our periodic reports filed with the SEC (such as this Quarterly Report on Form 10-Q) has been appropriately recorded, processed, summarized and reported within the time periods specified in the SEC's rules and forms, and that such information is accumulated and communicated to our management, including our principal executive officer and principal financial officer, to allow timely decisions regarding required disclosure. Based on their evaluation of our disclosure controls and procedures as of June 30, 2026, our principal executive officer and principal financial officer have concluded that our disclosure controls and procedures are effective at the reasonable assurance level.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Changes in Internal Control</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were no changes in our internal control over financial reporting during the three months ended June 30, 2026 that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428" w:type="dxa"/>
        <w:jc w:val="left"/>
        <w:tblInd w:w="0" w:type="dxa"/>
        <w:tblLayout w:type="fixed"/>
        <w:tblCellMar>
          <w:top w:w="28" w:type="dxa"/>
          <w:left w:w="28" w:type="dxa"/>
          <w:bottom w:w="28" w:type="dxa"/>
          <w:right w:w="28" w:type="dxa"/>
        </w:tblCellMar>
      </w:tblPr>
      <w:tblGrid>
        <w:gridCol w:w="255"/>
        <w:gridCol w:w="223"/>
        <w:gridCol w:w="226"/>
        <w:gridCol w:w="504"/>
        <w:gridCol w:w="504"/>
        <w:gridCol w:w="716"/>
      </w:tblGrid>
      <w:tr>
        <w:trPr/>
        <w:tc>
          <w:tcPr>
            <w:tcW w:w="25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r>
      <w:tr>
        <w:trPr/>
        <w:tc>
          <w:tcPr>
            <w:tcW w:w="704" w:type="dxa"/>
            <w:gridSpan w:val="3"/>
            <w:tcBorders/>
            <w:tcMar>
              <w:top w:w="0" w:type="dxa"/>
              <w:left w:w="0" w:type="dxa"/>
              <w:bottom w:w="0" w:type="dxa"/>
              <w:right w:w="0" w:type="dxa"/>
            </w:tcMar>
            <w:vAlign w:val="center"/>
          </w:tcPr>
          <w:p>
            <w:pPr>
              <w:pStyle w:val="TableContents"/>
              <w:bidi w:val="0"/>
              <w:spacing w:lineRule="auto" w:line="240" w:before="180" w:after="120"/>
              <w:jc w:val="left"/>
              <w:rPr>
                <w:rFonts w:ascii="Times New Roman;serif" w:hAnsi="Times New Roman;serif"/>
                <w:b/>
                <w:color w:val="000000"/>
                <w:sz w:val="20"/>
              </w:rPr>
            </w:pPr>
            <w:r>
              <w:rPr>
                <w:rFonts w:ascii="Times New Roman;serif" w:hAnsi="Times New Roman;serif"/>
                <w:b/>
                <w:color w:val="000000"/>
                <w:sz w:val="20"/>
              </w:rPr>
              <w:t>Item 1.</w:t>
            </w:r>
          </w:p>
        </w:tc>
        <w:tc>
          <w:tcPr>
            <w:tcW w:w="1724" w:type="dxa"/>
            <w:gridSpan w:val="3"/>
            <w:tcBorders/>
            <w:tcMar>
              <w:top w:w="0" w:type="dxa"/>
              <w:left w:w="0" w:type="dxa"/>
              <w:bottom w:w="0" w:type="dxa"/>
              <w:right w:w="0" w:type="dxa"/>
            </w:tcMar>
            <w:vAlign w:val="center"/>
          </w:tcPr>
          <w:p>
            <w:pPr>
              <w:pStyle w:val="TableContents"/>
              <w:bidi w:val="0"/>
              <w:spacing w:lineRule="auto" w:line="240" w:before="180" w:after="120"/>
              <w:jc w:val="left"/>
              <w:rPr>
                <w:rFonts w:ascii="Times New Roman;serif" w:hAnsi="Times New Roman;serif"/>
                <w:b/>
                <w:color w:val="000000"/>
                <w:sz w:val="20"/>
              </w:rPr>
            </w:pPr>
            <w:r>
              <w:rPr>
                <w:rFonts w:ascii="Times New Roman;serif" w:hAnsi="Times New Roman;serif"/>
                <w:b/>
                <w:color w:val="000000"/>
                <w:sz w:val="20"/>
              </w:rPr>
              <w:t>Legal Proceedings</w:t>
            </w:r>
          </w:p>
        </w:tc>
      </w:tr>
    </w:tbl>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the ordinary course of business, we are or may be involved in various legal or regulatory proceedings, claims or class actions related to alleged patent infringements and other intellectual property rights, or alleged violation of commercial, corporate, securities, labor and employment, and other matters incidental to our business. We do not currently, however, expect such legal proceedings to have a material adverse effect on our business, financial condition or results of operations. However, depending on the nature and timing of a given dispute, an eventual unfavorable resolution could materially affect our current or future results of operations or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053" w:type="dxa"/>
        <w:jc w:val="left"/>
        <w:tblInd w:w="0" w:type="dxa"/>
        <w:tblLayout w:type="fixed"/>
        <w:tblCellMar>
          <w:top w:w="28" w:type="dxa"/>
          <w:left w:w="28" w:type="dxa"/>
          <w:bottom w:w="28" w:type="dxa"/>
          <w:right w:w="28" w:type="dxa"/>
        </w:tblCellMar>
      </w:tblPr>
      <w:tblGrid>
        <w:gridCol w:w="304"/>
        <w:gridCol w:w="266"/>
        <w:gridCol w:w="269"/>
        <w:gridCol w:w="355"/>
        <w:gridCol w:w="355"/>
        <w:gridCol w:w="504"/>
      </w:tblGrid>
      <w:tr>
        <w:trPr/>
        <w:tc>
          <w:tcPr>
            <w:tcW w:w="30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r>
      <w:tr>
        <w:trPr/>
        <w:tc>
          <w:tcPr>
            <w:tcW w:w="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1A.</w:t>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Risk Factors</w:t>
            </w:r>
          </w:p>
        </w:tc>
      </w:tr>
    </w:tbl>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business is subject to risks and events that, if they occur, could adversely affect our financial condition and results of operations and trading price of our securities. In addition to the other information set forth in this Quarterly Report on Form 10-Q, you should carefully consider the factors described in Part I, Item 1A. “Risk Factors” of our Annual Report on Form 10-K for the fiscal year ended December 31, 2025. There have been no material changes in the risk factors described in Item 1A. "Risk Factors” of our Annual Report on Form 10-K for the fiscal year ended December 31, 2025, aside from the risk factors included below:</w:t>
      </w:r>
    </w:p>
    <w:p>
      <w:pPr>
        <w:pStyle w:val="TextBody"/>
        <w:bidi w:val="0"/>
        <w:spacing w:lineRule="auto" w:line="268" w:before="0" w:after="0"/>
        <w:jc w:val="left"/>
        <w:rPr>
          <w:rFonts w:ascii="Times New Roman;serif" w:hAnsi="Times New Roman;serif"/>
          <w:b/>
          <w:color w:val="000000"/>
          <w:sz w:val="20"/>
          <w:u w:val="single"/>
        </w:rPr>
      </w:pPr>
      <w:r>
        <w:rPr>
          <w:rFonts w:ascii="Times New Roman;serif" w:hAnsi="Times New Roman;serif"/>
          <w:b/>
          <w:color w:val="000000"/>
          <w:sz w:val="20"/>
          <w:u w:val="single"/>
        </w:rPr>
        <w:t>Risk Factors Related to the Sale of our GMP Manufacturing Operations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We may not realize the expected benefits from the completed sale of our CDMO Operations.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In May 2026, we entered into the Bora Agreement, pursuant to which we agreed to sell to Bora the CDMO Operations. Effective as of June 30, 2026, the sale of the CDMO Operations was completed. At closing, Bora paid us $119.6 million, net of customary post-closing adjustments, and Bora assumed responsibility for the CDMO Operations. In connection with the sale of the CDMO Operations, Bora extended offers of employment to approximately 140 of our employees previously employed in our manufacturing and related functions. We may not be able to achieve the full strategic and financial benefits expected to result from the sale of our CDMO Operations, or such benefits may be delayed or not occur at all. In particular, we have made the strategic decision to dispose of our manufacturing facilities and related assets in order to focus on the advancement of our core business, the clinical and preclinical pipeline. Following the closing of the transaction, we no longer operate our own GMP manufacturing facility and must rely on third parties, including Bora, for the clinical and, if approved, commercial manufacture of our product candidates. Although at closing, we entered into an agreement with Bora for manufacturing services, we may not realize the anticipated cost savings associated with contracting out our manufacturing requirements. The assumptions we made related to the sale of our CDMO Operations may prove to be inaccurate, including as to the expected benefits of the transaction and anticipated cost savings. Further, the ongoing post-closing transition activities may disrupt our operations and divert management’s attention from our business.</w:t>
      </w:r>
      <w:r>
        <w:rPr>
          <w:color w:val="000000"/>
        </w:rPr>
        <w:t xml:space="preserve"> </w:t>
      </w:r>
      <w:r>
        <w:rPr>
          <w:rFonts w:ascii="Times New Roman;serif" w:hAnsi="Times New Roman;serif"/>
          <w:b w:val="false"/>
          <w:color w:val="000000"/>
          <w:sz w:val="20"/>
        </w:rPr>
        <w:t>An inability to realize the anticipated benefits of the transaction could have an adverse impact on our business, financial condition and results of operations.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Under the Bora Agreement, Bora has assumed certain liabilities related to the CDMO Operations and we have retained certain excluded assets and excluded liabilities. Notwithstanding the consummation of the transaction, we may remain responsible for, and may be required to satisfy, certain liabilities and obligations, including liabilities that are retained by us under the Bora Agreement, liabilities that are not effectively assumed by Bora, liabilities that arise out of or relate to our ownership and operation of the CDMO Operations and related facilities prior to closing, and liabilities that are not discovered, asserted or quantified until after closing. These liabilities and obligations could include, among other things, liabilities related to employee matters, taxes, environmental health and safety matters, product quality matters, regulatory compliance, and claims by customers, suppliers, counterparties or other third parties (including claims alleging breaches of contract or tort or other claims arising from pre-closing conduct of the CDMO Operations). In addition, the Bora Agreement may require us to indemnify Bora for certain matters, and disputes may arise between us and Bora regarding whether a particular liability is an assumed liability or a retained liability, the scope of any potential indemnification obligations, or the allocation of responsibility for certain claims.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The sale of our CDMO Operations could adversely affect our business, financial condition, results and operations.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sale of our CDMO Operations could cause disruptions in, and create uncertainty surrounding, our business, which could have an adverse effect on our business, financial condition, results and operations. These risks to our business include the following:</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diversion of significant management time and resources towards the ongoing post-closing transition activities;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litigation or disputes relating to the transaction and the costs and distractions related thereto.</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Following the sale of our CDMO Operations, we no longer operate our own cGMP manufacturing facility and instead must rely on third parties, including Bora, for process development and the clinical and, if approved, commercial manufacture of our product candidates. The third-party manufacturing facilities on which we rely may have limited capacity or fail to meet the applicable stringent regulatory requirements.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Following the sale of our CDMO Operations, we do not have any proprietary cGMP manufacturing facilities owned or operated by us. We instead must rely on third parties, including Bora, for CDMO related activities, including the cGMP manufacture of our product candidates for clinical development and, if approved, commercial supply. We have entered into a long-term manufacturing and supply agreement with Bora in connection with the closing of the transaction, pursuant to which we may reserve manufacturing slots. There is no guarantee that we have properly estimated our required process development and manufacturing capacities or that the third parties we rely on to provide required machinery and materials for the manufacturing process, including Bora, will be able to perform on our proposed timelines or meet our demands, if at all. Also, if we must increase production capacity for any reason, our third-party partners, including Bora, may not be able to fulfill our additional capacity needs on our proposed timelines, or we may need to make considerable investments that could lead to significant financing needs or require us to enter into subcontracting agreements in order to outsource part of the production. Transitioning to an alternative contract development and manufacturing organization could require significant time and expense, require regulatory approvals, and result in delays to our clinical trials or commercial supply, any of which could have a material adverse effect on our business, financial condition and results of operations.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Bora or any other third-party contract manufacturing organization on which we rely experiences capacity constraints, other disruptions, or delays in manufacturing our product candidates, our planned clinical trials and necessary manufacturing capabilities will be disrupted or delayed. Third-party manufacturers may not be able to meet our needs concerning timing, quantity, or quality. If we are unable to contract for a sufficient supply of needed materials on acceptable terms, or if we should encounter delays or difficulties in our relationships with manufacturers, our clinical trials may be delayed, thereby delaying the submission of product candidates for regulatory approval or the market introduction and subsequent sales of any approved products. Any such delay may lower our revenues and potential profitability. If any third party breaches or terminates its agreement with us or fails to conduct its activities in a timely manner, the commercialization of our product candidates could be slowed down or blocked completely. It is possible that third parties relied upon by us will change their strategic focus, pursue alternative technologies, or develop alternative product candidates, either on their own or in collaboration with others, as a means for developing treatments for the diseases targeted by our collaborative programs, or for other reasons. The effectiveness of these third parties in marketing their own products may also affect our revenues and earnings. We intend to continue to enter into additional third-party agreements in the future. However, we may not be able to negotiate any additional agreements successfully. Even if established, these relationships may not be scientifically or commercially successful.</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facilities used by our contract manufacturers to manufacture our product candidates must be inspected by the FDA. We do not have control over a supplier’s or manufacturer’s compliance with laws, regulations and applicable cGMP standards or similar regulatory requirements and other laws and regulations, such as those related to environmental health and safety matters. If our contract manufacturers cannot successfully manufacture material that conforms to our specifications and the strict regulatory requirements of the FDA or other regulatory authorities, we may be unable to obtain regulatory approval of our marketing applications. In addition, we have no control over the ability of our contract manufacturers to maintain adequate quality control, quality assurance and qualified personnel. If the FDA or a comparable foreign regulatory authority finds deficiencies with or does not approve these facilities for the manufacture of our product candidates or if it withdraws any such approval in the future, we may need to find alternative manufacturing facilities, which would significantly impact our ability to develop, obtain regulatory approval for or market our product candidates, if approved.</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failure, or the failure of our third-party manufacturers, to comply with applicable regulations could result in sanctions being imposed on us, including clinical holds, fines, injunctions, civil penalties, delays, suspension or withdrawal of approvals, license revocation, seizures or recalls of product candidates or drugs, operating restrictions and criminal prosecutions, any of which could significantly and adversely affect supply of our products.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These factors could cause the delay of clinical trials, regulatory submissions, required approvals or commercialization of our product candidates, cause us to incur higher costs and prevent us from commercializing our products successfully, if approved. Furthermore, if our suppliers fail to meet contractual requirements, and we are unable to secure one or more replacement suppliers capable of production at a substantially equivalent cost, our clinical trials may be delayed or we could lose potential revenue.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as a result of the sale of our CDMO Operations, certain of the risks related to our manufacturing business as reported in our Annual Report on Form 10-K for the fiscal year ended December 31, 2025 are no longer applicable to our business.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We intend to rely on third parties to conduct a significant portion of our existing clinical trials and potential future clinical trials for product candidates, and those third parties may not perform satisfactorily, including failing to meet deadlines for the completion of such trials.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in the process of transitioning more of our clinical and development operations to CROs. We expect to rely on these CROs and other third parties, including clinical data management organizations, medical institutions and clinical investigators, to conduct those clinical trials, although we plan to lead the clinical development strategy and intend to play on active role in oversight of CROs and other third parties performing work on our behalf. Any of these third parties may terminate their engagements with us, some in the event of an uncured material breach and some at any time for convenience. If any of our relationships with these third parties terminate, we may not be able to timely enter into arrangements with alternative third parties or to do so on commercially reasonable terms, if at all. Switching or adding CROs involves substantial cost and requires management time and focus.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there is a natural transition period when a new CRO commences work. As a result, delays occur, which can materially impact our ability to meet our desired clinical development timelines. Though we intend to carefully manage our relationships with our CROs, there can be no assurance that we will not encounter challenges or delays in the future or that these delays or challenges will not have a material adverse impact on our business, financial condition and prospects. Further, the performance of our CROs may also be interrupted by health epidemics, including due to travel restrictions, quarantine policies, heightened exposure of CRO staff who are healthcare providers to health epidemics or prioritization of resources toward a health epidemic.</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any third parties conducting our clinical trials will not be our employees, and except for remedies available to us under our agreements with such third parties, we cannot control whether or not they devote sufficient time and resources to our clinical programs. If these third parties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our clinical trials may be extended, delayed or terminated and we may not be able to obtain regulatory approval for or successfully commercialize our product candidates. Consequently, our results of operations and the commercial prospects for our product candidates would be harmed, our costs could increase substantially and our ability to generate revenue could be delayed significantly.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intend to rely on these parties for execution of our preclinical studies and clinical trials, and generally do not control their activities. Our reliance on these third parties for development activities will reduce our control over these activities but will not relieve us of our responsibilities. For example, we will remain responsible for ensuring that each of our clinical trials is conducted in accordance with the general investigational plan and protocols for the trial. Moreover, the FDA and comparable foreign regulatory authorities require us to comply with standards, commonly referred to as GCPs, for conducting, recording and reporting the results of clinical trials to assure that data and reported results are credible and accurate and that the rights, integrity and confidentiality of trial participants are protected. We also are required to register ongoing clinical trials and post the results of completed clinical trials on government-sponsored databases, such as ClinicalTrials.gov, within specified timeframes. Failure to do so can result in fines, adverse publicity and civil and criminal sanctions. If we or any of our CROs or other third parties, including trial sites, fail to comply with applicable GCPs, the clinical data generated in our clinical trials may be deemed unreliable and the FDA, European Commission or comparable foreign regulatory authorities may require us to perform additional clinical trials before approving our marketing applications. We cannot assure you that upon inspection by a given regulatory authority, such regulatory authority will determine that any of our clinical trials complies with GCP regulations. In addition, our clinical trials must be conducted with product produced under cGMP conditions. Our failure to comply with these regulations may require us to repeat clinical trials, which would delay the regulatory approval process.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principal investigators for our clinical trials may serve as scientific advisors or consultants to us from time to time and receive compensation in connection with such services. Under certain circumstances, we may be required to report some of these relationships to the FDA and comparable foreign regulatory authorities. The FDA or comparable foreign regulatory authority may conclude that a financial relationship between us and a principal investigator has created a conflict of interest or otherwise affected interpretation of the trial.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and may ultimately lead to the denial of marketing approval of our product candidates.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also expect to rely on other third parties to store and distribute product supplies for our clinical trials. Any performance failure on the part of our distributors could delay clinical development or marketing approval of our product candidates or commercialization of our products, producing additional losses and depriving us of potential revenue.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428" w:type="dxa"/>
        <w:jc w:val="left"/>
        <w:tblInd w:w="0" w:type="dxa"/>
        <w:tblLayout w:type="fixed"/>
        <w:tblCellMar>
          <w:top w:w="28" w:type="dxa"/>
          <w:left w:w="28" w:type="dxa"/>
          <w:bottom w:w="28" w:type="dxa"/>
          <w:right w:w="28" w:type="dxa"/>
        </w:tblCellMar>
      </w:tblPr>
      <w:tblGrid>
        <w:gridCol w:w="255"/>
        <w:gridCol w:w="223"/>
        <w:gridCol w:w="226"/>
        <w:gridCol w:w="504"/>
        <w:gridCol w:w="504"/>
        <w:gridCol w:w="716"/>
      </w:tblGrid>
      <w:tr>
        <w:trPr/>
        <w:tc>
          <w:tcPr>
            <w:tcW w:w="25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r>
      <w:tr>
        <w:trPr/>
        <w:tc>
          <w:tcPr>
            <w:tcW w:w="704" w:type="dxa"/>
            <w:gridSpan w:val="3"/>
            <w:tcBorders/>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color w:val="000000"/>
                <w:sz w:val="20"/>
              </w:rPr>
            </w:pPr>
            <w:r>
              <w:rPr>
                <w:rFonts w:ascii="Times New Roman;serif" w:hAnsi="Times New Roman;serif"/>
                <w:b/>
                <w:color w:val="000000"/>
                <w:sz w:val="20"/>
              </w:rPr>
              <w:t>Item 5.</w:t>
            </w:r>
          </w:p>
        </w:tc>
        <w:tc>
          <w:tcPr>
            <w:tcW w:w="1724" w:type="dxa"/>
            <w:gridSpan w:val="3"/>
            <w:tcBorders/>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color w:val="000000"/>
                <w:sz w:val="20"/>
              </w:rPr>
            </w:pPr>
            <w:r>
              <w:rPr>
                <w:rFonts w:ascii="Times New Roman;serif" w:hAnsi="Times New Roman;serif"/>
                <w:b/>
                <w:color w:val="000000"/>
                <w:sz w:val="20"/>
              </w:rPr>
              <w:t>Other Information</w:t>
            </w:r>
          </w:p>
        </w:tc>
      </w:tr>
    </w:tbl>
    <w:p>
      <w:pPr>
        <w:pStyle w:val="TextBody"/>
        <w:bidi w:val="0"/>
        <w:spacing w:lineRule="auto" w:line="288" w:before="180" w:after="180"/>
        <w:ind w:left="0" w:right="0" w:hanging="720"/>
        <w:jc w:val="left"/>
        <w:rPr>
          <w:rFonts w:ascii="Times New Roman;serif" w:hAnsi="Times New Roman;serif"/>
          <w:b/>
          <w:color w:val="000000"/>
          <w:sz w:val="20"/>
        </w:rPr>
      </w:pPr>
      <w:r>
        <w:rPr>
          <w:rFonts w:ascii="Times New Roman;serif" w:hAnsi="Times New Roman;serif"/>
          <w:b/>
          <w:color w:val="000000"/>
          <w:sz w:val="20"/>
        </w:rPr>
        <w:t>10b5-1 Trading Plans</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three months ended June 30, 2026, the following Section 16 directors or officers adopted, modified, or terminated a "Rule 10b5-1 trading arrangement" or "non-Rule 10b5-1 trading arrangement," as each term is defined in Item 408(a) of Regulation S-K. </w:t>
      </w:r>
    </w:p>
    <w:p>
      <w:pPr>
        <w:pStyle w:val="TextBody"/>
        <w:bidi w:val="0"/>
        <w:spacing w:lineRule="auto" w:line="288" w:before="0" w:after="180"/>
        <w:ind w:left="0" w:right="0" w:firstLine="180"/>
        <w:jc w:val="left"/>
        <w:rPr/>
      </w:pPr>
      <w:r>
        <w:rPr>
          <w:color w:val="000000"/>
        </w:rPr>
        <w:t>•</w:t>
      </w:r>
      <w:r>
        <w:rPr>
          <w:rFonts w:ascii="Times New Roman;serif" w:hAnsi="Times New Roman;serif"/>
          <w:b w:val="false"/>
          <w:color w:val="000000"/>
          <w:sz w:val="20"/>
        </w:rPr>
        <w:t>James Karrels, Senior Vice President and Chief Financial Officer, adopted a new trading plan on June 4, 2026 (with the first trade possible under the new plan no sooner than September 2, 2026). The trading plan will be effective until September 15, 2027 and covers the potential sale of up to 613,207 shares of common stock.</w:t>
      </w:r>
    </w:p>
    <w:p>
      <w:pPr>
        <w:pStyle w:val="TextBody"/>
        <w:bidi w:val="0"/>
        <w:spacing w:lineRule="auto" w:line="288" w:before="0" w:after="180"/>
        <w:ind w:left="0" w:right="0" w:firstLine="180"/>
        <w:jc w:val="left"/>
        <w:rPr/>
      </w:pPr>
      <w:r>
        <w:rPr>
          <w:color w:val="000000"/>
        </w:rPr>
        <w:t>•</w:t>
      </w:r>
      <w:r>
        <w:rPr>
          <w:rFonts w:ascii="Times New Roman;serif" w:hAnsi="Times New Roman;serif"/>
          <w:b w:val="false"/>
          <w:color w:val="000000"/>
          <w:sz w:val="20"/>
        </w:rPr>
        <w:t>Jeffrey Peters, Senior Vice President, General Counsel and Corporate Secretary, adopted a new trading plan on May 20, 2026 (with the first trade possible under the new plan no sooner than August 19, 2026). The trading plan will be effective until August 31, 2027 and covers the potential sale of up to 587,875 shares of common stock.</w:t>
      </w:r>
    </w:p>
    <w:p>
      <w:pPr>
        <w:pStyle w:val="TextBody"/>
        <w:bidi w:val="0"/>
        <w:spacing w:lineRule="auto" w:line="288" w:before="0" w:after="180"/>
        <w:ind w:left="0" w:right="0" w:firstLine="180"/>
        <w:jc w:val="left"/>
        <w:rPr/>
      </w:pPr>
      <w:r>
        <w:rPr>
          <w:color w:val="000000"/>
        </w:rPr>
        <w:t>•</w:t>
      </w:r>
      <w:r>
        <w:rPr>
          <w:rFonts w:ascii="Times New Roman;serif" w:hAnsi="Times New Roman;serif"/>
          <w:b w:val="false"/>
          <w:color w:val="000000"/>
          <w:sz w:val="20"/>
        </w:rPr>
        <w:t>Beth Smith, Vice President, Controller and Treasurer, adopted a new trading plan on June 5, 2026 (with the first trade possible under the new plan no sooner than September 4, 2026). The trading plan will be effective until December 31, 2027 and covers the potential sale of up to 44,000 shares of common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560" w:type="dxa"/>
        <w:jc w:val="left"/>
        <w:tblInd w:w="0" w:type="dxa"/>
        <w:tblLayout w:type="fixed"/>
        <w:tblCellMar>
          <w:top w:w="28" w:type="dxa"/>
          <w:left w:w="28" w:type="dxa"/>
          <w:bottom w:w="28" w:type="dxa"/>
          <w:right w:w="28" w:type="dxa"/>
        </w:tblCellMar>
      </w:tblPr>
      <w:tblGrid>
        <w:gridCol w:w="255"/>
        <w:gridCol w:w="223"/>
        <w:gridCol w:w="226"/>
        <w:gridCol w:w="250"/>
        <w:gridCol w:w="250"/>
        <w:gridCol w:w="356"/>
      </w:tblGrid>
      <w:tr>
        <w:trPr/>
        <w:tc>
          <w:tcPr>
            <w:tcW w:w="25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rPr/>
        <w:tc>
          <w:tcPr>
            <w:tcW w:w="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6.</w:t>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Exhibits</w:t>
            </w:r>
          </w:p>
        </w:tc>
      </w:tr>
    </w:tbl>
    <w:tbl>
      <w:tblPr>
        <w:tblW w:w="10205" w:type="dxa"/>
        <w:jc w:val="left"/>
        <w:tblInd w:w="0" w:type="dxa"/>
        <w:tblLayout w:type="fixed"/>
        <w:tblCellMar>
          <w:top w:w="28" w:type="dxa"/>
          <w:left w:w="28" w:type="dxa"/>
          <w:bottom w:w="28" w:type="dxa"/>
          <w:right w:w="28" w:type="dxa"/>
        </w:tblCellMar>
      </w:tblPr>
      <w:tblGrid>
        <w:gridCol w:w="238"/>
        <w:gridCol w:w="192"/>
        <w:gridCol w:w="197"/>
        <w:gridCol w:w="2805"/>
        <w:gridCol w:w="2805"/>
        <w:gridCol w:w="3968"/>
      </w:tblGrid>
      <w:tr>
        <w:trPr/>
        <w:tc>
          <w:tcPr>
            <w:tcW w:w="238"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805" w:type="dxa"/>
            <w:tcBorders/>
            <w:vAlign w:val="center"/>
          </w:tcPr>
          <w:p>
            <w:pPr>
              <w:pStyle w:val="TableContents"/>
              <w:bidi w:val="0"/>
              <w:spacing w:before="0" w:after="283"/>
              <w:jc w:val="left"/>
              <w:rPr>
                <w:sz w:val="4"/>
                <w:szCs w:val="4"/>
              </w:rPr>
            </w:pPr>
            <w:r>
              <w:rPr>
                <w:sz w:val="4"/>
                <w:szCs w:val="4"/>
              </w:rPr>
            </w:r>
          </w:p>
        </w:tc>
        <w:tc>
          <w:tcPr>
            <w:tcW w:w="2805" w:type="dxa"/>
            <w:tcBorders/>
            <w:vAlign w:val="center"/>
          </w:tcPr>
          <w:p>
            <w:pPr>
              <w:pStyle w:val="TableContents"/>
              <w:bidi w:val="0"/>
              <w:spacing w:before="0" w:after="283"/>
              <w:jc w:val="left"/>
              <w:rPr>
                <w:sz w:val="4"/>
                <w:szCs w:val="4"/>
              </w:rPr>
            </w:pPr>
            <w:r>
              <w:rPr>
                <w:sz w:val="4"/>
                <w:szCs w:val="4"/>
              </w:rPr>
            </w:r>
          </w:p>
        </w:tc>
        <w:tc>
          <w:tcPr>
            <w:tcW w:w="3968" w:type="dxa"/>
            <w:tcBorders/>
            <w:vAlign w:val="center"/>
          </w:tcPr>
          <w:p>
            <w:pPr>
              <w:pStyle w:val="TableContents"/>
              <w:bidi w:val="0"/>
              <w:spacing w:before="0" w:after="283"/>
              <w:jc w:val="left"/>
              <w:rPr>
                <w:sz w:val="4"/>
                <w:szCs w:val="4"/>
              </w:rPr>
            </w:pPr>
            <w:r>
              <w:rPr>
                <w:sz w:val="4"/>
                <w:szCs w:val="4"/>
              </w:rPr>
            </w:r>
          </w:p>
        </w:tc>
      </w:tr>
      <w:tr>
        <w:trPr/>
        <w:tc>
          <w:tcPr>
            <w:tcW w:w="6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2.1</w:t>
            </w:r>
          </w:p>
        </w:tc>
        <w:tc>
          <w:tcPr>
            <w:tcW w:w="95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FF"/>
                  <w:sz w:val="20"/>
                  <w:u w:val="single"/>
                </w:rPr>
                <w:t>Asset Purchase Agreement, dated as of May 11, 2026, by and between the Company and Bora Pharmaceuticals Co., Ltd. and Bora Biologics USA, LLC, a Delaware limited liability company (incorporated by reference to Exhibit 2.1 to the Company’s Current Report on Form 8-K (File No. 001-36112) filed on May 12, 2026)</w:t>
              </w:r>
            </w:hyperlink>
          </w:p>
        </w:tc>
      </w:tr>
      <w:tr>
        <w:trPr/>
        <w:tc>
          <w:tcPr>
            <w:tcW w:w="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95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20"/>
                  <w:u w:val="single"/>
                </w:rPr>
                <w:t>Restated Certificate of Incorporation of the Company and Certificate of Correction to the Restated Certificate of Incorporation of the Company (incorporated by reference to Exhibits 3.1 and 3.3, respectively, to the Company's Current Report on Form 8-K (File No. 001-36112) filed on October 18, 2013)</w:t>
              </w:r>
            </w:hyperlink>
          </w:p>
        </w:tc>
      </w:tr>
      <w:tr>
        <w:trPr/>
        <w:tc>
          <w:tcPr>
            <w:tcW w:w="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95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erif" w:hAnsi="Times New Roman;serif"/>
                  <w:b w:val="false"/>
                  <w:color w:val="0000FF"/>
                  <w:sz w:val="20"/>
                  <w:u w:val="single"/>
                </w:rPr>
                <w:t>Amended and Restated By-Laws of the Company (incorporated by reference to Exhibit 3.1 to the Company’s Current Report on Form 8-K (File No. 001-36112) filed on April 2, 2021)</w:t>
              </w:r>
            </w:hyperlink>
          </w:p>
        </w:tc>
      </w:tr>
      <w:tr>
        <w:trPr/>
        <w:tc>
          <w:tcPr>
            <w:tcW w:w="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95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1firstamendmentt.htm">
              <w:r>
                <w:rPr>
                  <w:rStyle w:val="InternetLink"/>
                  <w:rFonts w:ascii="Times New Roman;serif" w:hAnsi="Times New Roman;serif"/>
                  <w:b w:val="false"/>
                  <w:color w:val="000080"/>
                  <w:sz w:val="20"/>
                  <w:u w:val="single"/>
                </w:rPr>
                <w:t>First Amendment to Purchase and Sale Agreement, dated as of May 1, 2026, by and between the Company and</w:t>
              </w:r>
            </w:hyperlink>
            <w:hyperlink w:anchor="exhibit10-1firstamendmentt.htm">
              <w:r>
                <w:rPr>
                  <w:rStyle w:val="InternetLink"/>
                  <w:rFonts w:ascii="Times New Roman;serif" w:hAnsi="Times New Roman;serif"/>
                  <w:b w:val="false"/>
                  <w:color w:val="000080"/>
                  <w:sz w:val="20"/>
                  <w:u w:val="single"/>
                </w:rPr>
                <w:t xml:space="preserve"> </w:t>
              </w:r>
            </w:hyperlink>
            <w:hyperlink w:anchor="exhibit10-1firstamendmentt.htm">
              <w:r>
                <w:rPr>
                  <w:rStyle w:val="InternetLink"/>
                  <w:rFonts w:ascii="Times New Roman;serif" w:hAnsi="Times New Roman;serif"/>
                  <w:b w:val="false"/>
                  <w:color w:val="000080"/>
                  <w:sz w:val="20"/>
                  <w:u w:val="single"/>
                </w:rPr>
                <w:t>Sagard</w:t>
              </w:r>
            </w:hyperlink>
            <w:hyperlink w:anchor="exhibit10-1firstamendmentt.htm">
              <w:r>
                <w:rPr>
                  <w:rStyle w:val="InternetLink"/>
                  <w:rFonts w:ascii="Times New Roman;serif" w:hAnsi="Times New Roman;serif"/>
                  <w:b w:val="false"/>
                  <w:color w:val="000080"/>
                  <w:sz w:val="20"/>
                  <w:u w:val="single"/>
                </w:rPr>
                <w:t xml:space="preserve"> </w:t>
              </w:r>
            </w:hyperlink>
            <w:hyperlink w:anchor="exhibit10-1firstamendmentt.htm">
              <w:r>
                <w:rPr>
                  <w:rStyle w:val="InternetLink"/>
                  <w:rFonts w:ascii="Times New Roman;serif" w:hAnsi="Times New Roman;serif"/>
                  <w:b w:val="false"/>
                  <w:color w:val="000080"/>
                  <w:sz w:val="20"/>
                  <w:u w:val="single"/>
                </w:rPr>
                <w:t xml:space="preserve">Healthcare Partners Funding Borrower </w:t>
              </w:r>
            </w:hyperlink>
          </w:p>
        </w:tc>
      </w:tr>
      <w:tr>
        <w:trPr/>
        <w:tc>
          <w:tcPr>
            <w:tcW w:w="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31.1</w:t>
            </w:r>
            <w:r>
              <w:rPr>
                <w:rFonts w:ascii="Times New Roman;serif" w:hAnsi="Times New Roman;serif"/>
                <w:b w:val="false"/>
                <w:color w:val="000000"/>
                <w:sz w:val="13"/>
              </w:rPr>
              <w:t>*</w:t>
            </w:r>
          </w:p>
        </w:tc>
        <w:tc>
          <w:tcPr>
            <w:tcW w:w="95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1q22026.htm">
              <w:r>
                <w:rPr>
                  <w:rStyle w:val="InternetLink"/>
                  <w:rFonts w:ascii="Times New Roman;serif" w:hAnsi="Times New Roman;serif"/>
                  <w:b w:val="false"/>
                  <w:color w:val="0000FF"/>
                  <w:sz w:val="20"/>
                  <w:u w:val="single"/>
                </w:rPr>
                <w:t>Rule 13a-14(a) Certification of Principal Executive Officer</w:t>
              </w:r>
            </w:hyperlink>
          </w:p>
        </w:tc>
      </w:tr>
      <w:tr>
        <w:trPr/>
        <w:tc>
          <w:tcPr>
            <w:tcW w:w="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31.2</w:t>
            </w:r>
            <w:r>
              <w:rPr>
                <w:rFonts w:ascii="Times New Roman;serif" w:hAnsi="Times New Roman;serif"/>
                <w:b w:val="false"/>
                <w:color w:val="000000"/>
                <w:sz w:val="13"/>
              </w:rPr>
              <w:t>*</w:t>
            </w:r>
          </w:p>
        </w:tc>
        <w:tc>
          <w:tcPr>
            <w:tcW w:w="95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2q22026.htm">
              <w:r>
                <w:rPr>
                  <w:rStyle w:val="InternetLink"/>
                  <w:rFonts w:ascii="Times New Roman;serif" w:hAnsi="Times New Roman;serif"/>
                  <w:b w:val="false"/>
                  <w:color w:val="0000FF"/>
                  <w:sz w:val="20"/>
                  <w:u w:val="single"/>
                </w:rPr>
                <w:t>Rule 13a-14(a) Certification of Principal Financial Officer</w:t>
              </w:r>
            </w:hyperlink>
          </w:p>
        </w:tc>
      </w:tr>
      <w:tr>
        <w:trPr/>
        <w:tc>
          <w:tcPr>
            <w:tcW w:w="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32.1</w:t>
            </w:r>
            <w:r>
              <w:rPr>
                <w:rFonts w:ascii="Times New Roman;serif" w:hAnsi="Times New Roman;serif"/>
                <w:b w:val="false"/>
                <w:color w:val="000000"/>
                <w:sz w:val="13"/>
              </w:rPr>
              <w:t>**</w:t>
            </w:r>
          </w:p>
        </w:tc>
        <w:tc>
          <w:tcPr>
            <w:tcW w:w="95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1q22026.htm">
              <w:r>
                <w:rPr>
                  <w:rStyle w:val="InternetLink"/>
                  <w:rFonts w:ascii="Times New Roman;serif" w:hAnsi="Times New Roman;serif"/>
                  <w:b w:val="false"/>
                  <w:color w:val="0000FF"/>
                  <w:sz w:val="20"/>
                  <w:u w:val="single"/>
                </w:rPr>
                <w:t>Section 1350 Certification of Principal Executive Officer</w:t>
              </w:r>
            </w:hyperlink>
          </w:p>
        </w:tc>
      </w:tr>
      <w:tr>
        <w:trPr/>
        <w:tc>
          <w:tcPr>
            <w:tcW w:w="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32.2</w:t>
            </w:r>
            <w:r>
              <w:rPr>
                <w:rFonts w:ascii="Times New Roman;serif" w:hAnsi="Times New Roman;serif"/>
                <w:b w:val="false"/>
                <w:color w:val="000000"/>
                <w:sz w:val="13"/>
              </w:rPr>
              <w:t>**</w:t>
            </w:r>
          </w:p>
        </w:tc>
        <w:tc>
          <w:tcPr>
            <w:tcW w:w="95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2q22026.htm">
              <w:r>
                <w:rPr>
                  <w:rStyle w:val="InternetLink"/>
                  <w:rFonts w:ascii="Times New Roman;serif" w:hAnsi="Times New Roman;serif"/>
                  <w:b w:val="false"/>
                  <w:color w:val="0000FF"/>
                  <w:sz w:val="20"/>
                  <w:u w:val="single"/>
                </w:rPr>
                <w:t>Section 1350 Certification of Principal Financial Officer</w:t>
              </w:r>
            </w:hyperlink>
          </w:p>
        </w:tc>
      </w:tr>
      <w:tr>
        <w:trPr/>
        <w:tc>
          <w:tcPr>
            <w:tcW w:w="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95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Instance Document</w:t>
            </w:r>
          </w:p>
        </w:tc>
      </w:tr>
      <w:tr>
        <w:trPr/>
        <w:tc>
          <w:tcPr>
            <w:tcW w:w="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95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Schema Document</w:t>
            </w:r>
          </w:p>
        </w:tc>
      </w:tr>
      <w:tr>
        <w:trPr/>
        <w:tc>
          <w:tcPr>
            <w:tcW w:w="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95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Calculation Linkbase Document</w:t>
            </w:r>
          </w:p>
        </w:tc>
      </w:tr>
      <w:tr>
        <w:trPr/>
        <w:tc>
          <w:tcPr>
            <w:tcW w:w="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95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Definition Linkbase Document</w:t>
            </w:r>
          </w:p>
        </w:tc>
      </w:tr>
      <w:tr>
        <w:trPr/>
        <w:tc>
          <w:tcPr>
            <w:tcW w:w="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95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Labels Linkbase Document</w:t>
            </w:r>
          </w:p>
        </w:tc>
      </w:tr>
      <w:tr>
        <w:trPr/>
        <w:tc>
          <w:tcPr>
            <w:tcW w:w="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95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Presentation Linkbase Document</w:t>
            </w:r>
          </w:p>
        </w:tc>
      </w:tr>
      <w:tr>
        <w:trPr/>
        <w:tc>
          <w:tcPr>
            <w:tcW w:w="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95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(formatted as Inline XBRL and contained in Exhibit 101 filed herewith)</w:t>
            </w:r>
          </w:p>
        </w:tc>
      </w:tr>
      <w:tr>
        <w:trPr/>
        <w:tc>
          <w:tcPr>
            <w:tcW w:w="627" w:type="dxa"/>
            <w:gridSpan w:val="3"/>
            <w:tcBorders/>
            <w:vAlign w:val="center"/>
          </w:tcPr>
          <w:p>
            <w:pPr>
              <w:pStyle w:val="TableContents"/>
              <w:bidi w:val="0"/>
              <w:spacing w:before="0" w:after="283"/>
              <w:jc w:val="left"/>
              <w:rPr>
                <w:sz w:val="4"/>
                <w:szCs w:val="4"/>
              </w:rPr>
            </w:pPr>
            <w:r>
              <w:rPr>
                <w:sz w:val="4"/>
                <w:szCs w:val="4"/>
              </w:rPr>
            </w:r>
          </w:p>
        </w:tc>
        <w:tc>
          <w:tcPr>
            <w:tcW w:w="9578" w:type="dxa"/>
            <w:gridSpan w:val="3"/>
            <w:tcBorders/>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Portions of this document (indicated by "[***]" have been omitted because they are not material and are the type that MacroGenics, Inc. treats as private and confidential.</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Filed herewith</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Furnished herewith</w:t>
      </w:r>
    </w:p>
    <w:p>
      <w:pPr>
        <w:pStyle w:val="TextBody"/>
        <w:bidi w:val="0"/>
        <w:spacing w:before="0" w:after="0"/>
        <w:jc w:val="left"/>
        <w:rPr/>
      </w:pPr>
      <w:r>
        <w:rPr/>
      </w:r>
    </w:p>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36" name="Frame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80"/>
        <w:jc w:val="center"/>
        <w:rPr>
          <w:rFonts w:ascii="Times New Roman;serif" w:hAnsi="Times New Roman;serif"/>
          <w:b/>
          <w:color w:val="000000"/>
          <w:sz w:val="20"/>
          <w:u w:val="single"/>
        </w:rPr>
      </w:pPr>
      <w:r>
        <w:rPr>
          <w:rFonts w:ascii="Times New Roman;serif" w:hAnsi="Times New Roman;serif"/>
          <w:b/>
          <w:color w:val="000000"/>
          <w:sz w:val="20"/>
          <w:u w:val="single"/>
        </w:rPr>
        <w:t>SIGNATURES</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7140" w:type="dxa"/>
        <w:jc w:val="left"/>
        <w:tblInd w:w="0" w:type="dxa"/>
        <w:tblLayout w:type="fixed"/>
        <w:tblCellMar>
          <w:top w:w="28" w:type="dxa"/>
          <w:left w:w="28" w:type="dxa"/>
          <w:bottom w:w="28" w:type="dxa"/>
          <w:right w:w="28" w:type="dxa"/>
        </w:tblCellMar>
      </w:tblPr>
      <w:tblGrid>
        <w:gridCol w:w="743"/>
        <w:gridCol w:w="653"/>
        <w:gridCol w:w="659"/>
        <w:gridCol w:w="315"/>
        <w:gridCol w:w="315"/>
        <w:gridCol w:w="315"/>
        <w:gridCol w:w="1209"/>
        <w:gridCol w:w="1209"/>
        <w:gridCol w:w="1722"/>
      </w:tblGrid>
      <w:tr>
        <w:trPr/>
        <w:tc>
          <w:tcPr>
            <w:tcW w:w="74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722"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MACROGENICS, INC.</w:t>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1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Eric Risser</w:t>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Eric Risser</w:t>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James Karrels</w:t>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James Karrels</w:t>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and Chief Financial Officer</w:t>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r>
        <w:trPr/>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 August 14, 2026</w:t>
            </w:r>
          </w:p>
        </w:tc>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ind w:left="0" w:right="0" w:firstLine="72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37" name="Frame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68" w:before="0" w:after="0"/>
        <w:jc w:val="right"/>
        <w:rPr>
          <w:rFonts w:ascii="Times New Roman;serif" w:hAnsi="Times New Roman;serif"/>
          <w:b/>
          <w:color w:val="000000"/>
          <w:sz w:val="24"/>
        </w:rPr>
      </w:pPr>
      <w:r>
        <w:rPr>
          <w:rFonts w:ascii="Times New Roman;serif" w:hAnsi="Times New Roman;serif"/>
          <w:b/>
          <w:color w:val="000000"/>
          <w:sz w:val="24"/>
        </w:rPr>
        <w:t>Exhibit 10.1</w:t>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CERTAIN PORTIONS OF THIS EXHIBIT (INDICATED BY [***]) HAVE BEEN EXCLUDED PURSUANT TO ITEM 601(B)(10) OF REGULATION S-K BECAUSE THEY ARE BOTH NOT MATERIAL AND ARE THE TYPE THAT THE COMPANY TREATS AS PRIVATE AND CONFIDENTIAL.</w:t>
      </w:r>
    </w:p>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FIRST AMENDMENT TO PURCHASE AND SALE AGREEMENT</w:t>
      </w:r>
    </w:p>
    <w:p>
      <w:pPr>
        <w:pStyle w:val="TextBody"/>
        <w:bidi w:val="0"/>
        <w:spacing w:lineRule="auto" w:line="268" w:before="0" w:after="0"/>
        <w:ind w:left="0" w:right="0" w:firstLine="720"/>
        <w:jc w:val="both"/>
        <w:rPr/>
      </w:pPr>
      <w:r>
        <w:rPr>
          <w:rFonts w:ascii="Times New Roman;serif" w:hAnsi="Times New Roman;serif"/>
          <w:b w:val="false"/>
          <w:color w:val="000000"/>
          <w:sz w:val="24"/>
        </w:rPr>
        <w:t>This First Amendment to the Purchase and Sale Agreement (this “</w:t>
      </w:r>
      <w:r>
        <w:rPr>
          <w:rFonts w:ascii="Times New Roman;serif" w:hAnsi="Times New Roman;serif"/>
          <w:b/>
          <w:color w:val="000000"/>
          <w:sz w:val="24"/>
        </w:rPr>
        <w:t>First</w:t>
      </w:r>
      <w:r>
        <w:rPr>
          <w:color w:val="000000"/>
        </w:rPr>
        <w:t xml:space="preserve"> </w:t>
      </w:r>
      <w:r>
        <w:rPr>
          <w:rFonts w:ascii="Times New Roman;serif" w:hAnsi="Times New Roman;serif"/>
          <w:b/>
          <w:color w:val="000000"/>
          <w:sz w:val="24"/>
        </w:rPr>
        <w:t>Amendment</w:t>
      </w:r>
      <w:r>
        <w:rPr>
          <w:color w:val="000000"/>
        </w:rPr>
        <w:t>”</w:t>
      </w:r>
      <w:r>
        <w:rPr>
          <w:rFonts w:ascii="Times New Roman;serif" w:hAnsi="Times New Roman;serif"/>
          <w:b w:val="false"/>
          <w:color w:val="000000"/>
          <w:sz w:val="24"/>
        </w:rPr>
        <w:t>) is made as of May 1, 2026 (the “</w:t>
      </w:r>
      <w:r>
        <w:rPr>
          <w:rFonts w:ascii="Times New Roman;serif" w:hAnsi="Times New Roman;serif"/>
          <w:b/>
          <w:color w:val="000000"/>
          <w:sz w:val="24"/>
        </w:rPr>
        <w:t>First</w:t>
      </w:r>
      <w:r>
        <w:rPr>
          <w:color w:val="000000"/>
        </w:rPr>
        <w:t xml:space="preserve"> </w:t>
      </w:r>
      <w:r>
        <w:rPr>
          <w:rFonts w:ascii="Times New Roman;serif" w:hAnsi="Times New Roman;serif"/>
          <w:b/>
          <w:color w:val="000000"/>
          <w:sz w:val="24"/>
        </w:rPr>
        <w:t>Amendment Effective Date</w:t>
      </w:r>
      <w:r>
        <w:rPr>
          <w:color w:val="000000"/>
        </w:rPr>
        <w:t>”</w:t>
      </w:r>
      <w:r>
        <w:rPr>
          <w:rFonts w:ascii="Times New Roman;serif" w:hAnsi="Times New Roman;serif"/>
          <w:b w:val="false"/>
          <w:color w:val="000000"/>
          <w:sz w:val="24"/>
        </w:rPr>
        <w:t>), by and between Sagard Healthcare Partners Funding Borrower SPE 2, LP, a Delaware limited partnership (“</w:t>
      </w:r>
      <w:r>
        <w:rPr>
          <w:rFonts w:ascii="Times New Roman;serif" w:hAnsi="Times New Roman;serif"/>
          <w:b/>
          <w:color w:val="000000"/>
          <w:sz w:val="24"/>
        </w:rPr>
        <w:t>Sagard</w:t>
      </w:r>
      <w:r>
        <w:rPr>
          <w:color w:val="000000"/>
        </w:rPr>
        <w:t>”</w:t>
      </w:r>
      <w:r>
        <w:rPr>
          <w:rFonts w:ascii="Times New Roman;serif" w:hAnsi="Times New Roman;serif"/>
          <w:b w:val="false"/>
          <w:color w:val="000000"/>
          <w:sz w:val="24"/>
        </w:rPr>
        <w:t>) and MacroGenics, Inc., a Delaware corporation (the “</w:t>
      </w:r>
      <w:r>
        <w:rPr>
          <w:rFonts w:ascii="Times New Roman;serif" w:hAnsi="Times New Roman;serif"/>
          <w:b/>
          <w:color w:val="000000"/>
          <w:sz w:val="24"/>
        </w:rPr>
        <w:t>Seller</w:t>
      </w:r>
      <w:r>
        <w:rPr>
          <w:color w:val="000000"/>
        </w:rPr>
        <w:t>”</w:t>
      </w:r>
      <w:r>
        <w:rPr>
          <w:rFonts w:ascii="Times New Roman;serif" w:hAnsi="Times New Roman;serif"/>
          <w:b w:val="false"/>
          <w:color w:val="000000"/>
          <w:sz w:val="24"/>
        </w:rPr>
        <w:t>). Sagard and Seller are collectively referred to herein as the “</w:t>
      </w:r>
      <w:r>
        <w:rPr>
          <w:rFonts w:ascii="Times New Roman;serif" w:hAnsi="Times New Roman;serif"/>
          <w:b/>
          <w:color w:val="000000"/>
          <w:sz w:val="24"/>
        </w:rPr>
        <w:t>Parties</w:t>
      </w:r>
      <w:r>
        <w:rPr>
          <w:color w:val="000000"/>
        </w:rPr>
        <w:t xml:space="preserve">” </w:t>
      </w:r>
      <w:r>
        <w:rPr>
          <w:rFonts w:ascii="Times New Roman;serif" w:hAnsi="Times New Roman;serif"/>
          <w:b w:val="false"/>
          <w:color w:val="000000"/>
          <w:sz w:val="24"/>
        </w:rPr>
        <w:t>and individually as a “</w:t>
      </w:r>
      <w:r>
        <w:rPr>
          <w:rFonts w:ascii="Times New Roman;serif" w:hAnsi="Times New Roman;serif"/>
          <w:b/>
          <w:color w:val="000000"/>
          <w:sz w:val="24"/>
        </w:rPr>
        <w:t>Party.</w:t>
      </w:r>
      <w:r>
        <w:rPr>
          <w:color w:val="000000"/>
        </w:rPr>
        <w:t>”</w:t>
      </w:r>
    </w:p>
    <w:p>
      <w:pPr>
        <w:pStyle w:val="TextBody"/>
        <w:bidi w:val="0"/>
        <w:spacing w:before="0" w:after="0"/>
        <w:ind w:left="0" w:right="0" w:firstLine="720"/>
        <w:jc w:val="both"/>
        <w:rPr/>
      </w:pPr>
      <w:r>
        <w:rPr/>
      </w:r>
    </w:p>
    <w:p>
      <w:pPr>
        <w:pStyle w:val="TextBody"/>
        <w:bidi w:val="0"/>
        <w:spacing w:lineRule="auto" w:line="268" w:before="0" w:after="0"/>
        <w:jc w:val="center"/>
        <w:rPr>
          <w:rFonts w:ascii="Times New Roman;serif" w:hAnsi="Times New Roman;serif"/>
          <w:b w:val="false"/>
          <w:color w:val="000000"/>
          <w:sz w:val="24"/>
        </w:rPr>
      </w:pPr>
      <w:r>
        <w:rPr>
          <w:rFonts w:ascii="Times New Roman;serif" w:hAnsi="Times New Roman;serif"/>
          <w:b w:val="false"/>
          <w:color w:val="000000"/>
          <w:sz w:val="24"/>
        </w:rPr>
        <w:t>BACKGROUND</w:t>
      </w:r>
    </w:p>
    <w:p>
      <w:pPr>
        <w:pStyle w:val="TextBody"/>
        <w:bidi w:val="0"/>
        <w:spacing w:before="0" w:after="0"/>
        <w:jc w:val="center"/>
        <w:rPr/>
      </w:pPr>
      <w:r>
        <w:rPr/>
      </w:r>
    </w:p>
    <w:p>
      <w:pPr>
        <w:pStyle w:val="TextBody"/>
        <w:bidi w:val="0"/>
        <w:spacing w:lineRule="auto" w:line="268" w:before="0" w:after="0"/>
        <w:ind w:left="0" w:right="0" w:firstLine="720"/>
        <w:jc w:val="both"/>
        <w:rPr/>
      </w:pPr>
      <w:r>
        <w:rPr>
          <w:rFonts w:ascii="Times New Roman;serif" w:hAnsi="Times New Roman;serif"/>
          <w:b/>
          <w:color w:val="000000"/>
          <w:sz w:val="24"/>
        </w:rPr>
        <w:t>WHEREAS</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Sagard Healthcare Partners (Delaware) II LP, a Delaware limited partnership entered into that certain Purchase and Sale Agreement, dated as of June 9, 2025 (the “</w:t>
      </w:r>
      <w:r>
        <w:rPr>
          <w:rFonts w:ascii="Times New Roman;serif" w:hAnsi="Times New Roman;serif"/>
          <w:b/>
          <w:color w:val="000000"/>
          <w:sz w:val="24"/>
        </w:rPr>
        <w:t>Original Agreement</w:t>
      </w:r>
      <w:r>
        <w:rPr>
          <w:rFonts w:ascii="Times New Roman;serif" w:hAnsi="Times New Roman;serif"/>
          <w:b w:val="false"/>
          <w:color w:val="000000"/>
          <w:sz w:val="24"/>
        </w:rPr>
        <w:t>,” and as amended by this First Amendment, the “</w:t>
      </w:r>
      <w:r>
        <w:rPr>
          <w:rFonts w:ascii="Times New Roman;serif" w:hAnsi="Times New Roman;serif"/>
          <w:b/>
          <w:color w:val="000000"/>
          <w:sz w:val="24"/>
        </w:rPr>
        <w:t>Agreement</w:t>
      </w:r>
      <w:r>
        <w:rPr>
          <w:color w:val="000000"/>
        </w:rPr>
        <w:t>”</w:t>
      </w:r>
      <w:r>
        <w:rPr>
          <w:rFonts w:ascii="Times New Roman;serif" w:hAnsi="Times New Roman;serif"/>
          <w:b w:val="false"/>
          <w:color w:val="000000"/>
          <w:sz w:val="24"/>
        </w:rPr>
        <w:t xml:space="preserve">) with Seller and subsequently assigned all of its rights, title, interest and benefit thereunder (including, without limitation, the Purchased Assets thereunder) to Sagard effective as of October 7, 2025 pursuant to Section 10.3(c) of the Original Agreement. </w:t>
      </w:r>
    </w:p>
    <w:p>
      <w:pPr>
        <w:pStyle w:val="TextBody"/>
        <w:bidi w:val="0"/>
        <w:spacing w:lineRule="auto" w:line="268" w:before="0" w:after="0"/>
        <w:ind w:left="0" w:right="0" w:firstLine="720"/>
        <w:jc w:val="both"/>
        <w:rPr/>
      </w:pPr>
      <w:r>
        <w:rPr>
          <w:rFonts w:ascii="Times New Roman;serif" w:hAnsi="Times New Roman;serif"/>
          <w:b/>
          <w:color w:val="000000"/>
          <w:sz w:val="24"/>
        </w:rPr>
        <w:t>WHEREAS</w:t>
      </w:r>
      <w:r>
        <w:rPr>
          <w:rFonts w:ascii="Times New Roman;serif" w:hAnsi="Times New Roman;serif"/>
          <w:b w:val="false"/>
          <w:color w:val="000000"/>
          <w:sz w:val="24"/>
        </w:rPr>
        <w:t>, the Parties wish to amend the Original Agreement as set forth in this First Amendment.</w:t>
      </w:r>
    </w:p>
    <w:p>
      <w:pPr>
        <w:pStyle w:val="TextBody"/>
        <w:bidi w:val="0"/>
        <w:spacing w:lineRule="auto" w:line="268" w:before="0" w:after="0"/>
        <w:jc w:val="both"/>
        <w:rPr/>
      </w:pPr>
      <w:r>
        <w:rPr>
          <w:rFonts w:ascii="Times New Roman;serif" w:hAnsi="Times New Roman;serif"/>
          <w:b/>
          <w:color w:val="000000"/>
          <w:sz w:val="24"/>
        </w:rPr>
        <w:t>NOW, THEREFORE</w:t>
      </w:r>
      <w:r>
        <w:rPr>
          <w:rFonts w:ascii="Times New Roman;serif" w:hAnsi="Times New Roman;serif"/>
          <w:b w:val="false"/>
          <w:color w:val="000000"/>
          <w:sz w:val="24"/>
        </w:rPr>
        <w:t>, in consideration of the premises and the mutual agreements, representations and warranties set forth herein and of other good and valuable consideration, the receipt and adequacy of which are hereby acknowledged, the Parties covenant and agree to hereby amend the Original Agreement as follows:</w:t>
      </w:r>
    </w:p>
    <w:p>
      <w:pPr>
        <w:pStyle w:val="TextBody"/>
        <w:bidi w:val="0"/>
        <w:spacing w:lineRule="auto" w:line="268"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1Definitions. Capitalized terms used but not otherwise defined herein have the meanings ascribed to them in the Original Agreement.</w:t>
      </w:r>
    </w:p>
    <w:p>
      <w:pPr>
        <w:pStyle w:val="TextBody"/>
        <w:bidi w:val="0"/>
        <w:spacing w:lineRule="auto" w:line="268"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2Representations and Warranties of Seller. Seller hereby represents and warrants to Sagard that the representations and warranties of Seller contained in Article III of the Original Agreement are true and correct in all material respects (unless such representations are already qualified by reference to materiality, Material Adverse Effect or similar language, in which case such representations and warranties shall be true and correct in all respects) as of the First Amendment Effective Date as though made as of the First Amendment Effective Date, provided that (a) references in Article III to documents “attached hereto” or to Exhibits shall refer to the documents attached to the Original Agreement as of its original execution date, (b) references in Article III to the Disclosure Schedules shall refer to the Disclosure Schedules with the updates described in Exhibit A hereto, and (c) references in Section 3.16 to disclosures made available in the Data Room or disclosed in writing prior to the date of the Original Agreement shall include disclosures made through the First Amendment Effective Date.</w:t>
      </w:r>
    </w:p>
    <w:p>
      <w:pPr>
        <w:pStyle w:val="TextBody"/>
        <w:bidi w:val="0"/>
        <w:spacing w:lineRule="auto" w:line="268" w:before="0" w:after="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 xml:space="preserve">3First Amendment Effective Date Payment; Financing Statements; Bill of Sale. </w:t>
      </w:r>
    </w:p>
    <w:p>
      <w:pPr>
        <w:pStyle w:val="TextBody"/>
        <w:bidi w:val="0"/>
        <w:spacing w:lineRule="auto" w:line="268"/>
        <w:ind w:left="0" w:right="0" w:hanging="360"/>
        <w:jc w:val="both"/>
        <w:rPr/>
      </w:pPr>
      <w:r>
        <w:rPr>
          <w:rFonts w:ascii="Times New Roman;serif" w:hAnsi="Times New Roman;serif"/>
          <w:b w:val="false"/>
          <w:color w:val="000000"/>
          <w:sz w:val="24"/>
        </w:rPr>
        <w:t>3.1On the First Amendment Effective Date, Sagard will deliver to Seller an amount equal to $60,000,000, by wire transfer of immediately available funds to the Seller Account, without any deduction for withholding or other taxes and without any other set off or deduction of any kind (such payment, the “Amendment Fee”). Seller is required to deliver to Sagard a duly completed and valid Internal Revenue Service (“</w:t>
      </w:r>
      <w:r>
        <w:rPr>
          <w:rFonts w:ascii="Times New Roman;serif" w:hAnsi="Times New Roman;serif"/>
          <w:b/>
          <w:color w:val="000000"/>
          <w:sz w:val="24"/>
        </w:rPr>
        <w:t>IRS</w:t>
      </w:r>
      <w:r>
        <w:rPr>
          <w:color w:val="000000"/>
        </w:rPr>
        <w:t>”</w:t>
      </w:r>
      <w:r>
        <w:rPr>
          <w:rFonts w:ascii="Times New Roman;serif" w:hAnsi="Times New Roman;serif"/>
          <w:b w:val="false"/>
          <w:color w:val="000000"/>
          <w:sz w:val="24"/>
        </w:rPr>
        <w:t xml:space="preserve">) Form W-9 prior to receiving such payment. The </w:t>
      </w: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38"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Amendment Fee will be deemed part of the Purchase Price (such that the Purchase Price immediately following the First Amendment Effective Date will be $130,000,000) for purposes of calculating the Threshold Amount and Threshold Time and for purposes of Article VII (Indemnification). </w:t>
      </w:r>
    </w:p>
    <w:p>
      <w:pPr>
        <w:pStyle w:val="TextBody"/>
        <w:bidi w:val="0"/>
        <w:spacing w:lineRule="auto" w:line="268"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3.2From and after the First Amendment Effective Date, Sagard may file an amendment to its UCC-1 financing statements in respect of the Purchased Assets.</w:t>
      </w:r>
    </w:p>
    <w:p>
      <w:pPr>
        <w:pStyle w:val="TextBody"/>
        <w:bidi w:val="0"/>
        <w:spacing w:lineRule="auto" w:line="268" w:before="0" w:after="0"/>
        <w:ind w:left="0" w:right="0" w:hanging="360"/>
        <w:jc w:val="both"/>
        <w:rPr/>
      </w:pPr>
      <w:r>
        <w:rPr>
          <w:rFonts w:ascii="Times New Roman;serif" w:hAnsi="Times New Roman;serif"/>
          <w:b w:val="false"/>
          <w:color w:val="000000"/>
          <w:sz w:val="24"/>
        </w:rPr>
        <w:t xml:space="preserve">3.3On the First Amendment Effective Date, each of Seller and Sagard will deliver to the other Party a duly executed counterpart to an amended and restated bill of sale, dated as of the First Amendment Effective Date, substantially in the form attached hereto as </w:t>
      </w:r>
      <w:r>
        <w:rPr>
          <w:rFonts w:ascii="Times New Roman;serif" w:hAnsi="Times New Roman;serif"/>
          <w:b w:val="false"/>
          <w:color w:val="000000"/>
          <w:sz w:val="24"/>
          <w:u w:val="single"/>
        </w:rPr>
        <w:t>Exhibit A</w:t>
      </w:r>
      <w:r>
        <w:rPr>
          <w:rFonts w:ascii="Times New Roman;serif" w:hAnsi="Times New Roman;serif"/>
          <w:b w:val="false"/>
          <w:color w:val="000000"/>
          <w:sz w:val="24"/>
        </w:rPr>
        <w:t>, evidencing the sale and assignment to Sagard of the Purchased Assets as expanded by the terms of this First Amendment.</w:t>
      </w:r>
    </w:p>
    <w:p>
      <w:pPr>
        <w:pStyle w:val="TextBody"/>
        <w:bidi w:val="0"/>
        <w:spacing w:lineRule="auto" w:line="268"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 xml:space="preserve">4Definition of Threshold Amount. The definition of “Threshold Amount” is hereby amended and restated in its entirety as follows: </w:t>
      </w:r>
    </w:p>
    <w:p>
      <w:pPr>
        <w:pStyle w:val="TextBody"/>
        <w:bidi w:val="0"/>
        <w:spacing w:lineRule="auto" w:line="268" w:before="0" w:after="0"/>
        <w:ind w:left="0" w:right="0" w:firstLine="720"/>
        <w:jc w:val="both"/>
        <w:rPr>
          <w:color w:val="000000"/>
        </w:rPr>
      </w:pPr>
      <w:r>
        <w:rPr>
          <w:color w:val="000000"/>
        </w:rPr>
        <w:t>“</w:t>
      </w:r>
      <w:r>
        <w:rPr>
          <w:rFonts w:ascii="Times New Roman;serif" w:hAnsi="Times New Roman;serif"/>
          <w:b w:val="false"/>
          <w:color w:val="000000"/>
          <w:sz w:val="24"/>
        </w:rPr>
        <w:t>Threshold Amount” means either (a) at any time on or prior to September 30, 2032, the product of 1.70 multiplied by the aggregate Purchase Price, or (b) at any time after September 30, 2032, the product of 2.0 multiplied by the aggregate Purchase Price; provided further that if the Threshold Time is subsequently determined to not have occurred in accordance with its terms, then the Threshold Amount shall be re-calculated in accordance with this definition in determining whether the Threshold Time has occurred.</w:t>
      </w:r>
    </w:p>
    <w:p>
      <w:pPr>
        <w:pStyle w:val="TextBody"/>
        <w:bidi w:val="0"/>
        <w:spacing w:lineRule="auto" w:line="268"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 xml:space="preserve">1.Milestone Payments. Article II of the Original Agreement is hereby amended to add the following Section 2.4: </w:t>
      </w:r>
    </w:p>
    <w:p>
      <w:pPr>
        <w:pStyle w:val="TextBody"/>
        <w:bidi w:val="0"/>
        <w:spacing w:lineRule="auto" w:line="268" w:before="0" w:after="0"/>
        <w:ind w:left="0" w:right="0" w:firstLine="720"/>
        <w:jc w:val="both"/>
        <w:rPr/>
      </w:pPr>
      <w:r>
        <w:rPr>
          <w:rFonts w:ascii="Times New Roman;serif" w:hAnsi="Times New Roman;serif"/>
          <w:b w:val="false"/>
          <w:color w:val="000000"/>
          <w:sz w:val="24"/>
        </w:rPr>
        <w:t xml:space="preserve">Section 2.4 </w:t>
      </w:r>
      <w:r>
        <w:rPr>
          <w:rFonts w:ascii="Times New Roman;serif" w:hAnsi="Times New Roman;serif"/>
          <w:b w:val="false"/>
          <w:color w:val="000000"/>
          <w:sz w:val="24"/>
          <w:u w:val="single"/>
        </w:rPr>
        <w:t>Milestone Payments</w:t>
      </w:r>
      <w:r>
        <w:rPr>
          <w:rFonts w:ascii="Times New Roman;serif" w:hAnsi="Times New Roman;serif"/>
          <w:b w:val="false"/>
          <w:color w:val="000000"/>
          <w:sz w:val="24"/>
        </w:rPr>
        <w:t>.</w:t>
      </w:r>
    </w:p>
    <w:p>
      <w:pPr>
        <w:pStyle w:val="TextBody"/>
        <w:bidi w:val="0"/>
        <w:spacing w:lineRule="auto" w:line="268" w:before="0" w:after="0"/>
        <w:ind w:left="0" w:right="0" w:firstLine="720"/>
        <w:jc w:val="both"/>
        <w:rPr/>
      </w:pPr>
      <w:r>
        <w:rPr>
          <w:rFonts w:ascii="Times New Roman;serif" w:hAnsi="Times New Roman;serif"/>
          <w:b w:val="false"/>
          <w:color w:val="000000"/>
          <w:sz w:val="24"/>
        </w:rPr>
        <w:t>(a) During the Royalty Term, Sagard shall pay to Seller a one-time milestone payment (such payment, the “</w:t>
      </w:r>
      <w:r>
        <w:rPr>
          <w:rFonts w:ascii="Times New Roman;serif" w:hAnsi="Times New Roman;serif"/>
          <w:b/>
          <w:color w:val="000000"/>
          <w:sz w:val="24"/>
        </w:rPr>
        <w:t>Milestone Payment</w:t>
      </w:r>
      <w:r>
        <w:rPr>
          <w:color w:val="000000"/>
        </w:rPr>
        <w:t>”</w:t>
      </w:r>
      <w:r>
        <w:rPr>
          <w:rFonts w:ascii="Times New Roman;serif" w:hAnsi="Times New Roman;serif"/>
          <w:b w:val="false"/>
          <w:color w:val="000000"/>
          <w:sz w:val="24"/>
        </w:rPr>
        <w:t>) upon achievement of either of the following sales-based milestone events under the License Agreement (each, a “</w:t>
      </w:r>
      <w:r>
        <w:rPr>
          <w:rFonts w:ascii="Times New Roman;serif" w:hAnsi="Times New Roman;serif"/>
          <w:b/>
          <w:color w:val="000000"/>
          <w:sz w:val="24"/>
        </w:rPr>
        <w:t>Milestone Event</w:t>
      </w:r>
      <w:r>
        <w:rPr>
          <w:color w:val="000000"/>
        </w:rPr>
        <w:t>”</w:t>
      </w:r>
      <w:r>
        <w:rPr>
          <w:rFonts w:ascii="Times New Roman;serif" w:hAnsi="Times New Roman;serif"/>
          <w:b w:val="false"/>
          <w:color w:val="000000"/>
          <w:sz w:val="24"/>
        </w:rPr>
        <w:t>):</w:t>
      </w:r>
    </w:p>
    <w:p>
      <w:pPr>
        <w:pStyle w:val="TextBody"/>
        <w:bidi w:val="0"/>
        <w:spacing w:lineRule="auto" w:line="26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 if Net Sales of the Royalty Product equal or exceed $[***] for the calendar year ended December 31, 2026, then Sagard will deliver to Seller an amount equal to $[***]; or </w:t>
      </w:r>
    </w:p>
    <w:p>
      <w:pPr>
        <w:pStyle w:val="TextBody"/>
        <w:bidi w:val="0"/>
        <w:spacing w:lineRule="auto" w:line="26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(ii) if Net Sales of the Royalty Product equal or exceed $[***] for the calendar year ended December 31, 2026, then Sagard will deliver to Seller an amount equal to $[***]; or </w:t>
      </w:r>
    </w:p>
    <w:p>
      <w:pPr>
        <w:pStyle w:val="TextBody"/>
        <w:bidi w:val="0"/>
        <w:spacing w:lineRule="auto" w:line="26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(iii) if Net Sales of the Royalty Product equal or exceed $[***] for the calendar year ended December 31, 2026, then Sagard will deliver to Seller an amount equal to $[***].</w:t>
      </w:r>
    </w:p>
    <w:p>
      <w:pPr>
        <w:pStyle w:val="TextBody"/>
        <w:bidi w:val="0"/>
        <w:spacing w:lineRule="auto" w:line="26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(b) The Milestone Payment will be payable only once. If all 3 Milestone Events are achieved, then the Milestone Payment payable to Seller will be solely the amount set forth in Section 2.4(a)(iii). If both the Milestone Events specified in Section 2.4(a)(i) and Section 2.4(a)(ii) are achieved, then the Milestone Payment payable to the Seller will be solely the amount set forth in Section 2.4(a)(ii). </w:t>
      </w:r>
    </w:p>
    <w:p>
      <w:pPr>
        <w:pStyle w:val="TextBody"/>
        <w:bidi w:val="0"/>
        <w:spacing w:lineRule="auto" w:line="26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 Seller will promptly notify Sagard in writing of the achievement of a Milestone Event following receipt by Seller from Incyte of a Royalty Report and evidencing achievement of a Milestone Event and will furnish a copy of such Royalty Report to Sagard, together with a copy of Seller’s invoice to Sagard for the relevant Milestone Payment. Sagard will pay to Seller such Milestone Payment no later than thirty days after its receipt of an invoice for such Milestone Payment. The Milestone Payment shall be made by wire transfer of immediately available funds to the Seller Account, without any deduction for withholding or other taxes and without any other set off or deduction of any kind. Seller will deliver to Sagard a duly completed and valid IRS Form W-9 prior to Sagard’s payment of the Milestone Payment.</w:t>
      </w:r>
    </w:p>
    <w:p>
      <w:pPr>
        <w:pStyle w:val="TextBody"/>
        <w:bidi w:val="0"/>
        <w:spacing w:lineRule="auto" w:line="268"/>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(d) The Milestone Payment, if paid, will be deemed part of the Purchase Price (such that the Purchase Price is further increased accordingly) for purposes of calculating the Threshold Amount and Threshold Time and for purposes of Article VII (Indemnification).</w:t>
      </w:r>
    </w:p>
    <w:p>
      <w:pPr>
        <w:pStyle w:val="TextBody"/>
        <w:bidi w:val="0"/>
        <w:spacing w:lineRule="auto" w:line="268" w:before="0" w:after="0"/>
        <w:jc w:val="right"/>
        <w:rPr>
          <w:rFonts w:ascii="Times New Roman;serif" w:hAnsi="Times New Roman;serif"/>
          <w:b/>
          <w:color w:val="000000"/>
          <w:sz w:val="24"/>
        </w:rPr>
      </w:pPr>
      <w:r>
        <w:rPr>
          <w:rFonts w:ascii="Times New Roman;serif" w:hAnsi="Times New Roman;serif"/>
          <w:b/>
          <w:color w:val="000000"/>
          <w:sz w:val="24"/>
        </w:rPr>
        <w:t>Exhibit 10.1</w:t>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9"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1.Notices. Section 10.2 of the original agreement is hereby revised to replace notice information pertaining to the Seller as follows:</w:t>
      </w:r>
    </w:p>
    <w:p>
      <w:pPr>
        <w:pStyle w:val="TextBody"/>
        <w:bidi w:val="0"/>
        <w:spacing w:lineRule="auto" w:line="268" w:before="0" w:after="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if to Seller, to:</w:t>
      </w:r>
    </w:p>
    <w:p>
      <w:pPr>
        <w:pStyle w:val="TextBody"/>
        <w:bidi w:val="0"/>
        <w:spacing w:lineRule="auto" w:line="268" w:before="0" w:after="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MacroGenics, Inc.</w:t>
      </w:r>
    </w:p>
    <w:p>
      <w:pPr>
        <w:pStyle w:val="TextBody"/>
        <w:bidi w:val="0"/>
        <w:spacing w:lineRule="auto" w:line="268" w:before="0" w:after="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9704 Medical Center Drive</w:t>
      </w:r>
    </w:p>
    <w:p>
      <w:pPr>
        <w:pStyle w:val="TextBody"/>
        <w:bidi w:val="0"/>
        <w:spacing w:lineRule="auto" w:line="268" w:before="0" w:after="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Rockville, MD 20850</w:t>
      </w:r>
    </w:p>
    <w:p>
      <w:pPr>
        <w:pStyle w:val="TextBody"/>
        <w:bidi w:val="0"/>
        <w:spacing w:lineRule="auto" w:line="268" w:before="0" w:after="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Attention: President and Chief Executive Officer</w:t>
      </w:r>
    </w:p>
    <w:p>
      <w:pPr>
        <w:pStyle w:val="TextBody"/>
        <w:bidi w:val="0"/>
        <w:spacing w:lineRule="auto" w:line="268" w:before="0" w:after="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Attention: Senior Vice President and General Counsel</w:t>
      </w:r>
    </w:p>
    <w:p>
      <w:pPr>
        <w:pStyle w:val="TextBody"/>
        <w:bidi w:val="0"/>
        <w:spacing w:lineRule="auto" w:line="268" w:before="0" w:after="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Email: [***]</w:t>
      </w:r>
    </w:p>
    <w:p>
      <w:pPr>
        <w:pStyle w:val="TextBody"/>
        <w:bidi w:val="0"/>
        <w:spacing w:lineRule="auto" w:line="268" w:before="0" w:after="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Telephone: [***]</w:t>
      </w:r>
    </w:p>
    <w:p>
      <w:pPr>
        <w:pStyle w:val="TextBody"/>
        <w:bidi w:val="0"/>
        <w:spacing w:before="0" w:after="0"/>
        <w:jc w:val="left"/>
        <w:rPr/>
      </w:pPr>
      <w:r>
        <w:rPr/>
      </w:r>
    </w:p>
    <w:p>
      <w:pPr>
        <w:pStyle w:val="TextBody"/>
        <w:bidi w:val="0"/>
        <w:spacing w:lineRule="auto" w:line="268" w:before="0" w:after="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with a copy, which shall not constitute notice, to:</w:t>
      </w:r>
    </w:p>
    <w:p>
      <w:pPr>
        <w:pStyle w:val="TextBody"/>
        <w:bidi w:val="0"/>
        <w:spacing w:before="0" w:after="0"/>
        <w:jc w:val="left"/>
        <w:rPr/>
      </w:pPr>
      <w:r>
        <w:rPr/>
      </w:r>
    </w:p>
    <w:p>
      <w:pPr>
        <w:pStyle w:val="TextBody"/>
        <w:bidi w:val="0"/>
        <w:spacing w:lineRule="auto" w:line="268" w:before="0" w:after="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Cooley LLP</w:t>
      </w:r>
    </w:p>
    <w:p>
      <w:pPr>
        <w:pStyle w:val="TextBody"/>
        <w:bidi w:val="0"/>
        <w:spacing w:lineRule="auto" w:line="268" w:before="0" w:after="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3 Embarcadero Center</w:t>
      </w:r>
    </w:p>
    <w:p>
      <w:pPr>
        <w:pStyle w:val="TextBody"/>
        <w:bidi w:val="0"/>
        <w:spacing w:lineRule="auto" w:line="268" w:before="0" w:after="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 xml:space="preserve">20th Floor </w:t>
      </w:r>
    </w:p>
    <w:p>
      <w:pPr>
        <w:pStyle w:val="TextBody"/>
        <w:bidi w:val="0"/>
        <w:spacing w:lineRule="auto" w:line="268" w:before="0" w:after="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San Francisco, CA 94111-4004</w:t>
      </w:r>
    </w:p>
    <w:p>
      <w:pPr>
        <w:pStyle w:val="TextBody"/>
        <w:bidi w:val="0"/>
        <w:spacing w:lineRule="auto" w:line="268" w:before="0" w:after="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Attention: [***]</w:t>
      </w:r>
    </w:p>
    <w:p>
      <w:pPr>
        <w:pStyle w:val="TextBody"/>
        <w:bidi w:val="0"/>
        <w:spacing w:lineRule="auto" w:line="268" w:before="0" w:after="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Email: [***]</w:t>
      </w:r>
    </w:p>
    <w:p>
      <w:pPr>
        <w:pStyle w:val="TextBody"/>
        <w:bidi w:val="0"/>
        <w:spacing w:lineRule="auto" w:line="268" w:before="0" w:after="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Telephone: [***]</w:t>
      </w:r>
    </w:p>
    <w:p>
      <w:pPr>
        <w:pStyle w:val="TextBody"/>
        <w:bidi w:val="0"/>
        <w:spacing w:before="0" w:after="0"/>
        <w:jc w:val="left"/>
        <w:rPr/>
      </w:pPr>
      <w:r>
        <w:rPr/>
      </w:r>
    </w:p>
    <w:p>
      <w:pPr>
        <w:pStyle w:val="TextBody"/>
        <w:bidi w:val="0"/>
        <w:spacing w:lineRule="auto" w:line="268" w:before="0" w:after="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1.Miscellaneous</w:t>
      </w:r>
    </w:p>
    <w:p>
      <w:pPr>
        <w:pStyle w:val="TextBody"/>
        <w:bidi w:val="0"/>
        <w:spacing w:lineRule="auto" w:line="268" w:before="0" w:after="0"/>
        <w:ind w:left="0" w:right="0" w:hanging="360"/>
        <w:jc w:val="both"/>
        <w:rPr/>
      </w:pPr>
      <w:r>
        <w:rPr>
          <w:rFonts w:ascii="Times New Roman;serif" w:hAnsi="Times New Roman;serif"/>
          <w:b w:val="false"/>
          <w:color w:val="000000"/>
          <w:sz w:val="24"/>
        </w:rPr>
        <w:t>1.1.</w:t>
      </w:r>
      <w:r>
        <w:rPr>
          <w:rFonts w:ascii="Times New Roman;serif" w:hAnsi="Times New Roman;serif"/>
          <w:b/>
          <w:color w:val="000000"/>
          <w:sz w:val="24"/>
        </w:rPr>
        <w:t>Effectiveness</w:t>
      </w:r>
      <w:r>
        <w:rPr>
          <w:rFonts w:ascii="Times New Roman;serif" w:hAnsi="Times New Roman;serif"/>
          <w:b w:val="false"/>
          <w:color w:val="000000"/>
          <w:sz w:val="24"/>
        </w:rPr>
        <w:t xml:space="preserve">. Except as set forth in or modified by this First Amendment, all terms and conditions of the Original Agreement are hereby ratified and shall remain in full force and effect. Amendments made pursuant to this First Amendment shall be effective as of the First Amendment Effective Date. </w:t>
      </w:r>
    </w:p>
    <w:p>
      <w:pPr>
        <w:pStyle w:val="TextBody"/>
        <w:bidi w:val="0"/>
        <w:spacing w:lineRule="auto" w:line="268" w:before="0" w:after="0"/>
        <w:ind w:left="0" w:right="0" w:hanging="360"/>
        <w:jc w:val="both"/>
        <w:rPr/>
      </w:pPr>
      <w:r>
        <w:rPr>
          <w:rFonts w:ascii="Times New Roman;serif" w:hAnsi="Times New Roman;serif"/>
          <w:b w:val="false"/>
          <w:color w:val="000000"/>
          <w:sz w:val="24"/>
        </w:rPr>
        <w:t>1.2.</w:t>
      </w:r>
      <w:r>
        <w:rPr>
          <w:rFonts w:ascii="Times New Roman;serif" w:hAnsi="Times New Roman;serif"/>
          <w:b/>
          <w:color w:val="000000"/>
          <w:sz w:val="24"/>
        </w:rPr>
        <w:t>References to the Original Agreement</w:t>
      </w:r>
      <w:r>
        <w:rPr>
          <w:rFonts w:ascii="Times New Roman;serif" w:hAnsi="Times New Roman;serif"/>
          <w:b w:val="false"/>
          <w:color w:val="000000"/>
          <w:sz w:val="24"/>
        </w:rPr>
        <w:t>. As of the First Amendment Effective Date, each reference in the Original Agreement to “this Agreement,” “hereunder,” “hereof,” “herein” or words of like import shall mean and be a reference to the Original Agreement as amended hereby, and each reference to the Original Agreement in any other document, instrument or agreement executed and/or delivered in connection with the Original Agreement shall mean and be a reference to the Original Agreement as amended hereby.</w:t>
      </w:r>
    </w:p>
    <w:p>
      <w:pPr>
        <w:pStyle w:val="TextBody"/>
        <w:bidi w:val="0"/>
        <w:spacing w:lineRule="auto" w:line="268" w:before="0" w:after="0"/>
        <w:ind w:left="0" w:right="0" w:hanging="360"/>
        <w:jc w:val="both"/>
        <w:rPr/>
      </w:pPr>
      <w:r>
        <w:rPr>
          <w:rFonts w:ascii="Times New Roman;serif" w:hAnsi="Times New Roman;serif"/>
          <w:b w:val="false"/>
          <w:color w:val="000000"/>
          <w:sz w:val="24"/>
        </w:rPr>
        <w:t>1.3.</w:t>
      </w:r>
      <w:r>
        <w:rPr>
          <w:rFonts w:ascii="Times New Roman;serif" w:hAnsi="Times New Roman;serif"/>
          <w:b/>
          <w:color w:val="000000"/>
          <w:sz w:val="24"/>
        </w:rPr>
        <w:t>Conflicts</w:t>
      </w:r>
      <w:r>
        <w:rPr>
          <w:rFonts w:ascii="Times New Roman;serif" w:hAnsi="Times New Roman;serif"/>
          <w:b w:val="false"/>
          <w:color w:val="000000"/>
          <w:sz w:val="24"/>
        </w:rPr>
        <w:t>. In the event of a conflict between a provision of the Original Agreement and a provision of this First Amendment, the provisions of this First Amendment will control to the extent of such conflict.</w:t>
      </w:r>
    </w:p>
    <w:p>
      <w:pPr>
        <w:pStyle w:val="TextBody"/>
        <w:bidi w:val="0"/>
        <w:spacing w:lineRule="auto" w:line="268" w:before="0" w:after="0"/>
        <w:ind w:left="0" w:right="0" w:hanging="360"/>
        <w:jc w:val="both"/>
        <w:rPr/>
      </w:pPr>
      <w:r>
        <w:rPr>
          <w:rFonts w:ascii="Times New Roman;serif" w:hAnsi="Times New Roman;serif"/>
          <w:b w:val="false"/>
          <w:color w:val="000000"/>
          <w:sz w:val="24"/>
        </w:rPr>
        <w:t>1.4.</w:t>
      </w:r>
      <w:r>
        <w:rPr>
          <w:rFonts w:ascii="Times New Roman;serif" w:hAnsi="Times New Roman;serif"/>
          <w:b/>
          <w:color w:val="000000"/>
          <w:sz w:val="24"/>
        </w:rPr>
        <w:t>Incorporation by Reference</w:t>
      </w:r>
      <w:r>
        <w:rPr>
          <w:rFonts w:ascii="Times New Roman;serif" w:hAnsi="Times New Roman;serif"/>
          <w:b w:val="false"/>
          <w:color w:val="000000"/>
          <w:sz w:val="24"/>
        </w:rPr>
        <w:t xml:space="preserve">. Article X of the Original Agreement (as amended by Section 6 (Notices) hereof) is hereby incorporated herein by reference, </w:t>
      </w:r>
      <w:r>
        <w:rPr>
          <w:rFonts w:ascii="Times New Roman;serif" w:hAnsi="Times New Roman;serif"/>
          <w:b w:val="false"/>
          <w:i/>
          <w:color w:val="000000"/>
          <w:sz w:val="24"/>
        </w:rPr>
        <w:t>mutatis mutandis</w:t>
      </w:r>
      <w:r>
        <w:rPr>
          <w:rFonts w:ascii="Times New Roman;serif" w:hAnsi="Times New Roman;serif"/>
          <w:b w:val="false"/>
          <w:color w:val="000000"/>
          <w:sz w:val="24"/>
        </w:rPr>
        <w:t>.</w: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val="false"/>
          <w:i/>
          <w:color w:val="000000"/>
          <w:sz w:val="24"/>
        </w:rPr>
      </w:pPr>
      <w:r>
        <w:rPr>
          <w:rFonts w:ascii="Times New Roman;serif" w:hAnsi="Times New Roman;serif"/>
          <w:b w:val="false"/>
          <w:i/>
          <w:color w:val="000000"/>
          <w:sz w:val="24"/>
        </w:rPr>
        <w:t>(Remainder of page intentionally left blank. Signature page follows.)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Times New Roman;serif" w:hAnsi="Times New Roman;serif"/>
          <w:b/>
          <w:color w:val="000000"/>
          <w:sz w:val="24"/>
        </w:rPr>
        <w:t>IN WITNESS WHEREOF</w:t>
      </w:r>
      <w:r>
        <w:rPr>
          <w:rFonts w:ascii="Times New Roman;serif" w:hAnsi="Times New Roman;serif"/>
          <w:b w:val="false"/>
          <w:color w:val="000000"/>
          <w:sz w:val="24"/>
        </w:rPr>
        <w:t>, the Parties have executed this First Amendment to be effective as of the First Amendment Effective Date.</w:t>
      </w:r>
    </w:p>
    <w:p>
      <w:pPr>
        <w:pStyle w:val="TextBody"/>
        <w:bidi w:val="0"/>
        <w:spacing w:lineRule="auto" w:line="268"/>
        <w:ind w:left="0" w:right="0" w:firstLine="4320"/>
        <w:jc w:val="left"/>
        <w:rPr>
          <w:rFonts w:ascii="Times New Roman;serif" w:hAnsi="Times New Roman;serif"/>
          <w:b/>
          <w:color w:val="000000"/>
          <w:sz w:val="24"/>
        </w:rPr>
      </w:pPr>
      <w:r>
        <w:rPr>
          <w:rFonts w:ascii="Times New Roman;serif" w:hAnsi="Times New Roman;serif"/>
          <w:b/>
          <w:color w:val="000000"/>
          <w:sz w:val="24"/>
        </w:rPr>
        <w:t>MacroGenics, Inc.</w:t>
      </w: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40"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ind w:left="0" w:right="0" w:firstLine="4320"/>
        <w:jc w:val="left"/>
        <w:rPr>
          <w:rFonts w:ascii="Times New Roman;serif" w:hAnsi="Times New Roman;serif"/>
          <w:b w:val="false"/>
          <w:color w:val="000000"/>
          <w:sz w:val="24"/>
        </w:rPr>
      </w:pPr>
      <w:r>
        <w:rPr>
          <w:rFonts w:ascii="Times New Roman;serif" w:hAnsi="Times New Roman;serif"/>
          <w:b w:val="false"/>
          <w:color w:val="000000"/>
          <w:sz w:val="24"/>
        </w:rPr>
        <w:t>By: /s/ Eric Risser</w:t>
      </w:r>
    </w:p>
    <w:p>
      <w:pPr>
        <w:pStyle w:val="TextBody"/>
        <w:bidi w:val="0"/>
        <w:spacing w:lineRule="auto" w:line="268" w:before="0" w:after="0"/>
        <w:ind w:left="0" w:right="0" w:firstLine="4320"/>
        <w:jc w:val="left"/>
        <w:rPr>
          <w:rFonts w:ascii="Times New Roman;serif" w:hAnsi="Times New Roman;serif"/>
          <w:b w:val="false"/>
          <w:color w:val="000000"/>
          <w:sz w:val="24"/>
        </w:rPr>
      </w:pPr>
      <w:r>
        <w:rPr>
          <w:rFonts w:ascii="Times New Roman;serif" w:hAnsi="Times New Roman;serif"/>
          <w:b w:val="false"/>
          <w:color w:val="000000"/>
          <w:sz w:val="24"/>
        </w:rPr>
        <w:t>Name: Eric Risser</w:t>
      </w:r>
    </w:p>
    <w:p>
      <w:pPr>
        <w:pStyle w:val="TextBody"/>
        <w:bidi w:val="0"/>
        <w:spacing w:lineRule="auto" w:line="268" w:before="0" w:after="0"/>
        <w:ind w:left="0" w:right="0" w:firstLine="4320"/>
        <w:jc w:val="both"/>
        <w:rPr>
          <w:rFonts w:ascii="Times New Roman;serif" w:hAnsi="Times New Roman;serif"/>
          <w:b w:val="false"/>
          <w:color w:val="000000"/>
          <w:sz w:val="24"/>
        </w:rPr>
      </w:pPr>
      <w:r>
        <w:rPr>
          <w:rFonts w:ascii="Times New Roman;serif" w:hAnsi="Times New Roman;serif"/>
          <w:b w:val="false"/>
          <w:color w:val="000000"/>
          <w:sz w:val="24"/>
        </w:rPr>
        <w:t>Title: President and Chief Executive Officer</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Times New Roman;serif" w:hAnsi="Times New Roman;serif"/>
          <w:b/>
          <w:color w:val="000000"/>
          <w:sz w:val="24"/>
        </w:rPr>
        <w:t>IN WITNESS WHEREOF</w:t>
      </w:r>
      <w:r>
        <w:rPr>
          <w:rFonts w:ascii="Times New Roman;serif" w:hAnsi="Times New Roman;serif"/>
          <w:b w:val="false"/>
          <w:color w:val="000000"/>
          <w:sz w:val="24"/>
        </w:rPr>
        <w:t>, the Parties have executed this First Amendment to be effective as of the First Amendment Effective Date.</w:t>
      </w:r>
    </w:p>
    <w:p>
      <w:pPr>
        <w:pStyle w:val="TextBody"/>
        <w:bidi w:val="0"/>
        <w:spacing w:before="0" w:after="0"/>
        <w:jc w:val="left"/>
        <w:rPr/>
      </w:pPr>
      <w:r>
        <w:rPr/>
      </w:r>
    </w:p>
    <w:p>
      <w:pPr>
        <w:pStyle w:val="TextBody"/>
        <w:bidi w:val="0"/>
        <w:spacing w:lineRule="auto" w:line="268" w:before="0" w:after="0"/>
        <w:ind w:left="0" w:right="0" w:firstLine="4320"/>
        <w:jc w:val="left"/>
        <w:rPr>
          <w:rFonts w:ascii="Times New Roman;serif" w:hAnsi="Times New Roman;serif"/>
          <w:b/>
          <w:color w:val="000000"/>
          <w:sz w:val="24"/>
        </w:rPr>
      </w:pPr>
      <w:r>
        <w:rPr>
          <w:rFonts w:ascii="Times New Roman;serif" w:hAnsi="Times New Roman;serif"/>
          <w:b/>
          <w:color w:val="000000"/>
          <w:sz w:val="24"/>
        </w:rPr>
        <w:t>Sagard Healthcare Partners Funding Borrower SPE 2, LP</w:t>
      </w:r>
    </w:p>
    <w:p>
      <w:pPr>
        <w:pStyle w:val="TextBody"/>
        <w:bidi w:val="0"/>
        <w:spacing w:before="0" w:after="0"/>
        <w:jc w:val="left"/>
        <w:rPr/>
      </w:pPr>
      <w:r>
        <w:rPr/>
      </w:r>
    </w:p>
    <w:p>
      <w:pPr>
        <w:pStyle w:val="TextBody"/>
        <w:bidi w:val="0"/>
        <w:spacing w:lineRule="auto" w:line="268" w:before="0" w:after="0"/>
        <w:ind w:left="0" w:right="0" w:firstLine="4320"/>
        <w:jc w:val="left"/>
        <w:rPr>
          <w:rFonts w:ascii="Times New Roman;serif" w:hAnsi="Times New Roman;serif"/>
          <w:b w:val="false"/>
          <w:color w:val="000000"/>
          <w:sz w:val="24"/>
        </w:rPr>
      </w:pPr>
      <w:r>
        <w:rPr>
          <w:rFonts w:ascii="Times New Roman;serif" w:hAnsi="Times New Roman;serif"/>
          <w:b w:val="false"/>
          <w:color w:val="000000"/>
          <w:sz w:val="24"/>
        </w:rPr>
        <w:t>By: Sagard Healthcare Partners Funding SPE 1,</w:t>
      </w:r>
    </w:p>
    <w:p>
      <w:pPr>
        <w:pStyle w:val="TextBody"/>
        <w:bidi w:val="0"/>
        <w:spacing w:lineRule="auto" w:line="268" w:before="0" w:after="0"/>
        <w:ind w:left="0" w:right="0" w:firstLine="4320"/>
        <w:jc w:val="left"/>
        <w:rPr>
          <w:rFonts w:ascii="Times New Roman;serif" w:hAnsi="Times New Roman;serif"/>
          <w:b w:val="false"/>
          <w:color w:val="000000"/>
          <w:sz w:val="24"/>
        </w:rPr>
      </w:pPr>
      <w:r>
        <w:rPr>
          <w:rFonts w:ascii="Times New Roman;serif" w:hAnsi="Times New Roman;serif"/>
          <w:b w:val="false"/>
          <w:color w:val="000000"/>
          <w:sz w:val="24"/>
        </w:rPr>
        <w:t>LLC, its general partner</w:t>
      </w:r>
    </w:p>
    <w:p>
      <w:pPr>
        <w:pStyle w:val="TextBody"/>
        <w:bidi w:val="0"/>
        <w:spacing w:before="0" w:after="0"/>
        <w:jc w:val="left"/>
        <w:rPr/>
      </w:pPr>
      <w:r>
        <w:rPr/>
      </w:r>
    </w:p>
    <w:p>
      <w:pPr>
        <w:pStyle w:val="TextBody"/>
        <w:bidi w:val="0"/>
        <w:spacing w:lineRule="auto" w:line="268" w:before="0" w:after="0"/>
        <w:ind w:left="0" w:right="0" w:firstLine="4320"/>
        <w:jc w:val="left"/>
        <w:rPr>
          <w:rFonts w:ascii="Times New Roman;serif" w:hAnsi="Times New Roman;serif"/>
          <w:b w:val="false"/>
          <w:color w:val="000000"/>
          <w:sz w:val="24"/>
        </w:rPr>
      </w:pPr>
      <w:r>
        <w:rPr>
          <w:rFonts w:ascii="Times New Roman;serif" w:hAnsi="Times New Roman;serif"/>
          <w:b w:val="false"/>
          <w:color w:val="000000"/>
          <w:sz w:val="24"/>
        </w:rPr>
        <w:t>By: Sagard Healthcare Royalty Partners GP</w:t>
      </w:r>
    </w:p>
    <w:p>
      <w:pPr>
        <w:pStyle w:val="TextBody"/>
        <w:bidi w:val="0"/>
        <w:spacing w:lineRule="auto" w:line="268" w:before="0" w:after="0"/>
        <w:ind w:left="0" w:right="0" w:firstLine="4320"/>
        <w:jc w:val="left"/>
        <w:rPr>
          <w:rFonts w:ascii="Times New Roman;serif" w:hAnsi="Times New Roman;serif"/>
          <w:b w:val="false"/>
          <w:color w:val="000000"/>
          <w:sz w:val="24"/>
        </w:rPr>
      </w:pPr>
      <w:r>
        <w:rPr>
          <w:rFonts w:ascii="Times New Roman;serif" w:hAnsi="Times New Roman;serif"/>
          <w:b w:val="false"/>
          <w:color w:val="000000"/>
          <w:sz w:val="24"/>
        </w:rPr>
        <w:t>LLC, its managing member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ind w:left="0" w:right="0" w:firstLine="4320"/>
        <w:jc w:val="left"/>
        <w:rPr>
          <w:rFonts w:ascii="Times New Roman;serif" w:hAnsi="Times New Roman;serif"/>
          <w:b w:val="false"/>
          <w:color w:val="000000"/>
          <w:sz w:val="24"/>
        </w:rPr>
      </w:pPr>
      <w:r>
        <w:rPr>
          <w:rFonts w:ascii="Times New Roman;serif" w:hAnsi="Times New Roman;serif"/>
          <w:b w:val="false"/>
          <w:color w:val="000000"/>
          <w:sz w:val="24"/>
        </w:rPr>
        <w:t>By: /s/ Jason Sneah</w:t>
      </w:r>
    </w:p>
    <w:p>
      <w:pPr>
        <w:pStyle w:val="TextBody"/>
        <w:bidi w:val="0"/>
        <w:spacing w:lineRule="auto" w:line="268" w:before="0" w:after="0"/>
        <w:ind w:left="0" w:right="0" w:firstLine="4320"/>
        <w:jc w:val="left"/>
        <w:rPr>
          <w:rFonts w:ascii="Times New Roman;serif" w:hAnsi="Times New Roman;serif"/>
          <w:b w:val="false"/>
          <w:color w:val="000000"/>
          <w:sz w:val="24"/>
        </w:rPr>
      </w:pPr>
      <w:r>
        <w:rPr>
          <w:rFonts w:ascii="Times New Roman;serif" w:hAnsi="Times New Roman;serif"/>
          <w:b w:val="false"/>
          <w:color w:val="000000"/>
          <w:sz w:val="24"/>
        </w:rPr>
        <w:t xml:space="preserve">Name: Jason Sneah </w:t>
      </w:r>
    </w:p>
    <w:p>
      <w:pPr>
        <w:pStyle w:val="TextBody"/>
        <w:bidi w:val="0"/>
        <w:spacing w:lineRule="auto" w:line="268" w:before="0" w:after="0"/>
        <w:ind w:left="0" w:right="0" w:firstLine="4320"/>
        <w:jc w:val="left"/>
        <w:rPr>
          <w:rFonts w:ascii="Times New Roman;serif" w:hAnsi="Times New Roman;serif"/>
          <w:b w:val="false"/>
          <w:color w:val="000000"/>
          <w:sz w:val="24"/>
        </w:rPr>
      </w:pPr>
      <w:r>
        <w:rPr>
          <w:rFonts w:ascii="Times New Roman;serif" w:hAnsi="Times New Roman;serif"/>
          <w:b w:val="false"/>
          <w:color w:val="000000"/>
          <w:sz w:val="24"/>
        </w:rPr>
        <w:t>Title: Manager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ind w:left="0" w:right="0" w:firstLine="4320"/>
        <w:jc w:val="left"/>
        <w:rPr>
          <w:rFonts w:ascii="Times New Roman;serif" w:hAnsi="Times New Roman;serif"/>
          <w:b w:val="false"/>
          <w:color w:val="000000"/>
          <w:sz w:val="24"/>
        </w:rPr>
      </w:pPr>
      <w:r>
        <w:rPr>
          <w:rFonts w:ascii="Times New Roman;serif" w:hAnsi="Times New Roman;serif"/>
          <w:b w:val="false"/>
          <w:color w:val="000000"/>
          <w:sz w:val="24"/>
        </w:rPr>
        <w:t>By: /s/ Adam Vigna</w:t>
      </w:r>
    </w:p>
    <w:p>
      <w:pPr>
        <w:pStyle w:val="TextBody"/>
        <w:bidi w:val="0"/>
        <w:spacing w:lineRule="auto" w:line="268" w:before="0" w:after="0"/>
        <w:ind w:left="0" w:right="0" w:firstLine="4320"/>
        <w:jc w:val="left"/>
        <w:rPr>
          <w:rFonts w:ascii="Times New Roman;serif" w:hAnsi="Times New Roman;serif"/>
          <w:b w:val="false"/>
          <w:color w:val="000000"/>
          <w:sz w:val="24"/>
        </w:rPr>
      </w:pPr>
      <w:r>
        <w:rPr>
          <w:rFonts w:ascii="Times New Roman;serif" w:hAnsi="Times New Roman;serif"/>
          <w:b w:val="false"/>
          <w:color w:val="000000"/>
          <w:sz w:val="24"/>
        </w:rPr>
        <w:t>Name: Adam Vigna</w:t>
      </w:r>
    </w:p>
    <w:p>
      <w:pPr>
        <w:pStyle w:val="TextBody"/>
        <w:bidi w:val="0"/>
        <w:spacing w:lineRule="auto" w:line="268" w:before="0" w:after="0"/>
        <w:ind w:left="0" w:right="0" w:firstLine="4320"/>
        <w:jc w:val="both"/>
        <w:rPr>
          <w:rFonts w:ascii="Times New Roman;serif" w:hAnsi="Times New Roman;serif"/>
          <w:b w:val="false"/>
          <w:color w:val="000000"/>
          <w:sz w:val="24"/>
        </w:rPr>
      </w:pPr>
      <w:r>
        <w:rPr>
          <w:rFonts w:ascii="Times New Roman;serif" w:hAnsi="Times New Roman;serif"/>
          <w:b w:val="false"/>
          <w:color w:val="000000"/>
          <w:sz w:val="24"/>
        </w:rPr>
        <w:t>Title: Chief Investment Officer</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Exhibit A</w:t>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val="false"/>
          <w:color w:val="000000"/>
          <w:sz w:val="24"/>
        </w:rPr>
      </w:pPr>
      <w:r>
        <w:rPr>
          <w:rFonts w:ascii="Times New Roman;serif" w:hAnsi="Times New Roman;serif"/>
          <w:b w:val="false"/>
          <w:color w:val="000000"/>
          <w:sz w:val="24"/>
        </w:rPr>
        <w:t>Exhibit A</w: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val="false"/>
          <w:color w:val="000000"/>
          <w:sz w:val="24"/>
        </w:rPr>
      </w:pPr>
      <w:r>
        <w:rPr>
          <w:rFonts w:ascii="Times New Roman;serif" w:hAnsi="Times New Roman;serif"/>
          <w:b w:val="false"/>
          <w:color w:val="000000"/>
          <w:sz w:val="24"/>
        </w:rPr>
        <w:t>Updates to Disclosure Schedules</w: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val="false"/>
          <w:color w:val="000000"/>
          <w:sz w:val="24"/>
        </w:rPr>
      </w:pPr>
      <w:r>
        <w:rPr>
          <w:rFonts w:ascii="Times New Roman;serif" w:hAnsi="Times New Roman;serif"/>
          <w:b w:val="false"/>
          <w:color w:val="000000"/>
          <w:sz w:val="24"/>
        </w:rPr>
        <w:t>Section 3.9 – Intellectual Property Matters</w: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EXHIBIT 31.1</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Eric Risser, certify that:</w:t>
      </w:r>
    </w:p>
    <w:p>
      <w:pPr>
        <w:pStyle w:val="TextBody"/>
        <w:bidi w:val="0"/>
        <w:spacing w:before="0" w:after="0"/>
        <w:jc w:val="left"/>
        <w:rPr/>
      </w:pPr>
      <w:r>
        <w:rPr/>
      </w:r>
    </w:p>
    <w:p>
      <w:pPr>
        <w:pStyle w:val="TextBody"/>
        <w:bidi w:val="0"/>
        <w:spacing w:lineRule="auto" w:line="288" w:before="0" w:after="18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for the period ended June 30, 2026 of MacroGenics, Inc.;</w:t>
      </w:r>
    </w:p>
    <w:p>
      <w:pPr>
        <w:pStyle w:val="TextBody"/>
        <w:bidi w:val="0"/>
        <w:spacing w:lineRule="auto" w:line="288" w:before="0" w:after="18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8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8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8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8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8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8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8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8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8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Eric Risser</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Eric Risser</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 xml:space="preserve">Dated: August 14, 2026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2"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EXHIBIT 31.2</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James Karrels, certify that:</w:t>
      </w:r>
    </w:p>
    <w:p>
      <w:pPr>
        <w:pStyle w:val="TextBody"/>
        <w:bidi w:val="0"/>
        <w:spacing w:before="0" w:after="0"/>
        <w:jc w:val="left"/>
        <w:rPr/>
      </w:pPr>
      <w:r>
        <w:rPr/>
      </w:r>
    </w:p>
    <w:p>
      <w:pPr>
        <w:pStyle w:val="TextBody"/>
        <w:bidi w:val="0"/>
        <w:spacing w:lineRule="auto" w:line="288" w:before="0" w:after="18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for the period ended June 30, 2026 of MacroGenics, Inc.;</w:t>
      </w:r>
    </w:p>
    <w:p>
      <w:pPr>
        <w:pStyle w:val="TextBody"/>
        <w:bidi w:val="0"/>
        <w:spacing w:lineRule="auto" w:line="288" w:before="0" w:after="18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8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8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8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8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8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8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8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8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8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James Karrels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James Karrels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Senior Vice President and Chief Financial Officer</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 xml:space="preserve">Dated: August 14, 2026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3"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EXHIBIT 32.1</w:t>
      </w:r>
    </w:p>
    <w:p>
      <w:pPr>
        <w:pStyle w:val="TextBody"/>
        <w:bidi w:val="0"/>
        <w:spacing w:before="0" w:after="0"/>
        <w:jc w:val="right"/>
        <w:rPr/>
      </w:pPr>
      <w:r>
        <w:rPr/>
      </w:r>
    </w:p>
    <w:p>
      <w:pPr>
        <w:pStyle w:val="TextBody"/>
        <w:bidi w:val="0"/>
        <w:spacing w:lineRule="auto" w:line="288" w:before="0" w:after="0"/>
        <w:jc w:val="center"/>
        <w:rPr/>
      </w:pPr>
      <w:r>
        <w:rPr>
          <w:rFonts w:ascii="Times New Roman;serif" w:hAnsi="Times New Roman;serif"/>
          <w:b/>
          <w:color w:val="000000"/>
          <w:sz w:val="20"/>
        </w:rPr>
        <w:t>Certification of Principal Executive Officer</w:t>
      </w:r>
      <w:r>
        <w:rPr>
          <w:color w:val="000000"/>
        </w:rPr>
        <w:t xml:space="preserve"> </w:t>
      </w:r>
    </w:p>
    <w:p>
      <w:pPr>
        <w:pStyle w:val="TextBody"/>
        <w:bidi w:val="0"/>
        <w:spacing w:lineRule="auto" w:line="288" w:before="0" w:after="0"/>
        <w:jc w:val="center"/>
        <w:rPr/>
      </w:pPr>
      <w:r>
        <w:rPr>
          <w:rFonts w:ascii="Times New Roman;serif" w:hAnsi="Times New Roman;serif"/>
          <w:b/>
          <w:color w:val="000000"/>
          <w:sz w:val="20"/>
        </w:rPr>
        <w:t>Pursuant to 18 U.S.C. 1350</w:t>
      </w:r>
      <w:r>
        <w:rPr>
          <w:color w:val="000000"/>
        </w:rPr>
        <w:t xml:space="preserve"> </w:t>
      </w:r>
    </w:p>
    <w:p>
      <w:pPr>
        <w:pStyle w:val="TextBody"/>
        <w:bidi w:val="0"/>
        <w:spacing w:lineRule="auto" w:line="288" w:before="0" w:after="0"/>
        <w:jc w:val="center"/>
        <w:rPr/>
      </w:pPr>
      <w:r>
        <w:rPr>
          <w:rFonts w:ascii="Times New Roman;serif" w:hAnsi="Times New Roman;serif"/>
          <w:b/>
          <w:color w:val="000000"/>
          <w:sz w:val="20"/>
        </w:rPr>
        <w:t>(Section 906 of the Sarbanes-Oxley Act of 2002</w:t>
      </w:r>
      <w:r>
        <w:rPr>
          <w:rFonts w:ascii="Times New Roman;serif" w:hAnsi="Times New Roman;serif"/>
          <w:b w:val="false"/>
          <w:color w:val="000000"/>
          <w:sz w:val="20"/>
        </w:rPr>
        <w: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Eric Risser, President and Chief Executive Officer (principal executive officer) of MacroGenics, Inc. (the Registrant), certify, to the best of my knowledge, based upon a review of the Quarterly Report on Form 10-Q for the period ended June 30, 2026 of the Registrant (the Report), that:</w:t>
      </w:r>
    </w:p>
    <w:p>
      <w:pPr>
        <w:pStyle w:val="TextBody"/>
        <w:bidi w:val="0"/>
        <w:spacing w:before="0" w:after="0"/>
        <w:jc w:val="left"/>
        <w:rPr/>
      </w:pPr>
      <w:r>
        <w:rPr/>
      </w:r>
    </w:p>
    <w:p>
      <w:pPr>
        <w:pStyle w:val="TextBody"/>
        <w:bidi w:val="0"/>
        <w:spacing w:lineRule="auto" w:line="288" w:before="0" w:after="18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as amended; and</w:t>
      </w:r>
    </w:p>
    <w:p>
      <w:pPr>
        <w:pStyle w:val="TextBody"/>
        <w:bidi w:val="0"/>
        <w:spacing w:lineRule="auto" w:line="288" w:before="0" w:after="18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Registrant.</w:t>
      </w:r>
    </w:p>
    <w:p>
      <w:pPr>
        <w:pStyle w:val="TextBody"/>
        <w:bidi w:val="0"/>
        <w:spacing w:before="0" w:after="0"/>
        <w:ind w:left="0" w:right="0" w:hanging="44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Eric Risser</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Name: Eric Risser</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Date: August 14, 2026 </w:t>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4"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EXHIBIT 32.2</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pPr>
      <w:r>
        <w:rPr>
          <w:rFonts w:ascii="Times New Roman;serif" w:hAnsi="Times New Roman;serif"/>
          <w:b/>
          <w:color w:val="000000"/>
          <w:sz w:val="20"/>
        </w:rPr>
        <w:t>Certification of Principal Financial Officer</w:t>
      </w:r>
      <w:r>
        <w:rPr>
          <w:color w:val="000000"/>
        </w:rPr>
        <w:t xml:space="preserve"> </w:t>
      </w:r>
    </w:p>
    <w:p>
      <w:pPr>
        <w:pStyle w:val="TextBody"/>
        <w:bidi w:val="0"/>
        <w:spacing w:lineRule="auto" w:line="288" w:before="0" w:after="0"/>
        <w:jc w:val="center"/>
        <w:rPr/>
      </w:pPr>
      <w:r>
        <w:rPr>
          <w:rFonts w:ascii="Times New Roman;serif" w:hAnsi="Times New Roman;serif"/>
          <w:b/>
          <w:color w:val="000000"/>
          <w:sz w:val="20"/>
        </w:rPr>
        <w:t>Pursuant to 18 U.S.C. 1350</w:t>
      </w:r>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 James Karrels, Senior Vice President and Chief Financial Officer (principal financial officer) of MacroGenics, Inc. (the Registrant), certify, to the best of my knowledge, based upon a review of the Quarterly Report on Form 10-Q for the period ended June 30, 2026 of the Registrant (the Report), that:</w:t>
      </w:r>
    </w:p>
    <w:p>
      <w:pPr>
        <w:pStyle w:val="TextBody"/>
        <w:bidi w:val="0"/>
        <w:spacing w:before="0" w:after="0"/>
        <w:jc w:val="left"/>
        <w:rPr/>
      </w:pPr>
      <w:r>
        <w:rPr/>
      </w:r>
    </w:p>
    <w:p>
      <w:pPr>
        <w:pStyle w:val="TextBody"/>
        <w:bidi w:val="0"/>
        <w:spacing w:lineRule="auto" w:line="288" w:before="0" w:after="18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as amended; and</w:t>
      </w:r>
    </w:p>
    <w:p>
      <w:pPr>
        <w:pStyle w:val="TextBody"/>
        <w:bidi w:val="0"/>
        <w:spacing w:lineRule="auto" w:line="288" w:before="0" w:after="18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Registrant.</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James Karrels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Name: James Karrels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Date: August 14, 2026 </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5"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125345/000112534526000035/exhibit21boraaparedacted.htm" TargetMode="External"/><Relationship Id="rId3" Type="http://schemas.openxmlformats.org/officeDocument/2006/relationships/hyperlink" Target="https://www.sec.gov/Archives/edgar/data/1125345/000119312513402831/d613759dex31.htm" TargetMode="External"/><Relationship Id="rId4" Type="http://schemas.openxmlformats.org/officeDocument/2006/relationships/hyperlink" Target="https://www.sec.gov/Archives/edgar/data/1125345/000112534521000052/a8-k_bylawxamendmentxexx3x1.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22850</Words>
  <Characters>129837</Characters>
  <CharactersWithSpaces>151572</CharactersWithSpaces>
  <Paragraphs>1981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