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As filed with the Securities and Exchange Commission on September 3, 2026</w: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Registration No. 333- </w:t>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S-8</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REGISTRATION STATEMENT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UNDER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THE SECURITIES ACT OF 1933 </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MACROGENICS,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5486" w:type="dxa"/>
        <w:jc w:val="left"/>
        <w:tblInd w:w="0" w:type="dxa"/>
        <w:tblLayout w:type="fixed"/>
        <w:tblCellMar>
          <w:top w:w="28" w:type="dxa"/>
          <w:left w:w="28" w:type="dxa"/>
          <w:bottom w:w="28" w:type="dxa"/>
          <w:right w:w="28" w:type="dxa"/>
        </w:tblCellMar>
      </w:tblPr>
      <w:tblGrid>
        <w:gridCol w:w="1345"/>
        <w:gridCol w:w="1179"/>
        <w:gridCol w:w="1196"/>
        <w:gridCol w:w="109"/>
        <w:gridCol w:w="109"/>
        <w:gridCol w:w="109"/>
        <w:gridCol w:w="420"/>
        <w:gridCol w:w="420"/>
        <w:gridCol w:w="599"/>
      </w:tblGrid>
      <w:tr>
        <w:trPr/>
        <w:tc>
          <w:tcPr>
            <w:tcW w:w="134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9704 Medical Center Drive, Rockville,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2023 Equity Incentive Plan, As Amended</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(Full title of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Eric Risser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President and Chief Executive Officer</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9704 Medical Center Drive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Rockville, MD 20850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(301) 251-5172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(Name, address, including zip code, and telephone number, including area code, of agent for service) </w:t>
      </w:r>
    </w:p>
    <w:p>
      <w:pPr>
        <w:pStyle w:val="TextBody"/>
        <w:bidi w:val="0"/>
        <w:spacing w:lineRule="auto" w:line="288" w:before="180" w:after="283"/>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Copies to: </w:t>
      </w:r>
    </w:p>
    <w:tbl>
      <w:tblPr>
        <w:tblW w:w="9299" w:type="dxa"/>
        <w:jc w:val="left"/>
        <w:tblInd w:w="0" w:type="dxa"/>
        <w:tblLayout w:type="fixed"/>
        <w:tblCellMar>
          <w:top w:w="28" w:type="dxa"/>
          <w:left w:w="28" w:type="dxa"/>
          <w:bottom w:w="28" w:type="dxa"/>
          <w:right w:w="28" w:type="dxa"/>
        </w:tblCellMar>
      </w:tblPr>
      <w:tblGrid>
        <w:gridCol w:w="2359"/>
        <w:gridCol w:w="2072"/>
        <w:gridCol w:w="2078"/>
        <w:gridCol w:w="815"/>
        <w:gridCol w:w="815"/>
        <w:gridCol w:w="1160"/>
      </w:tblGrid>
      <w:tr>
        <w:trPr/>
        <w:tc>
          <w:tcPr>
            <w:tcW w:w="235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Jeffrey Peters</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Senior Vice President, General Counsel and Corporate Secretary</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9704 Medical Center Drive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Rockville, MD 20850</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(301) 251-5172</w:t>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Eric Blanchard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Madison Jones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Cooley LLP</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500 Boylston Street, 14th Floor</w:t>
              <w:br/>
              <w:t>Boston, Massachusetts 02116</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(617) 937-2300</w:t>
            </w:r>
          </w:p>
          <w:p>
            <w:pPr>
              <w:pStyle w:val="TableContents"/>
              <w:bidi w:val="0"/>
              <w:spacing w:before="0" w:after="0"/>
              <w:jc w:val="center"/>
              <w:rPr/>
            </w:pPr>
            <w:r>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EXPLANATORY NOTE </w: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This registration statement on Form S-8 (the “</w:t>
      </w:r>
      <w:r>
        <w:rPr>
          <w:rFonts w:ascii="Times New Roman;serif" w:hAnsi="Times New Roman;serif"/>
          <w:b/>
          <w:i/>
          <w:color w:val="000000"/>
          <w:sz w:val="20"/>
          <w:shd w:fill="FFFFFF" w:val="clear"/>
        </w:rPr>
        <w:t>Registration Statement</w:t>
      </w:r>
      <w:r>
        <w:rPr>
          <w:color w:val="000000"/>
          <w:shd w:fill="FFFFFF" w:val="clear"/>
        </w:rPr>
        <w:t>”</w:t>
      </w:r>
      <w:r>
        <w:rPr>
          <w:rFonts w:ascii="Times New Roman;serif" w:hAnsi="Times New Roman;serif"/>
          <w:b w:val="false"/>
          <w:color w:val="000000"/>
          <w:sz w:val="20"/>
          <w:shd w:fill="FFFFFF" w:val="clear"/>
        </w:rPr>
        <w:t>) is being filed for the purpose of registering an additional 1,250,000 shares of common stock of MacroGenics, Inc. (the “</w:t>
      </w:r>
      <w:r>
        <w:rPr>
          <w:rFonts w:ascii="Times New Roman;serif" w:hAnsi="Times New Roman;serif"/>
          <w:b/>
          <w:i/>
          <w:color w:val="000000"/>
          <w:sz w:val="20"/>
          <w:shd w:fill="FFFFFF" w:val="clear"/>
        </w:rPr>
        <w:t>Registrant</w:t>
      </w:r>
      <w:r>
        <w:rPr>
          <w:color w:val="000000"/>
          <w:shd w:fill="FFFFFF" w:val="clear"/>
        </w:rPr>
        <w:t>”</w:t>
      </w:r>
      <w:r>
        <w:rPr>
          <w:rFonts w:ascii="Times New Roman;serif" w:hAnsi="Times New Roman;serif"/>
          <w:b w:val="false"/>
          <w:color w:val="000000"/>
          <w:sz w:val="20"/>
          <w:shd w:fill="FFFFFF" w:val="clear"/>
        </w:rPr>
        <w:t>) issuable pursuant to the MacroGenics, Inc. 2023 Equity Incentive Plan, As Amended (the “</w:t>
      </w:r>
      <w:r>
        <w:rPr>
          <w:rFonts w:ascii="Times New Roman;serif" w:hAnsi="Times New Roman;serif"/>
          <w:b/>
          <w:i/>
          <w:color w:val="000000"/>
          <w:sz w:val="20"/>
          <w:shd w:fill="FFFFFF" w:val="clear"/>
        </w:rPr>
        <w:t>2023 EIP</w:t>
      </w:r>
      <w:r>
        <w:rPr>
          <w:color w:val="000000"/>
          <w:shd w:fill="FFFFFF" w:val="clear"/>
        </w:rPr>
        <w:t>”</w:t>
      </w:r>
      <w:r>
        <w:rPr>
          <w:rFonts w:ascii="Times New Roman;serif" w:hAnsi="Times New Roman;serif"/>
          <w:b w:val="false"/>
          <w:color w:val="000000"/>
          <w:sz w:val="20"/>
          <w:shd w:fill="FFFFFF" w:val="clear"/>
        </w:rPr>
        <w:t>). The contents of the Registrant’s registration statements on Form S-8 related to the 2023 EIP, filed with the Securities and Exchange Commission on June 6, 2023 (File No. 333-272451), May 23, 2024 (File No. 333-279674) and August 14, 2025 (File No. 333-289603), are incorporated by reference into this Registration Statement pursuant to General Instruction E of Form S-8. The additional 1,250,000 shares of common stock registered pursuant to this Registration Statement were authorized pursuant to an amendment to the 2023 EIP that was approved by the Registrant’s stockholders at the Registrant’s annual meeting of stockholders held on May 19, 2026.</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REGISTRATION STATEMENT </w:t>
      </w:r>
    </w:p>
    <w:p>
      <w:pPr>
        <w:pStyle w:val="TextBody"/>
        <w:bidi w:val="0"/>
        <w:spacing w:before="120" w:after="283"/>
        <w:jc w:val="center"/>
        <w:rPr/>
      </w:pPr>
      <w:r>
        <w:rPr/>
      </w:r>
    </w:p>
    <w:tbl>
      <w:tblPr>
        <w:tblW w:w="4469" w:type="dxa"/>
        <w:jc w:val="left"/>
        <w:tblInd w:w="0" w:type="dxa"/>
        <w:tblLayout w:type="fixed"/>
        <w:tblCellMar>
          <w:top w:w="28" w:type="dxa"/>
          <w:left w:w="28" w:type="dxa"/>
          <w:bottom w:w="28" w:type="dxa"/>
          <w:right w:w="28" w:type="dxa"/>
        </w:tblCellMar>
      </w:tblPr>
      <w:tblGrid>
        <w:gridCol w:w="255"/>
        <w:gridCol w:w="223"/>
        <w:gridCol w:w="226"/>
        <w:gridCol w:w="1101"/>
        <w:gridCol w:w="1101"/>
        <w:gridCol w:w="156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The Registrant is subject to the informational and reporting requirements of Sections 13(a), 14 and 15(d) of the Securities Exchange Act of 1934, as amended (the “</w:t>
      </w:r>
      <w:r>
        <w:rPr>
          <w:rFonts w:ascii="Times New Roman;serif" w:hAnsi="Times New Roman;serif"/>
          <w:b/>
          <w:i/>
          <w:color w:val="000000"/>
          <w:sz w:val="20"/>
          <w:shd w:fill="FFFFFF" w:val="clear"/>
        </w:rPr>
        <w:t>Exchange Act</w:t>
      </w:r>
      <w:r>
        <w:rPr>
          <w:color w:val="000000"/>
          <w:shd w:fill="FFFFFF" w:val="clear"/>
        </w:rPr>
        <w:t>”</w:t>
      </w:r>
      <w:r>
        <w:rPr>
          <w:rFonts w:ascii="Times New Roman;serif" w:hAnsi="Times New Roman;serif"/>
          <w:b w:val="false"/>
          <w:color w:val="000000"/>
          <w:sz w:val="20"/>
          <w:shd w:fill="FFFFFF" w:val="clear"/>
        </w:rPr>
        <w:t>), and in accordance therewith files reports and other information with the Commission. The following documents, which are on file with the Commission, are incorporated in this Registration Statement by reference:</w:t>
      </w:r>
    </w:p>
    <w:p>
      <w:pPr>
        <w:pStyle w:val="TextBody"/>
        <w:bidi w:val="0"/>
        <w:spacing w:lineRule="auto" w:line="288" w:before="120" w:after="283"/>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Registrant’s Annual Report on Form 10-K for the fiscal year ended December 31, 2025, filed on March 9, 2026;</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Registrant’s Quarterly Report on Form 10-Q for the quarterly period ended March 31, 2026, filed with the Commission on May 13, 2026;</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Registrant’s Quarterly Report on Form 10-Q for the quarterly and year-to-date period ended June 30, 2026, filed with the Commission on August 14, 2026;</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Registrant’s Current Reports on Form 8-K (except for the information furnished under Item 7.01 therein) filed with the Commission on February 24, 2026, March 2, 2026, April 8, 2026, May 4, 2026, May 12, 2026, May 20, 2026, July 7, 2026 (as amended on September 3, 2026), July 8, 2026 and July 23, 2026;</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Registrant’s Definitive Proxy Statement on Schedule 14A, filed with the SEC on April 8, 2026, and the Definitive Additional Materials on Schedule 14A, filed with the SEC on April 22, 2026, but only to the extent such information is incorporated by reference in the Registrant’s Annual Report on Form 10-K for the fiscal year ended December 31, 2025; and</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description of the Registrant’s common stock contained in Exhibit 4.2 to its Annual Report on Form 10-K filed with the SEC on February 25, 2021, including any amendments or reports filed for the purpose of updating such description.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reports and definitive proxy or information statements filed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statements as set forth therein. Unless expressly incorporated into this Registration Statement, a report furnished on Form 8-K prior or subsequent to the date hereof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49" w:type="dxa"/>
        <w:jc w:val="left"/>
        <w:tblInd w:w="0" w:type="dxa"/>
        <w:tblLayout w:type="fixed"/>
        <w:tblCellMar>
          <w:top w:w="28" w:type="dxa"/>
          <w:left w:w="28" w:type="dxa"/>
          <w:bottom w:w="28" w:type="dxa"/>
          <w:right w:w="28" w:type="dxa"/>
        </w:tblCellMar>
      </w:tblPr>
      <w:tblGrid>
        <w:gridCol w:w="255"/>
        <w:gridCol w:w="223"/>
        <w:gridCol w:w="226"/>
        <w:gridCol w:w="277"/>
        <w:gridCol w:w="277"/>
        <w:gridCol w:w="39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11"/>
        <w:gridCol w:w="2649"/>
        <w:gridCol w:w="376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_s-8xex51consentofcool.htm">
              <w:r>
                <w:rPr>
                  <w:rStyle w:val="InternetLink"/>
                  <w:rFonts w:ascii="Times New Roman;serif" w:hAnsi="Times New Roman;serif"/>
                  <w:b w:val="false"/>
                  <w:color w:val="000000"/>
                  <w:sz w:val="20"/>
                  <w:u w:val="single"/>
                </w:rPr>
                <w:t>Opinion of Cooley LLP</w:t>
              </w:r>
            </w:hyperlink>
            <w:r>
              <w:rPr>
                <w:rFonts w:ascii="Times New Roman;serif" w:hAnsi="Times New Roman;serif"/>
                <w:b w:val="false"/>
                <w:color w:val="000000"/>
                <w:sz w:val="20"/>
              </w:rPr>
              <w: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_s-8xex231consentofern.htm">
              <w:r>
                <w:rPr>
                  <w:rStyle w:val="InternetLink"/>
                  <w:rFonts w:ascii="Times New Roman;serif" w:hAnsi="Times New Roman;serif"/>
                  <w:b w:val="false"/>
                  <w:color w:val="000000"/>
                  <w:sz w:val="20"/>
                  <w:u w:val="single"/>
                </w:rPr>
                <w:t>Consent of Ernst &amp; Young LLP</w:t>
              </w:r>
            </w:hyperlink>
            <w:r>
              <w:rPr>
                <w:rFonts w:ascii="Times New Roman;serif" w:hAnsi="Times New Roman;serif"/>
                <w:b w:val="false"/>
                <w:color w:val="000000"/>
                <w:sz w:val="20"/>
              </w:rPr>
              <w:t xml:space="preserv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_s-8xex51consentofcool.htm">
              <w:r>
                <w:rPr>
                  <w:rStyle w:val="InternetLink"/>
                  <w:rFonts w:ascii="Times New Roman;serif" w:hAnsi="Times New Roman;serif"/>
                  <w:b w:val="false"/>
                  <w:color w:val="000000"/>
                  <w:sz w:val="20"/>
                  <w:u w:val="single"/>
                </w:rPr>
                <w:t>Consent of Cooley LLP (included in Exhibit 5.1)</w:t>
              </w:r>
            </w:hyperlink>
            <w:r>
              <w:rPr>
                <w:rFonts w:ascii="Times New Roman;serif" w:hAnsi="Times New Roman;serif"/>
                <w:b w:val="false"/>
                <w:color w:val="000000"/>
                <w:sz w:val="20"/>
              </w:rPr>
              <w:t xml:space="preserve">.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b5eb3c4714143d29efaa1d5288e8414_4">
              <w:r>
                <w:rPr>
                  <w:rStyle w:val="InternetLink"/>
                  <w:rFonts w:ascii="Times New Roman;serif" w:hAnsi="Times New Roman;serif"/>
                  <w:b w:val="false"/>
                  <w:color w:val="000000"/>
                  <w:sz w:val="20"/>
                  <w:u w:val="single"/>
                </w:rPr>
                <w:t xml:space="preserve">Powers of Attorney (included on signature page). </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 xml:space="preserve">MacroGenics, Inc. 2023 Equity Incentive Plan, As Amended (incorporated by reference to Appendix A to the Definitive Proxy Statement on Schedule 14A, filed on April </w:t>
              </w:r>
            </w:hyperlink>
            <w:hyperlink r:id="rId3">
              <w:r>
                <w:rPr>
                  <w:rStyle w:val="InternetLink"/>
                  <w:rFonts w:ascii="Times New Roman;serif" w:hAnsi="Times New Roman;serif"/>
                  <w:b w:val="false"/>
                  <w:color w:val="000080"/>
                  <w:sz w:val="20"/>
                  <w:u w:val="single"/>
                </w:rPr>
                <w:t>8</w:t>
              </w:r>
            </w:hyperlink>
            <w:hyperlink r:id="rId4">
              <w:r>
                <w:rPr>
                  <w:rStyle w:val="InternetLink"/>
                  <w:rFonts w:ascii="Times New Roman;serif" w:hAnsi="Times New Roman;serif"/>
                  <w:b w:val="false"/>
                  <w:color w:val="000080"/>
                  <w:sz w:val="20"/>
                  <w:u w:val="single"/>
                </w:rPr>
                <w:t>, 202</w:t>
              </w:r>
            </w:hyperlink>
            <w:hyperlink r:id="rId5">
              <w:r>
                <w:rPr>
                  <w:rStyle w:val="InternetLink"/>
                  <w:rFonts w:ascii="Times New Roman;serif" w:hAnsi="Times New Roman;serif"/>
                  <w:b w:val="false"/>
                  <w:color w:val="000080"/>
                  <w:sz w:val="20"/>
                  <w:u w:val="single"/>
                </w:rPr>
                <w:t>6</w:t>
              </w:r>
            </w:hyperlink>
            <w:hyperlink r:id="rId6">
              <w:r>
                <w:rPr>
                  <w:rStyle w:val="InternetLink"/>
                  <w:rFonts w:ascii="Times New Roman;serif" w:hAnsi="Times New Roman;serif"/>
                  <w:b w:val="false"/>
                  <w:color w:val="000080"/>
                  <w:sz w:val="20"/>
                  <w:u w:val="single"/>
                </w:rPr>
                <w:t>).</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00"/>
                  <w:sz w:val="20"/>
                  <w:u w:val="single"/>
                </w:rPr>
                <w:t>Filing Fee Table</w:t>
              </w:r>
            </w:hyperlink>
            <w:r>
              <w:rPr>
                <w:rFonts w:ascii="Times New Roman;serif" w:hAnsi="Times New Roman;serif"/>
                <w:b w:val="false"/>
                <w:color w:val="000000"/>
                <w:sz w:val="20"/>
              </w:rPr>
              <w:t>.</w:t>
            </w:r>
          </w:p>
        </w:tc>
      </w:tr>
    </w:tbl>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herewith.</w:t>
      </w:r>
    </w:p>
    <w:tbl>
      <w:tblPr>
        <w:tblW w:w="2084" w:type="dxa"/>
        <w:jc w:val="left"/>
        <w:tblInd w:w="0" w:type="dxa"/>
        <w:tblLayout w:type="fixed"/>
        <w:tblCellMar>
          <w:top w:w="28" w:type="dxa"/>
          <w:left w:w="28" w:type="dxa"/>
          <w:bottom w:w="28" w:type="dxa"/>
          <w:right w:w="28" w:type="dxa"/>
        </w:tblCellMar>
      </w:tblPr>
      <w:tblGrid>
        <w:gridCol w:w="255"/>
        <w:gridCol w:w="223"/>
        <w:gridCol w:w="226"/>
        <w:gridCol w:w="404"/>
        <w:gridCol w:w="404"/>
        <w:gridCol w:w="572"/>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0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Undertakings. </w:t>
            </w:r>
          </w:p>
        </w:tc>
      </w:tr>
    </w:tbl>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(a) </w:t>
      </w:r>
      <w:r>
        <w:rPr>
          <w:rFonts w:ascii="Times New Roman;serif" w:hAnsi="Times New Roman;serif"/>
          <w:b w:val="false"/>
          <w:i/>
          <w:color w:val="000000"/>
          <w:sz w:val="20"/>
          <w:shd w:fill="FFFFFF" w:val="clear"/>
        </w:rPr>
        <w:t>Rule 415 offering. </w:t>
      </w:r>
      <w:r>
        <w:rPr>
          <w:rFonts w:ascii="Times New Roman;serif" w:hAnsi="Times New Roman;serif"/>
          <w:b w:val="false"/>
          <w:color w:val="000000"/>
          <w:sz w:val="20"/>
          <w:shd w:fill="FFFFFF" w:val="clear"/>
        </w:rPr>
        <w:t>The Registrant hereby undertakes: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 To file, during any period in which offers or sales are being made, a post-effective amendment to this registration statement: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To include any prospectus required by Section 10(a)(3) of the Securities Act of 1933;</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120" w:after="283"/>
        <w:jc w:val="left"/>
        <w:rPr>
          <w:shd w:fill="FFFFFF" w:val="clear"/>
        </w:rPr>
      </w:pP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that: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Paragraphs (a)(1)(i) and (a)(1)(ii)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and</w:t>
      </w:r>
    </w:p>
    <w:p>
      <w:pPr>
        <w:pStyle w:val="TextBody"/>
        <w:bidi w:val="0"/>
        <w:spacing w:lineRule="auto" w:line="288" w:before="120" w:after="283"/>
        <w:jc w:val="left"/>
        <w:rPr>
          <w:shd w:fill="FFFFFF" w:val="clear"/>
        </w:rPr>
      </w:pPr>
      <w:r>
        <w:rPr>
          <w:rFonts w:ascii="Times New Roman;serif" w:hAnsi="Times New Roman;serif"/>
          <w:b w:val="false"/>
          <w:color w:val="000000"/>
          <w:sz w:val="20"/>
          <w:shd w:fill="FFFFFF" w:val="clear"/>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shd w:fill="FFFFFF" w:val="clear"/>
        </w:rPr>
        <w:t>bona fide</w:t>
      </w:r>
      <w:r>
        <w:rPr>
          <w:color w:val="000000"/>
          <w:shd w:fill="FFFFFF" w:val="clear"/>
        </w:rPr>
        <w:t> </w:t>
      </w:r>
      <w:r>
        <w:rPr>
          <w:rFonts w:ascii="Times New Roman;serif" w:hAnsi="Times New Roman;serif"/>
          <w:b w:val="false"/>
          <w:color w:val="000000"/>
          <w:sz w:val="20"/>
          <w:shd w:fill="FFFFFF" w:val="clear"/>
        </w:rPr>
        <w:t>offering thereof.</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 To remove from registration by means of a post-effective amendment any of the securities being registered which remain unsold at the termination of the offering.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Registrant hereby undertakes that, for purposes of determining any liability under the Securities Act of 1933, each filing of its annual report pursuant to Section 13(a) or Section 15(d) of the Securities Exchange Act of 1934 that is incorporated by reference in the registration statement shall be deemed to be a new registration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relating to the securities offered herein, and the offering of such securities at that time shall be deemed to be the initial </w:t>
      </w:r>
      <w:r>
        <w:rPr>
          <w:rFonts w:ascii="Times New Roman;serif" w:hAnsi="Times New Roman;serif"/>
          <w:b w:val="false"/>
          <w:i/>
          <w:color w:val="000000"/>
          <w:sz w:val="20"/>
          <w:shd w:fill="FFFFFF" w:val="clear"/>
        </w:rPr>
        <w:t>bona fide</w:t>
      </w:r>
      <w:r>
        <w:rPr>
          <w:color w:val="000000"/>
          <w:shd w:fill="FFFFFF" w:val="clear"/>
        </w:rPr>
        <w:t> </w:t>
      </w:r>
      <w:r>
        <w:rPr>
          <w:rFonts w:ascii="Times New Roman;serif" w:hAnsi="Times New Roman;serif"/>
          <w:b w:val="false"/>
          <w:color w:val="000000"/>
          <w:sz w:val="20"/>
          <w:shd w:fill="FFFFFF" w:val="clear"/>
        </w:rPr>
        <w:t>offering thereof.</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before="0" w:after="0"/>
        <w:jc w:val="center"/>
        <w:rPr/>
      </w:pPr>
      <w:r>
        <w:rPr/>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the undersigned directors and officers of MacroGenics, Inc., a Delaware corporation, do hereby constitute and appoint Eric Risser, Chief Executive Officer and James Karrels, Chief Financial Officer, and each and any of them, our true and lawful attorneys-in-fact and agents, with full power of substitution and resubstitution, to do any and all acts and things in our names and on our behalf in our capacities as directors and officers and to execute any and all instruments for us and in our name in the capacities indicated below, which said attorneys and agents may deem necessary or advisable to enable said corporation to comply with the Securities Act and any rules, regulations and requirements of the SEC, in connection with this registration statement, or any registration statement for this offering under the Securities Act, including specifically, but without limitation, any and all amendments (including post-effective amendments) hereto; and we hereby ratify and confirm all that said attorneys and agents, or either of them, shall do or cause to be done by virtue thereof.</w:t>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Act, this Registration Statement has been signed by the following persons on September 3, 2026.</w:t>
      </w:r>
    </w:p>
    <w:tbl>
      <w:tblPr>
        <w:tblW w:w="7032" w:type="dxa"/>
        <w:jc w:val="left"/>
        <w:tblInd w:w="0" w:type="dxa"/>
        <w:tblLayout w:type="fixed"/>
        <w:tblCellMar>
          <w:top w:w="28" w:type="dxa"/>
          <w:left w:w="28" w:type="dxa"/>
          <w:bottom w:w="28" w:type="dxa"/>
          <w:right w:w="28" w:type="dxa"/>
        </w:tblCellMar>
      </w:tblPr>
      <w:tblGrid>
        <w:gridCol w:w="886"/>
        <w:gridCol w:w="778"/>
        <w:gridCol w:w="781"/>
        <w:gridCol w:w="109"/>
        <w:gridCol w:w="109"/>
        <w:gridCol w:w="109"/>
        <w:gridCol w:w="1244"/>
        <w:gridCol w:w="1244"/>
        <w:gridCol w:w="1772"/>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Eric Risser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and 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Eric Risser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Karrels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br/>
              <w:t>(Principal Financial Officer)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Karrels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Beth Smith</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Treasurer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Beth Smith</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Heiden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Heiden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Hurwitz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Hurwitz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Meenu Chhabra Karson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Meenu Chhabra Karson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Scott Koenig,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Scott Koenig,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282" w:type="dxa"/>
        <w:jc w:val="left"/>
        <w:tblInd w:w="0" w:type="dxa"/>
        <w:tblLayout w:type="fixed"/>
        <w:tblCellMar>
          <w:top w:w="28" w:type="dxa"/>
          <w:left w:w="28" w:type="dxa"/>
          <w:bottom w:w="28" w:type="dxa"/>
          <w:right w:w="28" w:type="dxa"/>
        </w:tblCellMar>
      </w:tblPr>
      <w:tblGrid>
        <w:gridCol w:w="775"/>
        <w:gridCol w:w="680"/>
        <w:gridCol w:w="689"/>
        <w:gridCol w:w="109"/>
        <w:gridCol w:w="109"/>
        <w:gridCol w:w="109"/>
        <w:gridCol w:w="237"/>
        <w:gridCol w:w="237"/>
        <w:gridCol w:w="337"/>
      </w:tblGrid>
      <w:tr>
        <w:trPr/>
        <w:tc>
          <w:tcPr>
            <w:tcW w:w="7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Margaret A. Liu,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Margaret A. Liu,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Federica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Federica O’Brien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Stump,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Stump,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0" w:after="24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MACROGENICS, INC.</w:t>
      </w:r>
    </w:p>
    <w:p>
      <w:pPr>
        <w:pStyle w:val="TextBody"/>
        <w:bidi w:val="0"/>
        <w:spacing w:lineRule="auto" w:line="288" w:before="0" w:after="4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314"/>
        <w:gridCol w:w="276"/>
        <w:gridCol w:w="277"/>
        <w:gridCol w:w="478"/>
        <w:gridCol w:w="457"/>
        <w:gridCol w:w="458"/>
        <w:gridCol w:w="406"/>
        <w:gridCol w:w="406"/>
        <w:gridCol w:w="408"/>
        <w:gridCol w:w="500"/>
        <w:gridCol w:w="391"/>
        <w:gridCol w:w="392"/>
        <w:gridCol w:w="540"/>
        <w:gridCol w:w="540"/>
        <w:gridCol w:w="542"/>
        <w:gridCol w:w="485"/>
        <w:gridCol w:w="474"/>
        <w:gridCol w:w="475"/>
        <w:gridCol w:w="319"/>
        <w:gridCol w:w="319"/>
        <w:gridCol w:w="323"/>
        <w:gridCol w:w="414"/>
        <w:gridCol w:w="414"/>
        <w:gridCol w:w="597"/>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Security Type</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Security Class Title</w:t>
            </w:r>
          </w:p>
        </w:tc>
        <w:tc>
          <w:tcPr>
            <w:tcW w:w="12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color w:val="000000"/>
                <w:sz w:val="18"/>
              </w:rPr>
              <w:t>Fee Calculation Rule</w:t>
            </w:r>
            <w:r>
              <w:rPr>
                <w:rFonts w:ascii="Times New Roman;serif" w:hAnsi="Times New Roman;serif"/>
                <w:b/>
                <w:color w:val="000000"/>
                <w:sz w:val="12"/>
              </w:rPr>
              <w:t>(3)</w:t>
            </w:r>
          </w:p>
        </w:tc>
        <w:tc>
          <w:tcPr>
            <w:tcW w:w="1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color w:val="000000"/>
                <w:sz w:val="18"/>
              </w:rPr>
              <w:t>Amount Registered</w:t>
            </w:r>
            <w:r>
              <w:rPr>
                <w:rFonts w:ascii="Times New Roman;serif" w:hAnsi="Times New Roman;serif"/>
                <w:b/>
                <w:color w:val="000000"/>
                <w:sz w:val="12"/>
              </w:rPr>
              <w:t>(1)</w:t>
            </w:r>
          </w:p>
        </w:tc>
        <w:tc>
          <w:tcPr>
            <w:tcW w:w="16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Proposed Maximum Offering Price Per Share</w:t>
            </w:r>
          </w:p>
        </w:tc>
        <w:tc>
          <w:tcPr>
            <w:tcW w:w="1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Aggregate 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Fee Rate</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Registration Fee</w:t>
            </w:r>
          </w:p>
        </w:tc>
      </w:tr>
      <w:tr>
        <w:trPr/>
        <w:tc>
          <w:tcPr>
            <w:tcW w:w="867" w:type="dxa"/>
            <w:gridSpan w:val="3"/>
            <w:tcBorders>
              <w:top w:val="single" w:sz="8" w:space="0" w:color="000000"/>
              <w:left w:val="single" w:sz="8" w:space="0" w:color="000000"/>
              <w:bottom w:val="single" w:sz="8" w:space="0" w:color="000000"/>
            </w:tcBorders>
            <w:tcMar>
              <w:top w:w="30" w:type="dxa"/>
              <w:left w:w="131"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3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12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457(c) and 457(h)</w:t>
            </w:r>
          </w:p>
        </w:tc>
        <w:tc>
          <w:tcPr>
            <w:tcW w:w="12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100"/>
              <w:jc w:val="center"/>
              <w:rPr/>
            </w:pPr>
            <w:r>
              <w:rPr>
                <w:color w:val="000000"/>
              </w:rPr>
              <w:t>    </w:t>
            </w:r>
            <w:r>
              <w:rPr>
                <w:rFonts w:ascii="Times New Roman;serif" w:hAnsi="Times New Roman;serif"/>
                <w:b w:val="false"/>
                <w:color w:val="000000"/>
                <w:sz w:val="18"/>
              </w:rPr>
              <w:t>1,250,000</w:t>
            </w:r>
            <w:r>
              <w:rPr>
                <w:rFonts w:ascii="Times New Roman;serif" w:hAnsi="Times New Roman;serif"/>
                <w:b w:val="false"/>
                <w:color w:val="000000"/>
                <w:sz w:val="12"/>
              </w:rPr>
              <w:t>(2)</w:t>
            </w:r>
          </w:p>
        </w:tc>
        <w:tc>
          <w:tcPr>
            <w:tcW w:w="162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00"/>
              <w:jc w:val="center"/>
              <w:rPr/>
            </w:pPr>
            <w:r>
              <w:rPr>
                <w:rFonts w:ascii="Times New Roman;serif" w:hAnsi="Times New Roman;serif"/>
                <w:b w:val="false"/>
                <w:color w:val="000000"/>
                <w:sz w:val="20"/>
              </w:rPr>
              <w:t>$4.03</w:t>
            </w:r>
            <w:r>
              <w:rPr>
                <w:rFonts w:ascii="Times New Roman;serif" w:hAnsi="Times New Roman;serif"/>
                <w:b w:val="false"/>
                <w:color w:val="000000"/>
                <w:sz w:val="12"/>
              </w:rPr>
              <w:t>(3)</w:t>
            </w:r>
          </w:p>
        </w:tc>
        <w:tc>
          <w:tcPr>
            <w:tcW w:w="1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$5,037,500</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0.00013810</w:t>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$695.68</w:t>
            </w:r>
          </w:p>
        </w:tc>
      </w:tr>
      <w:tr>
        <w:trPr/>
        <w:tc>
          <w:tcPr>
            <w:tcW w:w="4763"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Offering Amounts</w:t>
            </w:r>
          </w:p>
        </w:tc>
        <w:tc>
          <w:tcPr>
            <w:tcW w:w="16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$5,037,500</w:t>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$695.68</w:t>
            </w:r>
          </w:p>
        </w:tc>
      </w:tr>
      <w:tr>
        <w:trPr/>
        <w:tc>
          <w:tcPr>
            <w:tcW w:w="476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Fee Offsets</w:t>
            </w:r>
          </w:p>
        </w:tc>
        <w:tc>
          <w:tcPr>
            <w:tcW w:w="162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763"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Fee Due</w:t>
            </w:r>
          </w:p>
        </w:tc>
        <w:tc>
          <w:tcPr>
            <w:tcW w:w="162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$695.68</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40"/>
              <w:jc w:val="both"/>
              <w:rPr/>
            </w:pPr>
            <w:r>
              <w:rPr/>
            </w:r>
          </w:p>
        </w:tc>
      </w:tr>
    </w:tbl>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Pursuant to Rule 416(a) under the Securities Act of 1933, as amended (the “Securities Act”), this Registration Statement shall also cover any additional shares of the Registrant’s Common Stock (“Common Stock”) that become issuable under the MacroGenics, Inc. 2023 Equity Incentive Plan (the “2023 EIP”) by reason of any stock dividend, stock split, recapitalization or other similar transaction.</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Represents shares of common stock that were added to the shares reserved for future issuance under the 2023 EIP upon approval of an amendment to the 2023 EIP at the Registrant’s 2026 Annual Meeting of Stockholders. </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Estimated solely for the purpose of calculating the registration fee pursuant to Rules 457(c) and 457(h) of the Securities Act. The price per share and aggregate offering price are calculated on the basis of $4.03, the average of the high and low price of the Registrant’s Common Stock as reported on the Nasdaq Global Select Market on August 31, 2026.</w:t>
      </w:r>
    </w:p>
    <w:p>
      <w:pPr>
        <w:pStyle w:val="TextBody"/>
        <w:bidi w:val="0"/>
        <w:spacing w:before="0" w:after="24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295400" cy="4191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7"/>
                    <a:stretch>
                      <a:fillRect/>
                    </a:stretch>
                  </pic:blipFill>
                  <pic:spPr bwMode="auto">
                    <a:xfrm>
                      <a:off x="0" y="0"/>
                      <a:ext cx="1295400" cy="4191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Eric Blanchard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+1 617 937 2445</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eblanchard@cooley.com</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September 3,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MacroGenics,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9704 Medical Center Drive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Rockville, MD 20850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We have acted as counsel to MacroGenics,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by the Company of a Registration Statement on Form S-8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with the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covering the offering by the Company of up to 1,250,000 shares (the “</w:t>
      </w:r>
      <w:r>
        <w:rPr>
          <w:rFonts w:ascii="Arial;sans-serif" w:hAnsi="Arial;sans-serif"/>
          <w:b/>
          <w:i/>
          <w:color w:val="000000"/>
          <w:sz w:val="20"/>
        </w:rPr>
        <w:t>Shares</w:t>
      </w:r>
      <w:r>
        <w:rPr>
          <w:color w:val="000000"/>
        </w:rPr>
        <w:t>”</w:t>
      </w:r>
      <w:r>
        <w:rPr>
          <w:rFonts w:ascii="Arial;sans-serif" w:hAnsi="Arial;sans-serif"/>
          <w:b w:val="false"/>
          <w:color w:val="000000"/>
          <w:sz w:val="20"/>
        </w:rPr>
        <w:t>) of its common stock, par value $0.01 per share, pursuant to the Company’s 2023 Equity Incentive Plan (the “</w:t>
      </w:r>
      <w:r>
        <w:rPr>
          <w:rFonts w:ascii="Arial;sans-serif" w:hAnsi="Arial;sans-serif"/>
          <w:b/>
          <w:i/>
          <w:color w:val="000000"/>
          <w:sz w:val="20"/>
        </w:rPr>
        <w:t>Plan</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we are of the opinion that the Shares, when sold and issued in accordance with the Plan, the Registration Statement and related prospectus, will be validly issued, fully paid and nonassessable (except as to Shares issued pursuant to deferred payment arrangements, which will be fully paid and nonassessable when such deferred payments are made in full).</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9260"/>
                <wp:effectExtent l="0" t="0" r="0" b="0"/>
                <wp:wrapNone/>
                <wp:docPr id="8" name="Frame7"/>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COOLEY LLP 500 BOYLSTON STREET 14TH FLOOR BOSTON, MASSACHUSETTS 02116</w:t>
                            </w:r>
                            <w:r>
                              <w:br w:type="page"/>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PHONE: (617) 937-2300 FAX: (617) 937-2400 COOLEY.COM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COOLEY LLP 500 BOYLSTON STREET 14TH FLOOR BOSTON, MASSACHUSETTS 02116</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PHONE: (617) 937-2300 FAX: (617) 937-2400 COOLEY.COM</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Exhibit 5.1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both"/>
        <w:rPr/>
      </w:pPr>
      <w:r>
        <w:rPr/>
      </w:r>
    </w:p>
    <w:p>
      <w:pPr>
        <w:pStyle w:val="TextBody"/>
        <w:bidi w:val="0"/>
        <w:spacing w:lineRule="auto" w:line="288" w:before="0" w:after="140"/>
        <w:jc w:val="both"/>
        <w:rPr>
          <w:rFonts w:ascii="Arial;sans-serif" w:hAnsi="Arial;sans-serif"/>
          <w:b w:val="false"/>
          <w:color w:val="000000"/>
          <w:sz w:val="20"/>
        </w:rPr>
      </w:pPr>
      <w:r>
        <w:rPr>
          <w:rFonts w:ascii="Arial;sans-serif" w:hAnsi="Arial;sans-serif"/>
          <w:b w:val="false"/>
          <w:color w:val="000000"/>
          <w:sz w:val="20"/>
        </w:rPr>
        <w:t>Cooley LLP</w:t>
      </w:r>
    </w:p>
    <w:tbl>
      <w:tblPr>
        <w:tblW w:w="2189" w:type="dxa"/>
        <w:jc w:val="left"/>
        <w:tblInd w:w="0" w:type="dxa"/>
        <w:tblLayout w:type="fixed"/>
        <w:tblCellMar>
          <w:top w:w="28" w:type="dxa"/>
          <w:left w:w="28" w:type="dxa"/>
          <w:bottom w:w="28" w:type="dxa"/>
          <w:right w:w="28" w:type="dxa"/>
        </w:tblCellMar>
      </w:tblPr>
      <w:tblGrid>
        <w:gridCol w:w="151"/>
        <w:gridCol w:w="134"/>
        <w:gridCol w:w="135"/>
        <w:gridCol w:w="518"/>
        <w:gridCol w:w="518"/>
        <w:gridCol w:w="73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 Eric Blanchard </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Eric Blanchard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9260"/>
                <wp:effectExtent l="0" t="0" r="0" b="0"/>
                <wp:wrapNone/>
                <wp:docPr id="9" name="Frame8"/>
                <a:graphic xmlns:a="http://schemas.openxmlformats.org/drawingml/2006/main">
                  <a:graphicData uri="http://schemas.microsoft.com/office/word/2010/wordprocessingShape">
                    <wps:wsp>
                      <wps:cNvSpPr txBox="1"/>
                      <wps:spPr>
                        <a:xfrm>
                          <a:off x="0" y="0"/>
                          <a:ext cx="6480175" cy="429260"/>
                        </a:xfrm>
                        <a:prstGeom prst="rect"/>
                        <a:solidFill>
                          <a:srgbClr val="FFFFFF"/>
                        </a:solidFill>
                      </wps:spPr>
                      <wps:txbx>
                        <w:txbxContent>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COOLEY LLP 500 BOYLSTON STREET 14TH FLOOR BOSTON, MASSACHUSETTS 02116</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PHONE: (617) 937-2300 FAX: (617) 937-2400 COOLEY.COM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COOLEY LLP 500 BOYLSTON STREET 14TH FLOOR BOSTON, MASSACHUSETTS 02116</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PHONE: (617) 937-2300 FAX: (617) 937-2400 COOLEY.COM</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firstLine="315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2023 Equity Incentive Plan, As Amended, of MacroGenics, Inc. of our reports dated March 9, 2026, with respect to the consolidated financial statements of MacroGenics, Inc. and the effectiveness of internal control over financial reporting of MacroGenics, Inc. included in its Annual Report (Form 10-K) for the year ended December 31, 2025, filed with the Securities and Exchange Commission.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Tysons, Virginia                                </w:t>
      </w:r>
    </w:p>
    <w:p>
      <w:pPr>
        <w:pStyle w:val="TextBody"/>
        <w:bidi w:val="0"/>
        <w:spacing w:lineRule="auto" w:line="300"/>
        <w:jc w:val="both"/>
        <w:rPr>
          <w:rFonts w:ascii="Times New Roman;serif" w:hAnsi="Times New Roman;serif"/>
          <w:b w:val="false"/>
          <w:color w:val="000000"/>
          <w:sz w:val="20"/>
        </w:rPr>
      </w:pPr>
      <w:r>
        <w:rPr>
          <w:rFonts w:ascii="Times New Roman;serif" w:hAnsi="Times New Roman;serif"/>
          <w:b w:val="false"/>
          <w:color w:val="000000"/>
          <w:sz w:val="20"/>
        </w:rPr>
        <w:t>September 3, 2026</w:t>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25345/000112534526000021/mgnx-20260407.htm" TargetMode="External"/><Relationship Id="rId3" Type="http://schemas.openxmlformats.org/officeDocument/2006/relationships/hyperlink" Target="https://www.sec.gov/ix?doc=/Archives/edgar/data/0001125345/000112534526000021/mgnx-20260407.htm" TargetMode="External"/><Relationship Id="rId4" Type="http://schemas.openxmlformats.org/officeDocument/2006/relationships/hyperlink" Target="https://www.sec.gov/ix?doc=/Archives/edgar/data/0001125345/000112534526000021/mgnx-20260407.htm" TargetMode="External"/><Relationship Id="rId5" Type="http://schemas.openxmlformats.org/officeDocument/2006/relationships/hyperlink" Target="https://www.sec.gov/ix?doc=/Archives/edgar/data/0001125345/000112534526000021/mgnx-20260407.htm" TargetMode="External"/><Relationship Id="rId6" Type="http://schemas.openxmlformats.org/officeDocument/2006/relationships/hyperlink" Target="https://www.sec.gov/ix?doc=/Archives/edgar/data/0001125345/000112534526000021/mgnx-20260407.htm" TargetMode="Externa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2752</Words>
  <Characters>14939</Characters>
  <CharactersWithSpaces>17567</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