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36" w:lineRule="exact"/>
        <w:rPr>
          <w:sz w:val="24"/>
          <w:szCs w:val="24"/>
          <w:color w:val="auto"/>
        </w:rPr>
      </w:pPr>
    </w:p>
    <w:p>
      <w:pPr>
        <w:ind w:left="640" w:hanging="626"/>
        <w:spacing w:after="0"/>
        <w:tabs>
          <w:tab w:leader="none" w:pos="64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 the quarterly period ended September 30, 2021</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OR</w:t>
      </w:r>
    </w:p>
    <w:p>
      <w:pPr>
        <w:spacing w:after="0" w:line="36" w:lineRule="exact"/>
        <w:rPr>
          <w:sz w:val="24"/>
          <w:szCs w:val="24"/>
          <w:color w:val="auto"/>
        </w:rPr>
      </w:pPr>
    </w:p>
    <w:p>
      <w:pPr>
        <w:ind w:left="640" w:hanging="626"/>
        <w:spacing w:after="0"/>
        <w:tabs>
          <w:tab w:leader="none" w:pos="640"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249" w:lineRule="exact"/>
        <w:rPr>
          <w:sz w:val="24"/>
          <w:szCs w:val="24"/>
          <w:color w:val="auto"/>
        </w:rPr>
      </w:pPr>
    </w:p>
    <w:tbl>
      <w:tblPr>
        <w:tblLayout w:type="fixed"/>
        <w:tblInd w:w="10" w:type="dxa"/>
        <w:tblCellMar>
          <w:top w:w="0" w:type="dxa"/>
          <w:left w:w="0" w:type="dxa"/>
          <w:bottom w:w="0" w:type="dxa"/>
          <w:right w:w="0" w:type="dxa"/>
        </w:tblCellMar>
      </w:tblPr>
      <w:tr>
        <w:trPr>
          <w:trHeight w:val="138"/>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ind w:left="160"/>
              <w:spacing w:after="0"/>
              <w:rPr>
                <w:sz w:val="20"/>
                <w:szCs w:val="20"/>
                <w:color w:val="auto"/>
              </w:rPr>
            </w:pPr>
            <w:r>
              <w:rPr>
                <w:rFonts w:ascii="Arial" w:cs="Arial" w:eastAsia="Arial" w:hAnsi="Arial"/>
                <w:sz w:val="12"/>
                <w:szCs w:val="12"/>
                <w:b w:val="1"/>
                <w:bCs w:val="1"/>
                <w:color w:val="auto"/>
                <w:w w:val="93"/>
              </w:rPr>
              <w:t>For the transition period from</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Pr>
          <w:p>
            <w:pPr>
              <w:ind w:left="40"/>
              <w:spacing w:after="0"/>
              <w:rPr>
                <w:sz w:val="20"/>
                <w:szCs w:val="20"/>
                <w:color w:val="auto"/>
              </w:rPr>
            </w:pPr>
            <w:r>
              <w:rPr>
                <w:rFonts w:ascii="Arial" w:cs="Arial" w:eastAsia="Arial" w:hAnsi="Arial"/>
                <w:sz w:val="12"/>
                <w:szCs w:val="12"/>
                <w:b w:val="1"/>
                <w:bCs w:val="1"/>
                <w:color w:val="auto"/>
                <w:w w:val="87"/>
              </w:rPr>
              <w:t>to</w:t>
            </w:r>
          </w:p>
        </w:tc>
        <w:tc>
          <w:tcPr>
            <w:tcW w:w="380" w:type="dxa"/>
            <w:vAlign w:val="bottom"/>
            <w:tcBorders>
              <w:bottom w:val="single" w:sz="8" w:color="auto"/>
            </w:tcBorders>
          </w:tcPr>
          <w:p>
            <w:pPr>
              <w:spacing w:after="0"/>
              <w:rPr>
                <w:sz w:val="12"/>
                <w:szCs w:val="12"/>
                <w:color w:val="auto"/>
              </w:rPr>
            </w:pPr>
          </w:p>
        </w:tc>
        <w:tc>
          <w:tcPr>
            <w:tcW w:w="4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4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80" w:type="dxa"/>
            <w:vAlign w:val="bottom"/>
            <w:gridSpan w:val="6"/>
          </w:tcPr>
          <w:p>
            <w:pPr>
              <w:jc w:val="center"/>
              <w:ind w:right="4019"/>
              <w:spacing w:after="0"/>
              <w:rPr>
                <w:sz w:val="20"/>
                <w:szCs w:val="20"/>
                <w:color w:val="auto"/>
              </w:rPr>
            </w:pPr>
            <w:r>
              <w:rPr>
                <w:rFonts w:ascii="Arial" w:cs="Arial" w:eastAsia="Arial" w:hAnsi="Arial"/>
                <w:sz w:val="12"/>
                <w:szCs w:val="12"/>
                <w:b w:val="1"/>
                <w:bCs w:val="1"/>
                <w:color w:val="auto"/>
                <w:w w:val="91"/>
              </w:rPr>
              <w:t>Commission File Number: 001-36112</w:t>
            </w:r>
          </w:p>
        </w:tc>
        <w:tc>
          <w:tcPr>
            <w:tcW w:w="0" w:type="dxa"/>
            <w:vAlign w:val="bottom"/>
          </w:tcPr>
          <w:p>
            <w:pPr>
              <w:spacing w:after="0"/>
              <w:rPr>
                <w:sz w:val="1"/>
                <w:szCs w:val="1"/>
                <w:color w:val="auto"/>
              </w:rPr>
            </w:pPr>
          </w:p>
        </w:tc>
      </w:tr>
      <w:tr>
        <w:trPr>
          <w:trHeight w:val="436"/>
        </w:trPr>
        <w:tc>
          <w:tcPr>
            <w:tcW w:w="4040" w:type="dxa"/>
            <w:vAlign w:val="bottom"/>
          </w:tcPr>
          <w:p>
            <w:pPr>
              <w:spacing w:after="0"/>
              <w:rPr>
                <w:sz w:val="24"/>
                <w:szCs w:val="24"/>
                <w:color w:val="auto"/>
              </w:rPr>
            </w:pPr>
          </w:p>
        </w:tc>
        <w:tc>
          <w:tcPr>
            <w:tcW w:w="7080" w:type="dxa"/>
            <w:vAlign w:val="bottom"/>
            <w:gridSpan w:val="7"/>
          </w:tcPr>
          <w:p>
            <w:pPr>
              <w:jc w:val="center"/>
              <w:ind w:right="3799"/>
              <w:spacing w:after="0"/>
              <w:rPr>
                <w:sz w:val="20"/>
                <w:szCs w:val="20"/>
                <w:color w:val="auto"/>
              </w:rPr>
            </w:pPr>
            <w:r>
              <w:rPr>
                <w:rFonts w:ascii="Arial" w:cs="Arial" w:eastAsia="Arial" w:hAnsi="Arial"/>
                <w:sz w:val="29"/>
                <w:szCs w:val="29"/>
                <w:b w:val="1"/>
                <w:bCs w:val="1"/>
                <w:color w:val="auto"/>
              </w:rPr>
              <w:t>MACROGENICS, INC.</w:t>
            </w:r>
          </w:p>
        </w:tc>
        <w:tc>
          <w:tcPr>
            <w:tcW w:w="0" w:type="dxa"/>
            <w:vAlign w:val="bottom"/>
          </w:tcPr>
          <w:p>
            <w:pPr>
              <w:spacing w:after="0"/>
              <w:rPr>
                <w:sz w:val="1"/>
                <w:szCs w:val="1"/>
                <w:color w:val="auto"/>
              </w:rPr>
            </w:pPr>
          </w:p>
        </w:tc>
      </w:tr>
      <w:tr>
        <w:trPr>
          <w:trHeight w:val="204"/>
        </w:trPr>
        <w:tc>
          <w:tcPr>
            <w:tcW w:w="4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80" w:type="dxa"/>
            <w:vAlign w:val="bottom"/>
            <w:gridSpan w:val="6"/>
          </w:tcPr>
          <w:p>
            <w:pPr>
              <w:jc w:val="center"/>
              <w:ind w:right="4019"/>
              <w:spacing w:after="0"/>
              <w:rPr>
                <w:sz w:val="20"/>
                <w:szCs w:val="20"/>
                <w:color w:val="auto"/>
              </w:rPr>
            </w:pPr>
            <w:r>
              <w:rPr>
                <w:rFonts w:ascii="Arial" w:cs="Arial" w:eastAsia="Arial" w:hAnsi="Arial"/>
                <w:sz w:val="12"/>
                <w:szCs w:val="12"/>
                <w:b w:val="1"/>
                <w:bCs w:val="1"/>
                <w:color w:val="auto"/>
                <w:w w:val="90"/>
              </w:rPr>
              <w:t>(Exact name of registrant as specified in its charter)</w:t>
            </w:r>
          </w:p>
        </w:tc>
        <w:tc>
          <w:tcPr>
            <w:tcW w:w="0" w:type="dxa"/>
            <w:vAlign w:val="bottom"/>
          </w:tcPr>
          <w:p>
            <w:pPr>
              <w:spacing w:after="0"/>
              <w:rPr>
                <w:sz w:val="1"/>
                <w:szCs w:val="1"/>
                <w:color w:val="auto"/>
              </w:rPr>
            </w:pPr>
          </w:p>
        </w:tc>
      </w:tr>
      <w:tr>
        <w:trPr>
          <w:trHeight w:val="170"/>
        </w:trPr>
        <w:tc>
          <w:tcPr>
            <w:tcW w:w="4040" w:type="dxa"/>
            <w:vAlign w:val="bottom"/>
          </w:tcPr>
          <w:p>
            <w:pPr>
              <w:jc w:val="center"/>
              <w:ind w:left="1739"/>
              <w:spacing w:after="0"/>
              <w:rPr>
                <w:sz w:val="20"/>
                <w:szCs w:val="20"/>
                <w:color w:val="auto"/>
              </w:rPr>
            </w:pPr>
            <w:r>
              <w:rPr>
                <w:rFonts w:ascii="Arial" w:cs="Arial" w:eastAsia="Arial" w:hAnsi="Arial"/>
                <w:sz w:val="12"/>
                <w:szCs w:val="12"/>
                <w:b w:val="1"/>
                <w:bCs w:val="1"/>
                <w:color w:val="auto"/>
                <w:w w:val="91"/>
              </w:rPr>
              <w:t>Delaware</w:t>
            </w: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120" w:type="dxa"/>
            <w:vAlign w:val="bottom"/>
            <w:gridSpan w:val="5"/>
          </w:tcPr>
          <w:p>
            <w:pPr>
              <w:jc w:val="right"/>
              <w:ind w:right="2199"/>
              <w:spacing w:after="0"/>
              <w:rPr>
                <w:sz w:val="20"/>
                <w:szCs w:val="20"/>
                <w:color w:val="auto"/>
              </w:rPr>
            </w:pPr>
            <w:r>
              <w:rPr>
                <w:rFonts w:ascii="Arial" w:cs="Arial" w:eastAsia="Arial" w:hAnsi="Arial"/>
                <w:sz w:val="12"/>
                <w:szCs w:val="12"/>
                <w:b w:val="1"/>
                <w:bCs w:val="1"/>
                <w:color w:val="auto"/>
              </w:rPr>
              <w:t>06-1591613</w:t>
            </w:r>
          </w:p>
        </w:tc>
        <w:tc>
          <w:tcPr>
            <w:tcW w:w="0" w:type="dxa"/>
            <w:vAlign w:val="bottom"/>
          </w:tcPr>
          <w:p>
            <w:pPr>
              <w:spacing w:after="0"/>
              <w:rPr>
                <w:sz w:val="1"/>
                <w:szCs w:val="1"/>
                <w:color w:val="auto"/>
              </w:rPr>
            </w:pPr>
          </w:p>
        </w:tc>
      </w:tr>
      <w:tr>
        <w:trPr>
          <w:trHeight w:val="123"/>
        </w:trPr>
        <w:tc>
          <w:tcPr>
            <w:tcW w:w="4040" w:type="dxa"/>
            <w:vAlign w:val="bottom"/>
          </w:tcPr>
          <w:p>
            <w:pPr>
              <w:jc w:val="center"/>
              <w:ind w:left="1739"/>
              <w:spacing w:after="0" w:line="123" w:lineRule="exact"/>
              <w:rPr>
                <w:sz w:val="20"/>
                <w:szCs w:val="20"/>
                <w:color w:val="auto"/>
              </w:rPr>
            </w:pPr>
            <w:r>
              <w:rPr>
                <w:rFonts w:ascii="Arial" w:cs="Arial" w:eastAsia="Arial" w:hAnsi="Arial"/>
                <w:sz w:val="12"/>
                <w:szCs w:val="12"/>
                <w:b w:val="1"/>
                <w:bCs w:val="1"/>
                <w:color w:val="auto"/>
                <w:w w:val="92"/>
              </w:rPr>
              <w:t>(State or other jurisdiction of</w:t>
            </w:r>
          </w:p>
        </w:tc>
        <w:tc>
          <w:tcPr>
            <w:tcW w:w="2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20" w:type="dxa"/>
            <w:vAlign w:val="bottom"/>
          </w:tcPr>
          <w:p>
            <w:pPr>
              <w:jc w:val="center"/>
              <w:ind w:right="839"/>
              <w:spacing w:after="0" w:line="123" w:lineRule="exact"/>
              <w:rPr>
                <w:sz w:val="20"/>
                <w:szCs w:val="20"/>
                <w:color w:val="auto"/>
              </w:rPr>
            </w:pPr>
            <w:r>
              <w:rPr>
                <w:rFonts w:ascii="Arial" w:cs="Arial" w:eastAsia="Arial" w:hAnsi="Arial"/>
                <w:sz w:val="12"/>
                <w:szCs w:val="12"/>
                <w:b w:val="1"/>
                <w:bCs w:val="1"/>
                <w:color w:val="auto"/>
                <w:w w:val="95"/>
              </w:rPr>
              <w:t>(I.R.S. Employer</w:t>
            </w:r>
          </w:p>
        </w:tc>
        <w:tc>
          <w:tcPr>
            <w:tcW w:w="0" w:type="dxa"/>
            <w:vAlign w:val="bottom"/>
          </w:tcPr>
          <w:p>
            <w:pPr>
              <w:spacing w:after="0"/>
              <w:rPr>
                <w:sz w:val="1"/>
                <w:szCs w:val="1"/>
                <w:color w:val="auto"/>
              </w:rPr>
            </w:pPr>
          </w:p>
        </w:tc>
      </w:tr>
      <w:tr>
        <w:trPr>
          <w:trHeight w:val="159"/>
        </w:trPr>
        <w:tc>
          <w:tcPr>
            <w:tcW w:w="4040" w:type="dxa"/>
            <w:vAlign w:val="bottom"/>
          </w:tcPr>
          <w:p>
            <w:pPr>
              <w:jc w:val="center"/>
              <w:ind w:left="1739"/>
              <w:spacing w:after="0"/>
              <w:rPr>
                <w:sz w:val="20"/>
                <w:szCs w:val="20"/>
                <w:color w:val="auto"/>
              </w:rPr>
            </w:pPr>
            <w:r>
              <w:rPr>
                <w:rFonts w:ascii="Arial" w:cs="Arial" w:eastAsia="Arial" w:hAnsi="Arial"/>
                <w:sz w:val="12"/>
                <w:szCs w:val="12"/>
                <w:b w:val="1"/>
                <w:bCs w:val="1"/>
                <w:color w:val="auto"/>
                <w:w w:val="93"/>
              </w:rPr>
              <w:t>incorporation or organization)</w:t>
            </w:r>
          </w:p>
        </w:tc>
        <w:tc>
          <w:tcPr>
            <w:tcW w:w="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20" w:type="dxa"/>
            <w:vAlign w:val="bottom"/>
          </w:tcPr>
          <w:p>
            <w:pPr>
              <w:jc w:val="center"/>
              <w:ind w:right="839"/>
              <w:spacing w:after="0"/>
              <w:rPr>
                <w:sz w:val="20"/>
                <w:szCs w:val="20"/>
                <w:color w:val="auto"/>
              </w:rPr>
            </w:pPr>
            <w:r>
              <w:rPr>
                <w:rFonts w:ascii="Arial" w:cs="Arial" w:eastAsia="Arial" w:hAnsi="Arial"/>
                <w:sz w:val="12"/>
                <w:szCs w:val="12"/>
                <w:b w:val="1"/>
                <w:bCs w:val="1"/>
                <w:color w:val="auto"/>
                <w:w w:val="94"/>
              </w:rPr>
              <w:t>Identification No.)</w:t>
            </w:r>
          </w:p>
        </w:tc>
        <w:tc>
          <w:tcPr>
            <w:tcW w:w="0" w:type="dxa"/>
            <w:vAlign w:val="bottom"/>
          </w:tcPr>
          <w:p>
            <w:pPr>
              <w:spacing w:after="0"/>
              <w:rPr>
                <w:sz w:val="1"/>
                <w:szCs w:val="1"/>
                <w:color w:val="auto"/>
              </w:rPr>
            </w:pPr>
          </w:p>
        </w:tc>
      </w:tr>
      <w:tr>
        <w:trPr>
          <w:trHeight w:val="152"/>
        </w:trPr>
        <w:tc>
          <w:tcPr>
            <w:tcW w:w="4040" w:type="dxa"/>
            <w:vAlign w:val="bottom"/>
          </w:tcPr>
          <w:p>
            <w:pPr>
              <w:jc w:val="center"/>
              <w:ind w:left="1739"/>
              <w:spacing w:after="0"/>
              <w:rPr>
                <w:sz w:val="20"/>
                <w:szCs w:val="20"/>
                <w:color w:val="auto"/>
              </w:rPr>
            </w:pPr>
            <w:r>
              <w:rPr>
                <w:rFonts w:ascii="Arial" w:cs="Arial" w:eastAsia="Arial" w:hAnsi="Arial"/>
                <w:sz w:val="12"/>
                <w:szCs w:val="12"/>
                <w:b w:val="1"/>
                <w:bCs w:val="1"/>
                <w:color w:val="auto"/>
                <w:w w:val="94"/>
              </w:rPr>
              <w:t>9704 Medical Center Drive</w:t>
            </w:r>
          </w:p>
        </w:tc>
        <w:tc>
          <w:tcPr>
            <w:tcW w:w="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5120" w:type="dxa"/>
            <w:vAlign w:val="bottom"/>
            <w:gridSpan w:val="5"/>
            <w:vMerge w:val="restart"/>
          </w:tcPr>
          <w:p>
            <w:pPr>
              <w:jc w:val="right"/>
              <w:ind w:right="2339"/>
              <w:spacing w:after="0"/>
              <w:rPr>
                <w:sz w:val="20"/>
                <w:szCs w:val="20"/>
                <w:color w:val="auto"/>
              </w:rPr>
            </w:pPr>
            <w:r>
              <w:rPr>
                <w:rFonts w:ascii="Arial" w:cs="Arial" w:eastAsia="Arial" w:hAnsi="Arial"/>
                <w:sz w:val="12"/>
                <w:szCs w:val="12"/>
                <w:b w:val="1"/>
                <w:bCs w:val="1"/>
                <w:color w:val="auto"/>
              </w:rPr>
              <w:t>20850</w:t>
            </w:r>
          </w:p>
        </w:tc>
        <w:tc>
          <w:tcPr>
            <w:tcW w:w="0" w:type="dxa"/>
            <w:vAlign w:val="bottom"/>
          </w:tcPr>
          <w:p>
            <w:pPr>
              <w:spacing w:after="0"/>
              <w:rPr>
                <w:sz w:val="1"/>
                <w:szCs w:val="1"/>
                <w:color w:val="auto"/>
              </w:rPr>
            </w:pPr>
          </w:p>
        </w:tc>
      </w:tr>
      <w:tr>
        <w:trPr>
          <w:trHeight w:val="152"/>
        </w:trPr>
        <w:tc>
          <w:tcPr>
            <w:tcW w:w="4040" w:type="dxa"/>
            <w:vAlign w:val="bottom"/>
          </w:tcPr>
          <w:p>
            <w:pPr>
              <w:jc w:val="center"/>
              <w:ind w:left="1739"/>
              <w:spacing w:after="0"/>
              <w:rPr>
                <w:sz w:val="20"/>
                <w:szCs w:val="20"/>
                <w:color w:val="auto"/>
              </w:rPr>
            </w:pPr>
            <w:r>
              <w:rPr>
                <w:rFonts w:ascii="Arial" w:cs="Arial" w:eastAsia="Arial" w:hAnsi="Arial"/>
                <w:sz w:val="12"/>
                <w:szCs w:val="12"/>
                <w:b w:val="1"/>
                <w:bCs w:val="1"/>
                <w:color w:val="auto"/>
                <w:w w:val="96"/>
              </w:rPr>
              <w:t>Rockville, Maryland</w:t>
            </w:r>
          </w:p>
        </w:tc>
        <w:tc>
          <w:tcPr>
            <w:tcW w:w="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51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40" w:type="dxa"/>
            <w:vAlign w:val="bottom"/>
          </w:tcPr>
          <w:p>
            <w:pPr>
              <w:jc w:val="center"/>
              <w:ind w:left="1739"/>
              <w:spacing w:after="0"/>
              <w:rPr>
                <w:sz w:val="20"/>
                <w:szCs w:val="20"/>
                <w:color w:val="auto"/>
              </w:rPr>
            </w:pPr>
            <w:r>
              <w:rPr>
                <w:rFonts w:ascii="Arial" w:cs="Arial" w:eastAsia="Arial" w:hAnsi="Arial"/>
                <w:sz w:val="12"/>
                <w:szCs w:val="12"/>
                <w:b w:val="1"/>
                <w:bCs w:val="1"/>
                <w:color w:val="auto"/>
                <w:w w:val="89"/>
              </w:rPr>
              <w:t>(Address of principal executive offices)</w:t>
            </w:r>
          </w:p>
        </w:tc>
        <w:tc>
          <w:tcPr>
            <w:tcW w:w="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20" w:type="dxa"/>
            <w:vAlign w:val="bottom"/>
          </w:tcPr>
          <w:p>
            <w:pPr>
              <w:jc w:val="center"/>
              <w:ind w:right="839"/>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283"/>
        </w:trPr>
        <w:tc>
          <w:tcPr>
            <w:tcW w:w="4040" w:type="dxa"/>
            <w:vAlign w:val="bottom"/>
          </w:tcPr>
          <w:p>
            <w:pPr>
              <w:spacing w:after="0"/>
              <w:rPr>
                <w:sz w:val="24"/>
                <w:szCs w:val="24"/>
                <w:color w:val="auto"/>
              </w:rPr>
            </w:pPr>
          </w:p>
        </w:tc>
        <w:tc>
          <w:tcPr>
            <w:tcW w:w="1960" w:type="dxa"/>
            <w:vAlign w:val="bottom"/>
            <w:gridSpan w:val="2"/>
          </w:tcPr>
          <w:p>
            <w:pPr>
              <w:jc w:val="center"/>
              <w:ind w:left="1136"/>
              <w:spacing w:after="0"/>
              <w:rPr>
                <w:sz w:val="20"/>
                <w:szCs w:val="20"/>
                <w:color w:val="auto"/>
              </w:rPr>
            </w:pPr>
            <w:r>
              <w:rPr>
                <w:rFonts w:ascii="Arial" w:cs="Arial" w:eastAsia="Arial" w:hAnsi="Arial"/>
                <w:sz w:val="12"/>
                <w:szCs w:val="12"/>
                <w:b w:val="1"/>
                <w:bCs w:val="1"/>
                <w:color w:val="auto"/>
                <w:w w:val="90"/>
              </w:rPr>
              <w:t>301-251-5172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80" w:type="dxa"/>
            <w:vAlign w:val="bottom"/>
            <w:gridSpan w:val="6"/>
          </w:tcPr>
          <w:p>
            <w:pPr>
              <w:jc w:val="center"/>
              <w:ind w:right="3999"/>
              <w:spacing w:after="0"/>
              <w:rPr>
                <w:sz w:val="20"/>
                <w:szCs w:val="20"/>
                <w:color w:val="auto"/>
              </w:rPr>
            </w:pPr>
            <w:r>
              <w:rPr>
                <w:rFonts w:ascii="Arial" w:cs="Arial" w:eastAsia="Arial" w:hAnsi="Arial"/>
                <w:sz w:val="12"/>
                <w:szCs w:val="12"/>
                <w:b w:val="1"/>
                <w:bCs w:val="1"/>
                <w:color w:val="auto"/>
                <w:w w:val="90"/>
              </w:rPr>
              <w:t>(Registrant's telephone number, including area code)</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auto"/>
            </w:tcBorders>
          </w:tcPr>
          <w:p>
            <w:pPr>
              <w:ind w:left="440"/>
              <w:spacing w:after="0"/>
              <w:rPr>
                <w:sz w:val="20"/>
                <w:szCs w:val="20"/>
                <w:color w:val="auto"/>
              </w:rPr>
            </w:pPr>
            <w:r>
              <w:rPr>
                <w:rFonts w:ascii="Arial" w:cs="Arial" w:eastAsia="Arial" w:hAnsi="Arial"/>
                <w:sz w:val="12"/>
                <w:szCs w:val="12"/>
                <w:color w:val="auto"/>
              </w:rPr>
              <w:t>Securities registered pursuant to Section 12(b) of the Act:</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4040" w:type="dxa"/>
            <w:vAlign w:val="bottom"/>
            <w:tcBorders>
              <w:left w:val="single" w:sz="8" w:color="auto"/>
              <w:bottom w:val="single" w:sz="8" w:color="auto"/>
            </w:tcBorders>
          </w:tcPr>
          <w:p>
            <w:pPr>
              <w:jc w:val="center"/>
              <w:ind w:left="579"/>
              <w:spacing w:after="0"/>
              <w:rPr>
                <w:sz w:val="20"/>
                <w:szCs w:val="20"/>
                <w:color w:val="auto"/>
              </w:rPr>
            </w:pPr>
            <w:r>
              <w:rPr>
                <w:rFonts w:ascii="Arial" w:cs="Arial" w:eastAsia="Arial" w:hAnsi="Arial"/>
                <w:sz w:val="12"/>
                <w:szCs w:val="12"/>
                <w:color w:val="auto"/>
                <w:w w:val="91"/>
              </w:rPr>
              <w:t>Title of each class</w:t>
            </w:r>
          </w:p>
        </w:tc>
        <w:tc>
          <w:tcPr>
            <w:tcW w:w="200" w:type="dxa"/>
            <w:vAlign w:val="bottom"/>
            <w:tcBorders>
              <w:bottom w:val="single" w:sz="8" w:color="auto"/>
              <w:right w:val="single" w:sz="8" w:color="auto"/>
            </w:tcBorders>
          </w:tcPr>
          <w:p>
            <w:pPr>
              <w:spacing w:after="0"/>
              <w:rPr>
                <w:sz w:val="13"/>
                <w:szCs w:val="13"/>
                <w:color w:val="auto"/>
              </w:rPr>
            </w:pPr>
          </w:p>
        </w:tc>
        <w:tc>
          <w:tcPr>
            <w:tcW w:w="1760" w:type="dxa"/>
            <w:vAlign w:val="bottom"/>
            <w:tcBorders>
              <w:bottom w:val="single" w:sz="8" w:color="auto"/>
            </w:tcBorders>
          </w:tcPr>
          <w:p>
            <w:pPr>
              <w:jc w:val="center"/>
              <w:ind w:left="459"/>
              <w:spacing w:after="0"/>
              <w:rPr>
                <w:sz w:val="20"/>
                <w:szCs w:val="20"/>
                <w:color w:val="auto"/>
              </w:rPr>
            </w:pPr>
            <w:r>
              <w:rPr>
                <w:rFonts w:ascii="Arial" w:cs="Arial" w:eastAsia="Arial" w:hAnsi="Arial"/>
                <w:sz w:val="12"/>
                <w:szCs w:val="12"/>
                <w:color w:val="auto"/>
                <w:w w:val="93"/>
              </w:rPr>
              <w:t>Trading Symbol(s)</w:t>
            </w:r>
          </w:p>
        </w:tc>
        <w:tc>
          <w:tcPr>
            <w:tcW w:w="1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220" w:type="dxa"/>
            <w:vAlign w:val="bottom"/>
            <w:tcBorders>
              <w:bottom w:val="single" w:sz="8" w:color="auto"/>
              <w:right w:val="single" w:sz="8" w:color="auto"/>
            </w:tcBorders>
          </w:tcPr>
          <w:p>
            <w:pPr>
              <w:jc w:val="center"/>
              <w:ind w:right="319"/>
              <w:spacing w:after="0"/>
              <w:rPr>
                <w:sz w:val="20"/>
                <w:szCs w:val="20"/>
                <w:color w:val="auto"/>
              </w:rPr>
            </w:pPr>
            <w:r>
              <w:rPr>
                <w:rFonts w:ascii="Arial" w:cs="Arial" w:eastAsia="Arial" w:hAnsi="Arial"/>
                <w:sz w:val="12"/>
                <w:szCs w:val="12"/>
                <w:color w:val="auto"/>
                <w:w w:val="90"/>
              </w:rPr>
              <w:t>Name of each exchange on which registered</w:t>
            </w:r>
          </w:p>
        </w:tc>
        <w:tc>
          <w:tcPr>
            <w:tcW w:w="0" w:type="dxa"/>
            <w:vAlign w:val="bottom"/>
          </w:tcPr>
          <w:p>
            <w:pPr>
              <w:spacing w:after="0"/>
              <w:rPr>
                <w:sz w:val="1"/>
                <w:szCs w:val="1"/>
                <w:color w:val="auto"/>
              </w:rPr>
            </w:pPr>
          </w:p>
        </w:tc>
      </w:tr>
      <w:tr>
        <w:trPr>
          <w:trHeight w:val="144"/>
        </w:trPr>
        <w:tc>
          <w:tcPr>
            <w:tcW w:w="4040" w:type="dxa"/>
            <w:vAlign w:val="bottom"/>
            <w:tcBorders>
              <w:left w:val="single" w:sz="8" w:color="auto"/>
              <w:bottom w:val="single" w:sz="8" w:color="auto"/>
            </w:tcBorders>
          </w:tcPr>
          <w:p>
            <w:pPr>
              <w:jc w:val="center"/>
              <w:ind w:left="559"/>
              <w:spacing w:after="0"/>
              <w:rPr>
                <w:sz w:val="20"/>
                <w:szCs w:val="20"/>
                <w:color w:val="auto"/>
              </w:rPr>
            </w:pPr>
            <w:r>
              <w:rPr>
                <w:rFonts w:ascii="Arial" w:cs="Arial" w:eastAsia="Arial" w:hAnsi="Arial"/>
                <w:sz w:val="12"/>
                <w:szCs w:val="12"/>
                <w:color w:val="auto"/>
                <w:w w:val="91"/>
              </w:rPr>
              <w:t>Common Stock, par value $0.01 per share</w:t>
            </w:r>
          </w:p>
        </w:tc>
        <w:tc>
          <w:tcPr>
            <w:tcW w:w="200" w:type="dxa"/>
            <w:vAlign w:val="bottom"/>
            <w:tcBorders>
              <w:bottom w:val="single" w:sz="8" w:color="auto"/>
              <w:right w:val="single" w:sz="8" w:color="auto"/>
            </w:tcBorders>
          </w:tcPr>
          <w:p>
            <w:pPr>
              <w:spacing w:after="0"/>
              <w:rPr>
                <w:sz w:val="12"/>
                <w:szCs w:val="12"/>
                <w:color w:val="auto"/>
              </w:rPr>
            </w:pPr>
          </w:p>
        </w:tc>
        <w:tc>
          <w:tcPr>
            <w:tcW w:w="1760" w:type="dxa"/>
            <w:vAlign w:val="bottom"/>
            <w:tcBorders>
              <w:bottom w:val="single" w:sz="8" w:color="auto"/>
            </w:tcBorders>
          </w:tcPr>
          <w:p>
            <w:pPr>
              <w:jc w:val="center"/>
              <w:ind w:left="459"/>
              <w:spacing w:after="0"/>
              <w:rPr>
                <w:sz w:val="20"/>
                <w:szCs w:val="20"/>
                <w:color w:val="auto"/>
              </w:rPr>
            </w:pPr>
            <w:r>
              <w:rPr>
                <w:rFonts w:ascii="Arial" w:cs="Arial" w:eastAsia="Arial" w:hAnsi="Arial"/>
                <w:sz w:val="12"/>
                <w:szCs w:val="12"/>
                <w:color w:val="auto"/>
                <w:w w:val="99"/>
              </w:rPr>
              <w:t>MGNX</w:t>
            </w:r>
          </w:p>
        </w:tc>
        <w:tc>
          <w:tcPr>
            <w:tcW w:w="10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220" w:type="dxa"/>
            <w:vAlign w:val="bottom"/>
            <w:tcBorders>
              <w:bottom w:val="single" w:sz="8" w:color="auto"/>
              <w:right w:val="single" w:sz="8" w:color="auto"/>
            </w:tcBorders>
          </w:tcPr>
          <w:p>
            <w:pPr>
              <w:jc w:val="center"/>
              <w:ind w:right="319"/>
              <w:spacing w:after="0"/>
              <w:rPr>
                <w:sz w:val="20"/>
                <w:szCs w:val="20"/>
                <w:color w:val="auto"/>
              </w:rPr>
            </w:pPr>
            <w:r>
              <w:rPr>
                <w:rFonts w:ascii="Arial" w:cs="Arial" w:eastAsia="Arial" w:hAnsi="Arial"/>
                <w:sz w:val="12"/>
                <w:szCs w:val="12"/>
                <w:color w:val="auto"/>
                <w:w w:val="92"/>
              </w:rPr>
              <w:t>Nasdaq Global Select Market</w:t>
            </w:r>
          </w:p>
        </w:tc>
        <w:tc>
          <w:tcPr>
            <w:tcW w:w="0" w:type="dxa"/>
            <w:vAlign w:val="bottom"/>
          </w:tcPr>
          <w:p>
            <w:pPr>
              <w:spacing w:after="0"/>
              <w:rPr>
                <w:sz w:val="1"/>
                <w:szCs w:val="1"/>
                <w:color w:val="auto"/>
              </w:rPr>
            </w:pPr>
          </w:p>
        </w:tc>
      </w:tr>
    </w:tbl>
    <w:p>
      <w:pPr>
        <w:spacing w:after="0" w:line="366" w:lineRule="exact"/>
        <w:rPr>
          <w:sz w:val="24"/>
          <w:szCs w:val="24"/>
          <w:color w:val="auto"/>
        </w:rPr>
      </w:pPr>
    </w:p>
    <w:p>
      <w:pPr>
        <w:jc w:val="both"/>
        <w:ind w:right="160" w:firstLine="439"/>
        <w:spacing w:after="0" w:line="157"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52" w:lineRule="exact"/>
        <w:rPr>
          <w:sz w:val="24"/>
          <w:szCs w:val="24"/>
          <w:color w:val="auto"/>
        </w:rPr>
      </w:pPr>
    </w:p>
    <w:p>
      <w:pPr>
        <w:ind w:right="240" w:firstLine="439"/>
        <w:spacing w:after="0" w:line="157"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52" w:lineRule="exact"/>
        <w:rPr>
          <w:sz w:val="24"/>
          <w:szCs w:val="24"/>
          <w:color w:val="auto"/>
        </w:rPr>
      </w:pPr>
    </w:p>
    <w:p>
      <w:pPr>
        <w:ind w:left="440"/>
        <w:spacing w:after="0"/>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definitions of "accelerated filer,"</w:t>
      </w:r>
    </w:p>
    <w:p>
      <w:pPr>
        <w:spacing w:after="0" w:line="28" w:lineRule="exact"/>
        <w:rPr>
          <w:sz w:val="24"/>
          <w:szCs w:val="24"/>
          <w:color w:val="auto"/>
        </w:rPr>
      </w:pPr>
    </w:p>
    <w:p>
      <w:pPr>
        <w:spacing w:after="0"/>
        <w:rPr>
          <w:sz w:val="20"/>
          <w:szCs w:val="20"/>
          <w:color w:val="auto"/>
        </w:rPr>
      </w:pPr>
      <w:r>
        <w:rPr>
          <w:rFonts w:ascii="Arial" w:cs="Arial" w:eastAsia="Arial" w:hAnsi="Arial"/>
          <w:sz w:val="12"/>
          <w:szCs w:val="12"/>
          <w:color w:val="auto"/>
        </w:rPr>
        <w:t>"large accelerated filer," "smaller reporting company" and "emerging growth company" in Rule 12b-2 of the Exchange Act. (Check one):</w:t>
      </w:r>
    </w:p>
    <w:p>
      <w:pPr>
        <w:spacing w:after="0" w:line="8" w:lineRule="exact"/>
        <w:rPr>
          <w:sz w:val="24"/>
          <w:szCs w:val="24"/>
          <w:color w:val="auto"/>
        </w:rPr>
      </w:pPr>
    </w:p>
    <w:tbl>
      <w:tblPr>
        <w:tblLayout w:type="fixed"/>
        <w:tblInd w:w="440" w:type="dxa"/>
        <w:tblCellMar>
          <w:top w:w="0" w:type="dxa"/>
          <w:left w:w="0" w:type="dxa"/>
          <w:bottom w:w="0" w:type="dxa"/>
          <w:right w:w="0" w:type="dxa"/>
        </w:tblCellMar>
      </w:tblPr>
      <w:tr>
        <w:trPr>
          <w:trHeight w:val="188"/>
        </w:trPr>
        <w:tc>
          <w:tcPr>
            <w:tcW w:w="190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3020" w:type="dxa"/>
            <w:vAlign w:val="bottom"/>
          </w:tcPr>
          <w:p>
            <w:pPr>
              <w:ind w:left="580"/>
              <w:spacing w:after="0" w:line="121" w:lineRule="exact"/>
              <w:rPr>
                <w:sz w:val="20"/>
                <w:szCs w:val="20"/>
                <w:color w:val="auto"/>
              </w:rPr>
            </w:pPr>
            <w:r>
              <w:rPr>
                <w:rFonts w:ascii="MS PGothic" w:cs="MS PGothic" w:eastAsia="MS PGothic" w:hAnsi="MS PGothic"/>
                <w:sz w:val="12"/>
                <w:szCs w:val="12"/>
                <w:color w:val="auto"/>
              </w:rPr>
              <w:t>☒</w:t>
            </w:r>
          </w:p>
        </w:tc>
        <w:tc>
          <w:tcPr>
            <w:tcW w:w="4280" w:type="dxa"/>
            <w:vAlign w:val="bottom"/>
          </w:tcPr>
          <w:p>
            <w:pPr>
              <w:ind w:left="2340"/>
              <w:spacing w:after="0"/>
              <w:rPr>
                <w:sz w:val="20"/>
                <w:szCs w:val="20"/>
                <w:color w:val="auto"/>
              </w:rPr>
            </w:pPr>
            <w:r>
              <w:rPr>
                <w:rFonts w:ascii="Arial" w:cs="Arial" w:eastAsia="Arial" w:hAnsi="Arial"/>
                <w:sz w:val="12"/>
                <w:szCs w:val="12"/>
                <w:color w:val="auto"/>
              </w:rPr>
              <w:t>Accelerated filer</w:t>
            </w:r>
          </w:p>
        </w:tc>
        <w:tc>
          <w:tcPr>
            <w:tcW w:w="700" w:type="dxa"/>
            <w:vAlign w:val="bottom"/>
          </w:tcPr>
          <w:p>
            <w:pPr>
              <w:ind w:left="58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91"/>
        </w:trPr>
        <w:tc>
          <w:tcPr>
            <w:tcW w:w="1900" w:type="dxa"/>
            <w:vAlign w:val="bottom"/>
          </w:tcPr>
          <w:p>
            <w:pPr>
              <w:spacing w:after="0"/>
              <w:rPr>
                <w:sz w:val="20"/>
                <w:szCs w:val="20"/>
                <w:color w:val="auto"/>
              </w:rPr>
            </w:pPr>
            <w:r>
              <w:rPr>
                <w:rFonts w:ascii="Arial" w:cs="Arial" w:eastAsia="Arial" w:hAnsi="Arial"/>
                <w:sz w:val="12"/>
                <w:szCs w:val="12"/>
                <w:color w:val="auto"/>
              </w:rPr>
              <w:t>Non-accelerated filer</w:t>
            </w:r>
          </w:p>
        </w:tc>
        <w:tc>
          <w:tcPr>
            <w:tcW w:w="3020" w:type="dxa"/>
            <w:vAlign w:val="bottom"/>
          </w:tcPr>
          <w:p>
            <w:pPr>
              <w:ind w:left="580"/>
              <w:spacing w:after="0" w:line="121" w:lineRule="exact"/>
              <w:rPr>
                <w:sz w:val="20"/>
                <w:szCs w:val="20"/>
                <w:color w:val="auto"/>
              </w:rPr>
            </w:pPr>
            <w:r>
              <w:rPr>
                <w:rFonts w:ascii="MS PGothic" w:cs="MS PGothic" w:eastAsia="MS PGothic" w:hAnsi="MS PGothic"/>
                <w:sz w:val="12"/>
                <w:szCs w:val="12"/>
                <w:color w:val="auto"/>
              </w:rPr>
              <w:t>☐</w:t>
            </w:r>
          </w:p>
        </w:tc>
        <w:tc>
          <w:tcPr>
            <w:tcW w:w="4280" w:type="dxa"/>
            <w:vAlign w:val="bottom"/>
          </w:tcPr>
          <w:p>
            <w:pPr>
              <w:ind w:left="2340"/>
              <w:spacing w:after="0"/>
              <w:rPr>
                <w:sz w:val="20"/>
                <w:szCs w:val="20"/>
                <w:color w:val="auto"/>
              </w:rPr>
            </w:pPr>
            <w:r>
              <w:rPr>
                <w:rFonts w:ascii="Arial" w:cs="Arial" w:eastAsia="Arial" w:hAnsi="Arial"/>
                <w:sz w:val="12"/>
                <w:szCs w:val="12"/>
                <w:color w:val="auto"/>
              </w:rPr>
              <w:t>Smaller reporting company</w:t>
            </w:r>
          </w:p>
        </w:tc>
        <w:tc>
          <w:tcPr>
            <w:tcW w:w="700" w:type="dxa"/>
            <w:vAlign w:val="bottom"/>
          </w:tcPr>
          <w:p>
            <w:pPr>
              <w:ind w:left="58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28"/>
        </w:trPr>
        <w:tc>
          <w:tcPr>
            <w:tcW w:w="1900" w:type="dxa"/>
            <w:vAlign w:val="bottom"/>
          </w:tcPr>
          <w:p>
            <w:pPr>
              <w:spacing w:after="0"/>
              <w:rPr>
                <w:sz w:val="20"/>
                <w:szCs w:val="20"/>
                <w:color w:val="auto"/>
              </w:rPr>
            </w:pPr>
            <w:r>
              <w:rPr>
                <w:rFonts w:ascii="Arial" w:cs="Arial" w:eastAsia="Arial" w:hAnsi="Arial"/>
                <w:sz w:val="12"/>
                <w:szCs w:val="12"/>
                <w:color w:val="auto"/>
              </w:rPr>
              <w:t>Emerging growth company</w:t>
            </w:r>
          </w:p>
        </w:tc>
        <w:tc>
          <w:tcPr>
            <w:tcW w:w="3020" w:type="dxa"/>
            <w:vAlign w:val="bottom"/>
          </w:tcPr>
          <w:p>
            <w:pPr>
              <w:ind w:left="580"/>
              <w:spacing w:after="0" w:line="121" w:lineRule="exact"/>
              <w:rPr>
                <w:sz w:val="20"/>
                <w:szCs w:val="20"/>
                <w:color w:val="auto"/>
              </w:rPr>
            </w:pPr>
            <w:r>
              <w:rPr>
                <w:rFonts w:ascii="MS PGothic" w:cs="MS PGothic" w:eastAsia="MS PGothic" w:hAnsi="MS PGothic"/>
                <w:sz w:val="12"/>
                <w:szCs w:val="12"/>
                <w:color w:val="auto"/>
              </w:rPr>
              <w:t>☐</w:t>
            </w:r>
          </w:p>
        </w:tc>
        <w:tc>
          <w:tcPr>
            <w:tcW w:w="428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pacing w:after="0" w:line="106" w:lineRule="exact"/>
        <w:rPr>
          <w:sz w:val="24"/>
          <w:szCs w:val="24"/>
          <w:color w:val="auto"/>
        </w:rPr>
      </w:pPr>
    </w:p>
    <w:p>
      <w:pPr>
        <w:ind w:firstLine="439"/>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9" w:lineRule="exact"/>
        <w:rPr>
          <w:sz w:val="24"/>
          <w:szCs w:val="24"/>
          <w:color w:val="auto"/>
        </w:rPr>
      </w:pPr>
    </w:p>
    <w:p>
      <w:pPr>
        <w:ind w:right="4420" w:firstLine="439"/>
        <w:spacing w:after="0" w:line="19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As of October 29, 2021, 61,258,001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220345</wp:posOffset>
            </wp:positionV>
            <wp:extent cx="720217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2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940" w:type="dxa"/>
            <w:vAlign w:val="bottom"/>
            <w:gridSpan w:val="9"/>
          </w:tcPr>
          <w:p>
            <w:pPr>
              <w:ind w:left="640"/>
              <w:spacing w:after="0"/>
              <w:rPr>
                <w:sz w:val="20"/>
                <w:szCs w:val="20"/>
                <w:color w:val="auto"/>
              </w:rPr>
            </w:pPr>
            <w:r>
              <w:rPr>
                <w:rFonts w:ascii="Arial" w:cs="Arial" w:eastAsia="Arial" w:hAnsi="Arial"/>
                <w:sz w:val="12"/>
                <w:szCs w:val="12"/>
                <w:b w:val="1"/>
                <w:bCs w:val="1"/>
                <w:color w:val="auto"/>
              </w:rPr>
              <w:t>TABLE OF CONTENTS</w:t>
            </w:r>
          </w:p>
        </w:tc>
      </w:tr>
      <w:tr>
        <w:trPr>
          <w:trHeight w:val="147"/>
        </w:trPr>
        <w:tc>
          <w:tcPr>
            <w:tcW w:w="2740" w:type="dxa"/>
            <w:vAlign w:val="bottom"/>
          </w:tcPr>
          <w:p>
            <w:pPr>
              <w:ind w:left="20"/>
              <w:spacing w:after="0"/>
              <w:rPr>
                <w:sz w:val="20"/>
                <w:szCs w:val="20"/>
                <w:color w:val="auto"/>
              </w:rPr>
            </w:pPr>
            <w:r>
              <w:rPr>
                <w:rFonts w:ascii="Arial" w:cs="Arial" w:eastAsia="Arial" w:hAnsi="Arial"/>
                <w:sz w:val="12"/>
                <w:szCs w:val="12"/>
                <w:b w:val="1"/>
                <w:bCs w:val="1"/>
                <w:color w:val="auto"/>
              </w:rPr>
              <w:t>PART I.</w:t>
            </w:r>
          </w:p>
        </w:tc>
        <w:tc>
          <w:tcPr>
            <w:tcW w:w="8560" w:type="dxa"/>
            <w:vAlign w:val="bottom"/>
            <w:gridSpan w:val="17"/>
          </w:tcPr>
          <w:p>
            <w:pPr>
              <w:spacing w:after="0"/>
              <w:rPr>
                <w:rFonts w:ascii="Arial" w:cs="Arial" w:eastAsia="Arial" w:hAnsi="Arial"/>
                <w:sz w:val="12"/>
                <w:szCs w:val="12"/>
                <w:b w:val="1"/>
                <w:bCs w:val="1"/>
                <w:color w:val="0000FF"/>
              </w:rPr>
            </w:pPr>
            <w:hyperlink w:anchor="page4">
              <w:r>
                <w:rPr>
                  <w:rFonts w:ascii="Arial" w:cs="Arial" w:eastAsia="Arial" w:hAnsi="Arial"/>
                  <w:sz w:val="12"/>
                  <w:szCs w:val="12"/>
                  <w:b w:val="1"/>
                  <w:bCs w:val="1"/>
                  <w:color w:val="0000FF"/>
                </w:rPr>
                <w:t>FINANCIAL INFORMATION</w:t>
              </w:r>
            </w:hyperlink>
          </w:p>
        </w:tc>
      </w:tr>
      <w:tr>
        <w:trPr>
          <w:trHeight w:val="318"/>
        </w:trPr>
        <w:tc>
          <w:tcPr>
            <w:tcW w:w="2740" w:type="dxa"/>
            <w:vAlign w:val="bottom"/>
          </w:tcPr>
          <w:p>
            <w:pPr>
              <w:ind w:left="160"/>
              <w:spacing w:after="0"/>
              <w:rPr>
                <w:sz w:val="20"/>
                <w:szCs w:val="20"/>
                <w:color w:val="auto"/>
              </w:rPr>
            </w:pPr>
            <w:r>
              <w:rPr>
                <w:rFonts w:ascii="Arial" w:cs="Arial" w:eastAsia="Arial" w:hAnsi="Arial"/>
                <w:sz w:val="12"/>
                <w:szCs w:val="12"/>
                <w:color w:val="auto"/>
              </w:rPr>
              <w:t>Item 1.</w:t>
            </w:r>
          </w:p>
        </w:tc>
        <w:tc>
          <w:tcPr>
            <w:tcW w:w="1620" w:type="dxa"/>
            <w:vAlign w:val="bottom"/>
            <w:tcBorders>
              <w:top w:val="single" w:sz="8" w:color="0000FF"/>
            </w:tcBorders>
            <w:gridSpan w:val="8"/>
          </w:tcPr>
          <w:p>
            <w:pPr>
              <w:spacing w:after="0"/>
              <w:rPr>
                <w:rFonts w:ascii="Arial" w:cs="Arial" w:eastAsia="Arial" w:hAnsi="Arial"/>
                <w:sz w:val="12"/>
                <w:szCs w:val="12"/>
                <w:color w:val="0000FF"/>
              </w:rPr>
            </w:pPr>
            <w:hyperlink w:anchor="page5">
              <w:r>
                <w:rPr>
                  <w:rFonts w:ascii="Arial" w:cs="Arial" w:eastAsia="Arial" w:hAnsi="Arial"/>
                  <w:sz w:val="12"/>
                  <w:szCs w:val="12"/>
                  <w:color w:val="0000FF"/>
                </w:rPr>
                <w:t>Financial Statements</w:t>
              </w:r>
            </w:hyperlink>
          </w:p>
        </w:tc>
        <w:tc>
          <w:tcPr>
            <w:tcW w:w="6940" w:type="dxa"/>
            <w:vAlign w:val="bottom"/>
            <w:gridSpan w:val="9"/>
          </w:tcPr>
          <w:p>
            <w:pPr>
              <w:spacing w:after="0"/>
              <w:rPr>
                <w:sz w:val="24"/>
                <w:szCs w:val="24"/>
                <w:color w:val="auto"/>
              </w:rPr>
            </w:pPr>
          </w:p>
        </w:tc>
      </w:tr>
      <w:tr>
        <w:trPr>
          <w:trHeight w:val="20"/>
        </w:trPr>
        <w:tc>
          <w:tcPr>
            <w:tcW w:w="27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8"/>
        </w:trPr>
        <w:tc>
          <w:tcPr>
            <w:tcW w:w="2740" w:type="dxa"/>
            <w:vAlign w:val="bottom"/>
          </w:tcPr>
          <w:p>
            <w:pPr>
              <w:spacing w:after="0"/>
              <w:rPr>
                <w:sz w:val="24"/>
                <w:szCs w:val="24"/>
                <w:color w:val="auto"/>
              </w:rPr>
            </w:pPr>
          </w:p>
        </w:tc>
        <w:tc>
          <w:tcPr>
            <w:tcW w:w="4340" w:type="dxa"/>
            <w:vAlign w:val="bottom"/>
            <w:tcBorders>
              <w:bottom w:val="single" w:sz="8" w:color="0000FF"/>
            </w:tcBorders>
            <w:gridSpan w:val="12"/>
          </w:tcPr>
          <w:p>
            <w:pPr>
              <w:spacing w:after="0"/>
              <w:rPr>
                <w:rFonts w:ascii="Arial" w:cs="Arial" w:eastAsia="Arial" w:hAnsi="Arial"/>
                <w:sz w:val="12"/>
                <w:szCs w:val="12"/>
                <w:color w:val="0000FF"/>
                <w:w w:val="90"/>
              </w:rPr>
            </w:pPr>
            <w:hyperlink w:anchor="page5">
              <w:r>
                <w:rPr>
                  <w:rFonts w:ascii="Arial" w:cs="Arial" w:eastAsia="Arial" w:hAnsi="Arial"/>
                  <w:sz w:val="12"/>
                  <w:szCs w:val="12"/>
                  <w:color w:val="0000FF"/>
                  <w:w w:val="90"/>
                </w:rPr>
                <w:t xml:space="preserve">Consolidated Balance Sheets at </w:t>
              </w:r>
            </w:hyperlink>
            <w:r>
              <w:rPr>
                <w:rFonts w:ascii="Arial" w:cs="Arial" w:eastAsia="Arial" w:hAnsi="Arial"/>
                <w:sz w:val="12"/>
                <w:szCs w:val="12"/>
                <w:color w:val="0000FF"/>
                <w:w w:val="90"/>
              </w:rPr>
              <w:t>September 30, 2021 (unaudited) and December 31, 2020</w:t>
            </w:r>
          </w:p>
        </w:tc>
        <w:tc>
          <w:tcPr>
            <w:tcW w:w="4220" w:type="dxa"/>
            <w:vAlign w:val="bottom"/>
            <w:gridSpan w:val="5"/>
          </w:tcPr>
          <w:p>
            <w:pPr>
              <w:spacing w:after="0"/>
              <w:rPr>
                <w:sz w:val="24"/>
                <w:szCs w:val="24"/>
                <w:color w:val="auto"/>
              </w:rPr>
            </w:pPr>
          </w:p>
        </w:tc>
      </w:tr>
      <w:tr>
        <w:trPr>
          <w:trHeight w:val="318"/>
        </w:trPr>
        <w:tc>
          <w:tcPr>
            <w:tcW w:w="2740" w:type="dxa"/>
            <w:vAlign w:val="bottom"/>
          </w:tcPr>
          <w:p>
            <w:pPr>
              <w:spacing w:after="0"/>
              <w:rPr>
                <w:sz w:val="24"/>
                <w:szCs w:val="24"/>
                <w:color w:val="auto"/>
              </w:rPr>
            </w:pPr>
          </w:p>
        </w:tc>
        <w:tc>
          <w:tcPr>
            <w:tcW w:w="8560" w:type="dxa"/>
            <w:vAlign w:val="bottom"/>
            <w:gridSpan w:val="17"/>
          </w:tcPr>
          <w:p>
            <w:pPr>
              <w:spacing w:after="0"/>
              <w:rPr>
                <w:rFonts w:ascii="Arial" w:cs="Arial" w:eastAsia="Arial" w:hAnsi="Arial"/>
                <w:sz w:val="12"/>
                <w:szCs w:val="12"/>
                <w:color w:val="0000FF"/>
                <w:w w:val="99"/>
              </w:rPr>
            </w:pPr>
            <w:hyperlink w:anchor="page5">
              <w:r>
                <w:rPr>
                  <w:rFonts w:ascii="Arial" w:cs="Arial" w:eastAsia="Arial" w:hAnsi="Arial"/>
                  <w:sz w:val="12"/>
                  <w:szCs w:val="12"/>
                  <w:color w:val="0000FF"/>
                  <w:w w:val="99"/>
                </w:rPr>
                <w:t xml:space="preserve">Consolidated Statements of Operations and Comprehensive Loss for the three and nine months ended </w:t>
              </w:r>
            </w:hyperlink>
            <w:r>
              <w:rPr>
                <w:rFonts w:ascii="Arial" w:cs="Arial" w:eastAsia="Arial" w:hAnsi="Arial"/>
                <w:sz w:val="12"/>
                <w:szCs w:val="12"/>
                <w:color w:val="0000FF"/>
                <w:w w:val="99"/>
              </w:rPr>
              <w:t xml:space="preserve">September 30, 2021 </w:t>
            </w:r>
            <w:hyperlink w:anchor="page5">
              <w:r>
                <w:rPr>
                  <w:rFonts w:ascii="Arial" w:cs="Arial" w:eastAsia="Arial" w:hAnsi="Arial"/>
                  <w:sz w:val="12"/>
                  <w:szCs w:val="12"/>
                  <w:color w:val="0000FF"/>
                  <w:w w:val="99"/>
                </w:rPr>
                <w:t xml:space="preserve">and </w:t>
              </w:r>
            </w:hyperlink>
            <w:r>
              <w:rPr>
                <w:rFonts w:ascii="Arial" w:cs="Arial" w:eastAsia="Arial" w:hAnsi="Arial"/>
                <w:sz w:val="12"/>
                <w:szCs w:val="12"/>
                <w:color w:val="0000FF"/>
                <w:w w:val="99"/>
              </w:rPr>
              <w:t xml:space="preserve">September 30, 2020 </w:t>
            </w:r>
            <w:hyperlink w:anchor="page5">
              <w:r>
                <w:rPr>
                  <w:rFonts w:ascii="Arial" w:cs="Arial" w:eastAsia="Arial" w:hAnsi="Arial"/>
                  <w:sz w:val="12"/>
                  <w:szCs w:val="12"/>
                  <w:color w:val="0000FF"/>
                  <w:w w:val="99"/>
                </w:rPr>
                <w:t>(unaudited)</w:t>
              </w:r>
            </w:hyperlink>
          </w:p>
        </w:tc>
      </w:tr>
      <w:tr>
        <w:trPr>
          <w:trHeight w:val="318"/>
        </w:trPr>
        <w:tc>
          <w:tcPr>
            <w:tcW w:w="2740" w:type="dxa"/>
            <w:vAlign w:val="bottom"/>
          </w:tcPr>
          <w:p>
            <w:pPr>
              <w:spacing w:after="0"/>
              <w:rPr>
                <w:sz w:val="24"/>
                <w:szCs w:val="24"/>
                <w:color w:val="auto"/>
              </w:rPr>
            </w:pPr>
          </w:p>
        </w:tc>
        <w:tc>
          <w:tcPr>
            <w:tcW w:w="7760" w:type="dxa"/>
            <w:vAlign w:val="bottom"/>
            <w:tcBorders>
              <w:top w:val="single" w:sz="8" w:color="0000FF"/>
            </w:tcBorders>
            <w:gridSpan w:val="16"/>
          </w:tcPr>
          <w:p>
            <w:pPr>
              <w:spacing w:after="0"/>
              <w:rPr>
                <w:rFonts w:ascii="Arial" w:cs="Arial" w:eastAsia="Arial" w:hAnsi="Arial"/>
                <w:sz w:val="12"/>
                <w:szCs w:val="12"/>
                <w:color w:val="0000FF"/>
              </w:rPr>
            </w:pPr>
            <w:hyperlink w:anchor="page6">
              <w:r>
                <w:rPr>
                  <w:rFonts w:ascii="Arial" w:cs="Arial" w:eastAsia="Arial" w:hAnsi="Arial"/>
                  <w:sz w:val="12"/>
                  <w:szCs w:val="12"/>
                  <w:color w:val="0000FF"/>
                </w:rPr>
                <w:t xml:space="preserve">Consolidated Statements of Stockholders' Equity for the three and nine months ended </w:t>
              </w:r>
            </w:hyperlink>
            <w:r>
              <w:rPr>
                <w:rFonts w:ascii="Arial" w:cs="Arial" w:eastAsia="Arial" w:hAnsi="Arial"/>
                <w:sz w:val="12"/>
                <w:szCs w:val="12"/>
                <w:color w:val="0000FF"/>
              </w:rPr>
              <w:t xml:space="preserve">September 30, 2021 </w:t>
            </w:r>
            <w:hyperlink w:anchor="page6">
              <w:r>
                <w:rPr>
                  <w:rFonts w:ascii="Arial" w:cs="Arial" w:eastAsia="Arial" w:hAnsi="Arial"/>
                  <w:sz w:val="12"/>
                  <w:szCs w:val="12"/>
                  <w:color w:val="0000FF"/>
                </w:rPr>
                <w:t xml:space="preserve">and </w:t>
              </w:r>
            </w:hyperlink>
            <w:r>
              <w:rPr>
                <w:rFonts w:ascii="Arial" w:cs="Arial" w:eastAsia="Arial" w:hAnsi="Arial"/>
                <w:sz w:val="12"/>
                <w:szCs w:val="12"/>
                <w:color w:val="0000FF"/>
              </w:rPr>
              <w:t xml:space="preserve">September 30, 2020 </w:t>
            </w:r>
            <w:hyperlink w:anchor="page6">
              <w:r>
                <w:rPr>
                  <w:rFonts w:ascii="Arial" w:cs="Arial" w:eastAsia="Arial" w:hAnsi="Arial"/>
                  <w:sz w:val="12"/>
                  <w:szCs w:val="12"/>
                  <w:color w:val="0000FF"/>
                </w:rPr>
                <w:t>(unaudited)</w:t>
              </w:r>
            </w:hyperlink>
          </w:p>
        </w:tc>
        <w:tc>
          <w:tcPr>
            <w:tcW w:w="800" w:type="dxa"/>
            <w:vAlign w:val="bottom"/>
          </w:tcPr>
          <w:p>
            <w:pPr>
              <w:spacing w:after="0"/>
              <w:rPr>
                <w:sz w:val="24"/>
                <w:szCs w:val="24"/>
                <w:color w:val="auto"/>
              </w:rPr>
            </w:pPr>
          </w:p>
        </w:tc>
      </w:tr>
      <w:tr>
        <w:trPr>
          <w:trHeight w:val="318"/>
        </w:trPr>
        <w:tc>
          <w:tcPr>
            <w:tcW w:w="2740" w:type="dxa"/>
            <w:vAlign w:val="bottom"/>
          </w:tcPr>
          <w:p>
            <w:pPr>
              <w:spacing w:after="0"/>
              <w:rPr>
                <w:sz w:val="24"/>
                <w:szCs w:val="24"/>
                <w:color w:val="auto"/>
              </w:rPr>
            </w:pPr>
          </w:p>
        </w:tc>
        <w:tc>
          <w:tcPr>
            <w:tcW w:w="6980" w:type="dxa"/>
            <w:vAlign w:val="bottom"/>
            <w:tcBorders>
              <w:top w:val="single" w:sz="8" w:color="0000FF"/>
            </w:tcBorders>
            <w:gridSpan w:val="15"/>
          </w:tcPr>
          <w:p>
            <w:pPr>
              <w:spacing w:after="0"/>
              <w:rPr>
                <w:rFonts w:ascii="Arial" w:cs="Arial" w:eastAsia="Arial" w:hAnsi="Arial"/>
                <w:sz w:val="12"/>
                <w:szCs w:val="12"/>
                <w:color w:val="0000FF"/>
              </w:rPr>
            </w:pPr>
            <w:hyperlink w:anchor="page8">
              <w:r>
                <w:rPr>
                  <w:rFonts w:ascii="Arial" w:cs="Arial" w:eastAsia="Arial" w:hAnsi="Arial"/>
                  <w:sz w:val="12"/>
                  <w:szCs w:val="12"/>
                  <w:color w:val="0000FF"/>
                </w:rPr>
                <w:t xml:space="preserve">Consolidated Statements of Cash Flows for the nine months ended </w:t>
              </w:r>
            </w:hyperlink>
            <w:r>
              <w:rPr>
                <w:rFonts w:ascii="Arial" w:cs="Arial" w:eastAsia="Arial" w:hAnsi="Arial"/>
                <w:sz w:val="12"/>
                <w:szCs w:val="12"/>
                <w:color w:val="0000FF"/>
              </w:rPr>
              <w:t xml:space="preserve">September 30, 2021 </w:t>
            </w:r>
            <w:hyperlink w:anchor="page8">
              <w:r>
                <w:rPr>
                  <w:rFonts w:ascii="Arial" w:cs="Arial" w:eastAsia="Arial" w:hAnsi="Arial"/>
                  <w:sz w:val="12"/>
                  <w:szCs w:val="12"/>
                  <w:color w:val="0000FF"/>
                </w:rPr>
                <w:t xml:space="preserve">and </w:t>
              </w:r>
            </w:hyperlink>
            <w:r>
              <w:rPr>
                <w:rFonts w:ascii="Arial" w:cs="Arial" w:eastAsia="Arial" w:hAnsi="Arial"/>
                <w:sz w:val="12"/>
                <w:szCs w:val="12"/>
                <w:color w:val="0000FF"/>
              </w:rPr>
              <w:t xml:space="preserve">September 30, 2020 </w:t>
            </w:r>
            <w:hyperlink w:anchor="page8">
              <w:r>
                <w:rPr>
                  <w:rFonts w:ascii="Arial" w:cs="Arial" w:eastAsia="Arial" w:hAnsi="Arial"/>
                  <w:sz w:val="12"/>
                  <w:szCs w:val="12"/>
                  <w:color w:val="0000FF"/>
                </w:rPr>
                <w:t>(unaudited)</w:t>
              </w:r>
            </w:hyperlink>
          </w:p>
        </w:tc>
        <w:tc>
          <w:tcPr>
            <w:tcW w:w="1580" w:type="dxa"/>
            <w:vAlign w:val="bottom"/>
            <w:gridSpan w:val="2"/>
          </w:tcPr>
          <w:p>
            <w:pPr>
              <w:spacing w:after="0"/>
              <w:rPr>
                <w:sz w:val="24"/>
                <w:szCs w:val="24"/>
                <w:color w:val="auto"/>
              </w:rPr>
            </w:pPr>
          </w:p>
        </w:tc>
      </w:tr>
      <w:tr>
        <w:trPr>
          <w:trHeight w:val="318"/>
        </w:trPr>
        <w:tc>
          <w:tcPr>
            <w:tcW w:w="2740" w:type="dxa"/>
            <w:vAlign w:val="bottom"/>
          </w:tcPr>
          <w:p>
            <w:pPr>
              <w:spacing w:after="0"/>
              <w:rPr>
                <w:sz w:val="24"/>
                <w:szCs w:val="24"/>
                <w:color w:val="auto"/>
              </w:rPr>
            </w:pPr>
          </w:p>
        </w:tc>
        <w:tc>
          <w:tcPr>
            <w:tcW w:w="6060" w:type="dxa"/>
            <w:vAlign w:val="bottom"/>
            <w:tcBorders>
              <w:top w:val="single" w:sz="8" w:color="0000FF"/>
            </w:tcBorders>
            <w:gridSpan w:val="14"/>
          </w:tcPr>
          <w:p>
            <w:pPr>
              <w:spacing w:after="0"/>
              <w:rPr>
                <w:rFonts w:ascii="Arial" w:cs="Arial" w:eastAsia="Arial" w:hAnsi="Arial"/>
                <w:sz w:val="12"/>
                <w:szCs w:val="12"/>
                <w:color w:val="0000FF"/>
              </w:rPr>
            </w:pPr>
            <w:hyperlink w:anchor="page9">
              <w:r>
                <w:rPr>
                  <w:rFonts w:ascii="Arial" w:cs="Arial" w:eastAsia="Arial" w:hAnsi="Arial"/>
                  <w:sz w:val="12"/>
                  <w:szCs w:val="12"/>
                  <w:color w:val="0000FF"/>
                </w:rPr>
                <w:t>Notes to Consolidated Financial Statements (unaudited)</w:t>
              </w:r>
            </w:hyperlink>
          </w:p>
        </w:tc>
        <w:tc>
          <w:tcPr>
            <w:tcW w:w="2500" w:type="dxa"/>
            <w:vAlign w:val="bottom"/>
            <w:gridSpan w:val="3"/>
          </w:tcPr>
          <w:p>
            <w:pPr>
              <w:spacing w:after="0"/>
              <w:rPr>
                <w:sz w:val="24"/>
                <w:szCs w:val="24"/>
                <w:color w:val="auto"/>
              </w:rPr>
            </w:pPr>
          </w:p>
        </w:tc>
      </w:tr>
      <w:tr>
        <w:trPr>
          <w:trHeight w:val="20"/>
        </w:trPr>
        <w:tc>
          <w:tcPr>
            <w:tcW w:w="27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r>
      <w:tr>
        <w:trPr>
          <w:trHeight w:val="318"/>
        </w:trPr>
        <w:tc>
          <w:tcPr>
            <w:tcW w:w="2740" w:type="dxa"/>
            <w:vAlign w:val="bottom"/>
          </w:tcPr>
          <w:p>
            <w:pPr>
              <w:ind w:left="160"/>
              <w:spacing w:after="0"/>
              <w:rPr>
                <w:sz w:val="20"/>
                <w:szCs w:val="20"/>
                <w:color w:val="auto"/>
              </w:rPr>
            </w:pPr>
            <w:r>
              <w:rPr>
                <w:rFonts w:ascii="Arial" w:cs="Arial" w:eastAsia="Arial" w:hAnsi="Arial"/>
                <w:sz w:val="12"/>
                <w:szCs w:val="12"/>
                <w:color w:val="auto"/>
              </w:rPr>
              <w:t>Item 2.</w:t>
            </w:r>
          </w:p>
        </w:tc>
        <w:tc>
          <w:tcPr>
            <w:tcW w:w="8560" w:type="dxa"/>
            <w:vAlign w:val="bottom"/>
            <w:gridSpan w:val="17"/>
          </w:tcPr>
          <w:p>
            <w:pPr>
              <w:spacing w:after="0"/>
              <w:rPr>
                <w:rFonts w:ascii="Arial" w:cs="Arial" w:eastAsia="Arial" w:hAnsi="Arial"/>
                <w:sz w:val="12"/>
                <w:szCs w:val="12"/>
                <w:color w:val="0000FF"/>
              </w:rPr>
            </w:pPr>
            <w:hyperlink w:anchor="page22">
              <w:r>
                <w:rPr>
                  <w:rFonts w:ascii="Arial" w:cs="Arial" w:eastAsia="Arial" w:hAnsi="Arial"/>
                  <w:sz w:val="12"/>
                  <w:szCs w:val="12"/>
                  <w:color w:val="0000FF"/>
                </w:rPr>
                <w:t>Management's Discussion and Analysis of Financial Condition and Results of Operations</w:t>
              </w:r>
            </w:hyperlink>
          </w:p>
        </w:tc>
      </w:tr>
      <w:tr>
        <w:trPr>
          <w:trHeight w:val="318"/>
        </w:trPr>
        <w:tc>
          <w:tcPr>
            <w:tcW w:w="2740" w:type="dxa"/>
            <w:vAlign w:val="bottom"/>
          </w:tcPr>
          <w:p>
            <w:pPr>
              <w:ind w:left="160"/>
              <w:spacing w:after="0"/>
              <w:rPr>
                <w:sz w:val="20"/>
                <w:szCs w:val="20"/>
                <w:color w:val="auto"/>
              </w:rPr>
            </w:pPr>
            <w:r>
              <w:rPr>
                <w:rFonts w:ascii="Arial" w:cs="Arial" w:eastAsia="Arial" w:hAnsi="Arial"/>
                <w:sz w:val="12"/>
                <w:szCs w:val="12"/>
                <w:color w:val="auto"/>
              </w:rPr>
              <w:t>Item 3.</w:t>
            </w:r>
          </w:p>
        </w:tc>
        <w:tc>
          <w:tcPr>
            <w:tcW w:w="4360" w:type="dxa"/>
            <w:vAlign w:val="bottom"/>
            <w:tcBorders>
              <w:top w:val="single" w:sz="8" w:color="0000FF"/>
            </w:tcBorders>
            <w:gridSpan w:val="13"/>
          </w:tcPr>
          <w:p>
            <w:pPr>
              <w:spacing w:after="0"/>
              <w:rPr>
                <w:rFonts w:ascii="Arial" w:cs="Arial" w:eastAsia="Arial" w:hAnsi="Arial"/>
                <w:sz w:val="12"/>
                <w:szCs w:val="12"/>
                <w:color w:val="0000FF"/>
              </w:rPr>
            </w:pPr>
            <w:hyperlink w:anchor="page30">
              <w:r>
                <w:rPr>
                  <w:rFonts w:ascii="Arial" w:cs="Arial" w:eastAsia="Arial" w:hAnsi="Arial"/>
                  <w:sz w:val="12"/>
                  <w:szCs w:val="12"/>
                  <w:color w:val="0000FF"/>
                </w:rPr>
                <w:t>Quantitative and Qualitative Disclosures about Market Risk</w:t>
              </w:r>
            </w:hyperlink>
          </w:p>
        </w:tc>
        <w:tc>
          <w:tcPr>
            <w:tcW w:w="4200" w:type="dxa"/>
            <w:vAlign w:val="bottom"/>
            <w:gridSpan w:val="4"/>
          </w:tcPr>
          <w:p>
            <w:pPr>
              <w:spacing w:after="0"/>
              <w:rPr>
                <w:sz w:val="24"/>
                <w:szCs w:val="24"/>
                <w:color w:val="auto"/>
              </w:rPr>
            </w:pPr>
          </w:p>
        </w:tc>
      </w:tr>
      <w:tr>
        <w:trPr>
          <w:trHeight w:val="318"/>
        </w:trPr>
        <w:tc>
          <w:tcPr>
            <w:tcW w:w="2740" w:type="dxa"/>
            <w:vAlign w:val="bottom"/>
          </w:tcPr>
          <w:p>
            <w:pPr>
              <w:ind w:left="160"/>
              <w:spacing w:after="0"/>
              <w:rPr>
                <w:sz w:val="20"/>
                <w:szCs w:val="20"/>
                <w:color w:val="auto"/>
              </w:rPr>
            </w:pPr>
            <w:r>
              <w:rPr>
                <w:rFonts w:ascii="Arial" w:cs="Arial" w:eastAsia="Arial" w:hAnsi="Arial"/>
                <w:sz w:val="12"/>
                <w:szCs w:val="12"/>
                <w:color w:val="auto"/>
              </w:rPr>
              <w:t>Item 4.</w:t>
            </w:r>
          </w:p>
        </w:tc>
        <w:tc>
          <w:tcPr>
            <w:tcW w:w="2920" w:type="dxa"/>
            <w:vAlign w:val="bottom"/>
            <w:tcBorders>
              <w:top w:val="single" w:sz="8" w:color="0000FF"/>
            </w:tcBorders>
            <w:gridSpan w:val="10"/>
          </w:tcPr>
          <w:p>
            <w:pPr>
              <w:spacing w:after="0"/>
              <w:rPr>
                <w:rFonts w:ascii="Arial" w:cs="Arial" w:eastAsia="Arial" w:hAnsi="Arial"/>
                <w:sz w:val="12"/>
                <w:szCs w:val="12"/>
                <w:color w:val="0000FF"/>
              </w:rPr>
            </w:pPr>
            <w:hyperlink w:anchor="page31">
              <w:r>
                <w:rPr>
                  <w:rFonts w:ascii="Arial" w:cs="Arial" w:eastAsia="Arial" w:hAnsi="Arial"/>
                  <w:sz w:val="12"/>
                  <w:szCs w:val="12"/>
                  <w:color w:val="0000FF"/>
                </w:rPr>
                <w:t>Controls and Procedures</w:t>
              </w:r>
            </w:hyperlink>
          </w:p>
        </w:tc>
        <w:tc>
          <w:tcPr>
            <w:tcW w:w="5640" w:type="dxa"/>
            <w:vAlign w:val="bottom"/>
            <w:gridSpan w:val="7"/>
          </w:tcPr>
          <w:p>
            <w:pPr>
              <w:spacing w:after="0"/>
              <w:rPr>
                <w:sz w:val="24"/>
                <w:szCs w:val="24"/>
                <w:color w:val="auto"/>
              </w:rPr>
            </w:pPr>
          </w:p>
        </w:tc>
      </w:tr>
      <w:tr>
        <w:trPr>
          <w:trHeight w:val="20"/>
        </w:trPr>
        <w:tc>
          <w:tcPr>
            <w:tcW w:w="27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5620" w:type="dxa"/>
            <w:vAlign w:val="bottom"/>
            <w:gridSpan w:val="6"/>
          </w:tcPr>
          <w:p>
            <w:pPr>
              <w:spacing w:after="0" w:line="20" w:lineRule="exact"/>
              <w:rPr>
                <w:sz w:val="1"/>
                <w:szCs w:val="1"/>
                <w:color w:val="auto"/>
              </w:rPr>
            </w:pPr>
          </w:p>
        </w:tc>
      </w:tr>
      <w:tr>
        <w:trPr>
          <w:trHeight w:val="318"/>
        </w:trPr>
        <w:tc>
          <w:tcPr>
            <w:tcW w:w="2740" w:type="dxa"/>
            <w:vAlign w:val="bottom"/>
          </w:tcPr>
          <w:p>
            <w:pPr>
              <w:ind w:left="20"/>
              <w:spacing w:after="0"/>
              <w:rPr>
                <w:sz w:val="20"/>
                <w:szCs w:val="20"/>
                <w:color w:val="auto"/>
              </w:rPr>
            </w:pPr>
            <w:r>
              <w:rPr>
                <w:rFonts w:ascii="Arial" w:cs="Arial" w:eastAsia="Arial" w:hAnsi="Arial"/>
                <w:sz w:val="12"/>
                <w:szCs w:val="12"/>
                <w:b w:val="1"/>
                <w:bCs w:val="1"/>
                <w:color w:val="auto"/>
              </w:rPr>
              <w:t>PART II.</w:t>
            </w:r>
          </w:p>
        </w:tc>
        <w:tc>
          <w:tcPr>
            <w:tcW w:w="1380" w:type="dxa"/>
            <w:vAlign w:val="bottom"/>
            <w:tcBorders>
              <w:bottom w:val="single" w:sz="8" w:color="0000FF"/>
            </w:tcBorders>
            <w:gridSpan w:val="7"/>
          </w:tcPr>
          <w:p>
            <w:pPr>
              <w:spacing w:after="0"/>
              <w:rPr>
                <w:rFonts w:ascii="Arial" w:cs="Arial" w:eastAsia="Arial" w:hAnsi="Arial"/>
                <w:sz w:val="12"/>
                <w:szCs w:val="12"/>
                <w:b w:val="1"/>
                <w:bCs w:val="1"/>
                <w:color w:val="0000FF"/>
              </w:rPr>
            </w:pPr>
            <w:hyperlink w:anchor="page31">
              <w:r>
                <w:rPr>
                  <w:rFonts w:ascii="Arial" w:cs="Arial" w:eastAsia="Arial" w:hAnsi="Arial"/>
                  <w:sz w:val="12"/>
                  <w:szCs w:val="12"/>
                  <w:b w:val="1"/>
                  <w:bCs w:val="1"/>
                  <w:color w:val="0000FF"/>
                </w:rPr>
                <w:t>OTHER INFORMATION</w:t>
              </w:r>
            </w:hyperlink>
          </w:p>
        </w:tc>
        <w:tc>
          <w:tcPr>
            <w:tcW w:w="7180" w:type="dxa"/>
            <w:vAlign w:val="bottom"/>
            <w:gridSpan w:val="10"/>
          </w:tcPr>
          <w:p>
            <w:pPr>
              <w:spacing w:after="0"/>
              <w:rPr>
                <w:sz w:val="24"/>
                <w:szCs w:val="24"/>
                <w:color w:val="auto"/>
              </w:rPr>
            </w:pPr>
          </w:p>
        </w:tc>
      </w:tr>
      <w:tr>
        <w:trPr>
          <w:trHeight w:val="318"/>
        </w:trPr>
        <w:tc>
          <w:tcPr>
            <w:tcW w:w="2740" w:type="dxa"/>
            <w:vAlign w:val="bottom"/>
          </w:tcPr>
          <w:p>
            <w:pPr>
              <w:ind w:left="160"/>
              <w:spacing w:after="0"/>
              <w:rPr>
                <w:sz w:val="20"/>
                <w:szCs w:val="20"/>
                <w:color w:val="auto"/>
              </w:rPr>
            </w:pPr>
            <w:r>
              <w:rPr>
                <w:rFonts w:ascii="Arial" w:cs="Arial" w:eastAsia="Arial" w:hAnsi="Arial"/>
                <w:sz w:val="12"/>
                <w:szCs w:val="12"/>
                <w:color w:val="auto"/>
              </w:rPr>
              <w:t>Item 1.</w:t>
            </w:r>
          </w:p>
        </w:tc>
        <w:tc>
          <w:tcPr>
            <w:tcW w:w="8560" w:type="dxa"/>
            <w:vAlign w:val="bottom"/>
            <w:gridSpan w:val="17"/>
          </w:tcPr>
          <w:p>
            <w:pPr>
              <w:spacing w:after="0"/>
              <w:rPr>
                <w:rFonts w:ascii="Arial" w:cs="Arial" w:eastAsia="Arial" w:hAnsi="Arial"/>
                <w:sz w:val="12"/>
                <w:szCs w:val="12"/>
                <w:color w:val="0000FF"/>
              </w:rPr>
            </w:pPr>
            <w:hyperlink w:anchor="page31">
              <w:r>
                <w:rPr>
                  <w:rFonts w:ascii="Arial" w:cs="Arial" w:eastAsia="Arial" w:hAnsi="Arial"/>
                  <w:sz w:val="12"/>
                  <w:szCs w:val="12"/>
                  <w:color w:val="0000FF"/>
                </w:rPr>
                <w:t>Legal Proceedings</w:t>
              </w:r>
            </w:hyperlink>
          </w:p>
        </w:tc>
      </w:tr>
      <w:tr>
        <w:trPr>
          <w:trHeight w:val="309"/>
        </w:trPr>
        <w:tc>
          <w:tcPr>
            <w:tcW w:w="2740" w:type="dxa"/>
            <w:vAlign w:val="bottom"/>
          </w:tcPr>
          <w:p>
            <w:pPr>
              <w:ind w:left="160"/>
              <w:spacing w:after="0"/>
              <w:rPr>
                <w:sz w:val="20"/>
                <w:szCs w:val="20"/>
                <w:color w:val="auto"/>
              </w:rPr>
            </w:pPr>
            <w:r>
              <w:rPr>
                <w:rFonts w:ascii="Arial" w:cs="Arial" w:eastAsia="Arial" w:hAnsi="Arial"/>
                <w:sz w:val="12"/>
                <w:szCs w:val="12"/>
                <w:color w:val="auto"/>
              </w:rPr>
              <w:t>Item 1A.</w:t>
            </w:r>
          </w:p>
        </w:tc>
        <w:tc>
          <w:tcPr>
            <w:tcW w:w="620" w:type="dxa"/>
            <w:vAlign w:val="bottom"/>
            <w:tcBorders>
              <w:top w:val="single" w:sz="8" w:color="0000FF"/>
              <w:bottom w:val="single" w:sz="8" w:color="0000FF"/>
            </w:tcBorders>
            <w:gridSpan w:val="3"/>
          </w:tcPr>
          <w:p>
            <w:pPr>
              <w:spacing w:after="0"/>
              <w:rPr>
                <w:rFonts w:ascii="Arial" w:cs="Arial" w:eastAsia="Arial" w:hAnsi="Arial"/>
                <w:sz w:val="12"/>
                <w:szCs w:val="12"/>
                <w:color w:val="0000FF"/>
                <w:w w:val="89"/>
              </w:rPr>
            </w:pPr>
            <w:hyperlink w:anchor="page31">
              <w:r>
                <w:rPr>
                  <w:rFonts w:ascii="Arial" w:cs="Arial" w:eastAsia="Arial" w:hAnsi="Arial"/>
                  <w:sz w:val="12"/>
                  <w:szCs w:val="12"/>
                  <w:color w:val="0000FF"/>
                  <w:w w:val="89"/>
                </w:rPr>
                <w:t>Risk Factors</w:t>
              </w:r>
            </w:hyperlink>
          </w:p>
        </w:tc>
        <w:tc>
          <w:tcPr>
            <w:tcW w:w="280" w:type="dxa"/>
            <w:vAlign w:val="bottom"/>
            <w:tcBorders>
              <w:top w:val="single" w:sz="8" w:color="0000FF"/>
            </w:tcBorders>
          </w:tcPr>
          <w:p>
            <w:pPr>
              <w:spacing w:after="0"/>
              <w:rPr>
                <w:sz w:val="24"/>
                <w:szCs w:val="24"/>
                <w:color w:val="auto"/>
              </w:rPr>
            </w:pPr>
          </w:p>
        </w:tc>
        <w:tc>
          <w:tcPr>
            <w:tcW w:w="7660" w:type="dxa"/>
            <w:vAlign w:val="bottom"/>
            <w:gridSpan w:val="13"/>
          </w:tcPr>
          <w:p>
            <w:pPr>
              <w:spacing w:after="0"/>
              <w:rPr>
                <w:sz w:val="24"/>
                <w:szCs w:val="24"/>
                <w:color w:val="auto"/>
              </w:rPr>
            </w:pPr>
          </w:p>
        </w:tc>
      </w:tr>
      <w:tr>
        <w:trPr>
          <w:trHeight w:val="428"/>
        </w:trPr>
        <w:tc>
          <w:tcPr>
            <w:tcW w:w="2740" w:type="dxa"/>
            <w:vAlign w:val="bottom"/>
          </w:tcPr>
          <w:p>
            <w:pPr>
              <w:ind w:left="160"/>
              <w:spacing w:after="0"/>
              <w:rPr>
                <w:sz w:val="20"/>
                <w:szCs w:val="20"/>
                <w:color w:val="auto"/>
              </w:rPr>
            </w:pPr>
            <w:r>
              <w:rPr>
                <w:rFonts w:ascii="Arial" w:cs="Arial" w:eastAsia="Arial" w:hAnsi="Arial"/>
                <w:sz w:val="12"/>
                <w:szCs w:val="12"/>
                <w:color w:val="auto"/>
              </w:rPr>
              <w:t>Item 2.</w:t>
            </w:r>
          </w:p>
        </w:tc>
        <w:tc>
          <w:tcPr>
            <w:tcW w:w="8560" w:type="dxa"/>
            <w:vAlign w:val="bottom"/>
            <w:gridSpan w:val="17"/>
          </w:tcPr>
          <w:p>
            <w:pPr>
              <w:spacing w:after="0"/>
              <w:rPr>
                <w:rFonts w:ascii="Arial" w:cs="Arial" w:eastAsia="Arial" w:hAnsi="Arial"/>
                <w:sz w:val="12"/>
                <w:szCs w:val="12"/>
                <w:color w:val="0000FF"/>
              </w:rPr>
            </w:pPr>
            <w:hyperlink w:anchor="page31">
              <w:r>
                <w:rPr>
                  <w:rFonts w:ascii="Arial" w:cs="Arial" w:eastAsia="Arial" w:hAnsi="Arial"/>
                  <w:sz w:val="12"/>
                  <w:szCs w:val="12"/>
                  <w:color w:val="0000FF"/>
                </w:rPr>
                <w:t>Unregistered Sales of Equity Securities and Use of Proceeds</w:t>
              </w:r>
            </w:hyperlink>
          </w:p>
        </w:tc>
      </w:tr>
      <w:tr>
        <w:trPr>
          <w:trHeight w:val="318"/>
        </w:trPr>
        <w:tc>
          <w:tcPr>
            <w:tcW w:w="2740" w:type="dxa"/>
            <w:vAlign w:val="bottom"/>
          </w:tcPr>
          <w:p>
            <w:pPr>
              <w:ind w:left="160"/>
              <w:spacing w:after="0"/>
              <w:rPr>
                <w:sz w:val="20"/>
                <w:szCs w:val="20"/>
                <w:color w:val="auto"/>
              </w:rPr>
            </w:pPr>
            <w:r>
              <w:rPr>
                <w:rFonts w:ascii="Arial" w:cs="Arial" w:eastAsia="Arial" w:hAnsi="Arial"/>
                <w:sz w:val="12"/>
                <w:szCs w:val="12"/>
                <w:color w:val="auto"/>
              </w:rPr>
              <w:t>Item 6.</w:t>
            </w:r>
          </w:p>
        </w:tc>
        <w:tc>
          <w:tcPr>
            <w:tcW w:w="420" w:type="dxa"/>
            <w:vAlign w:val="bottom"/>
            <w:tcBorders>
              <w:top w:val="single" w:sz="8" w:color="0000FF"/>
              <w:bottom w:val="single" w:sz="8" w:color="0000FF"/>
            </w:tcBorders>
          </w:tcPr>
          <w:p>
            <w:pPr>
              <w:spacing w:after="0"/>
              <w:rPr>
                <w:rFonts w:ascii="Arial" w:cs="Arial" w:eastAsia="Arial" w:hAnsi="Arial"/>
                <w:sz w:val="12"/>
                <w:szCs w:val="12"/>
                <w:color w:val="0000FF"/>
                <w:w w:val="95"/>
              </w:rPr>
            </w:pPr>
            <w:hyperlink w:anchor="page31">
              <w:r>
                <w:rPr>
                  <w:rFonts w:ascii="Arial" w:cs="Arial" w:eastAsia="Arial" w:hAnsi="Arial"/>
                  <w:sz w:val="12"/>
                  <w:szCs w:val="12"/>
                  <w:color w:val="0000FF"/>
                  <w:w w:val="95"/>
                </w:rPr>
                <w:t>Exhibits</w:t>
              </w:r>
            </w:hyperlink>
          </w:p>
        </w:tc>
        <w:tc>
          <w:tcPr>
            <w:tcW w:w="2520" w:type="dxa"/>
            <w:vAlign w:val="bottom"/>
            <w:tcBorders>
              <w:top w:val="single" w:sz="8" w:color="0000FF"/>
            </w:tcBorders>
            <w:gridSpan w:val="10"/>
          </w:tcPr>
          <w:p>
            <w:pPr>
              <w:spacing w:after="0"/>
              <w:rPr>
                <w:sz w:val="24"/>
                <w:szCs w:val="24"/>
                <w:color w:val="auto"/>
              </w:rPr>
            </w:pPr>
          </w:p>
        </w:tc>
        <w:tc>
          <w:tcPr>
            <w:tcW w:w="5620" w:type="dxa"/>
            <w:vAlign w:val="bottom"/>
            <w:gridSpan w:val="6"/>
          </w:tcPr>
          <w:p>
            <w:pPr>
              <w:spacing w:after="0"/>
              <w:rPr>
                <w:sz w:val="24"/>
                <w:szCs w:val="24"/>
                <w:color w:val="auto"/>
              </w:rPr>
            </w:pPr>
          </w:p>
        </w:tc>
      </w:tr>
      <w:tr>
        <w:trPr>
          <w:trHeight w:val="318"/>
        </w:trPr>
        <w:tc>
          <w:tcPr>
            <w:tcW w:w="2740" w:type="dxa"/>
            <w:vAlign w:val="bottom"/>
          </w:tcPr>
          <w:p>
            <w:pPr>
              <w:spacing w:after="0"/>
              <w:rPr>
                <w:sz w:val="24"/>
                <w:szCs w:val="24"/>
                <w:color w:val="auto"/>
              </w:rPr>
            </w:pPr>
          </w:p>
        </w:tc>
        <w:tc>
          <w:tcPr>
            <w:tcW w:w="8560" w:type="dxa"/>
            <w:vAlign w:val="bottom"/>
            <w:gridSpan w:val="17"/>
          </w:tcPr>
          <w:p>
            <w:pPr>
              <w:spacing w:after="0"/>
              <w:rPr>
                <w:rFonts w:ascii="Arial" w:cs="Arial" w:eastAsia="Arial" w:hAnsi="Arial"/>
                <w:sz w:val="12"/>
                <w:szCs w:val="12"/>
                <w:color w:val="0000FF"/>
              </w:rPr>
            </w:pPr>
            <w:hyperlink w:anchor="page32">
              <w:r>
                <w:rPr>
                  <w:rFonts w:ascii="Arial" w:cs="Arial" w:eastAsia="Arial" w:hAnsi="Arial"/>
                  <w:sz w:val="12"/>
                  <w:szCs w:val="12"/>
                  <w:color w:val="0000FF"/>
                </w:rPr>
                <w:t>Signatures</w:t>
              </w:r>
            </w:hyperlink>
          </w:p>
        </w:tc>
      </w:tr>
      <w:tr>
        <w:trPr>
          <w:trHeight w:val="967"/>
        </w:trPr>
        <w:tc>
          <w:tcPr>
            <w:tcW w:w="2740" w:type="dxa"/>
            <w:vAlign w:val="bottom"/>
            <w:tcBorders>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75"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t>FORWARD-LOOKING STATEMENTS</w:t>
      </w:r>
    </w:p>
    <w:p>
      <w:pPr>
        <w:spacing w:after="0" w:line="122" w:lineRule="exact"/>
        <w:rPr>
          <w:sz w:val="20"/>
          <w:szCs w:val="20"/>
          <w:color w:val="auto"/>
        </w:rPr>
      </w:pPr>
    </w:p>
    <w:p>
      <w:pPr>
        <w:ind w:firstLine="439"/>
        <w:spacing w:after="0" w:line="261" w:lineRule="auto"/>
        <w:rPr>
          <w:sz w:val="20"/>
          <w:szCs w:val="20"/>
          <w:color w:val="auto"/>
        </w:rPr>
      </w:pPr>
      <w:r>
        <w:rPr>
          <w:rFonts w:ascii="Arial" w:cs="Arial" w:eastAsia="Arial" w:hAnsi="Arial"/>
          <w:sz w:val="12"/>
          <w:szCs w:val="12"/>
          <w:color w:val="auto"/>
        </w:rPr>
        <w:t>This report includes forward-looking statements within the meaning of Section 27A of the Securities Act of 1933 and Section 21E of the Securities Exchange Act of 1934. Forward-looking statements include statements that may relate to our plans, objectives, goals, strategies, future events, future revenues or performance, capital expenditures, financing needs and other information that is not historical information. Many of these statements appear, in particular, under the headings "Risk Factors" and "Management's Discussion and Analysis of Financial Condition and Results of Operations" in this Quarterly Report on Form 10-Q. Forward-looking statements can often be identified by the use of terminology such as "subject to", "believe", "anticipate", "plan", "expect", "intend", "estimate", "project", "may", "will", "should", "would", "could", "can", the negatives thereof, variations thereon and similar expressions, or by discussions of strategy.</w:t>
      </w:r>
    </w:p>
    <w:p>
      <w:pPr>
        <w:spacing w:after="0" w:line="90" w:lineRule="exact"/>
        <w:rPr>
          <w:sz w:val="20"/>
          <w:szCs w:val="20"/>
          <w:color w:val="auto"/>
        </w:rPr>
      </w:pPr>
    </w:p>
    <w:p>
      <w:pPr>
        <w:ind w:right="60" w:firstLine="439"/>
        <w:spacing w:after="0" w:line="263" w:lineRule="auto"/>
        <w:rPr>
          <w:sz w:val="20"/>
          <w:szCs w:val="20"/>
          <w:color w:val="auto"/>
        </w:rPr>
      </w:pPr>
      <w:r>
        <w:rPr>
          <w:rFonts w:ascii="Arial" w:cs="Arial" w:eastAsia="Arial" w:hAnsi="Arial"/>
          <w:sz w:val="12"/>
          <w:szCs w:val="12"/>
          <w:color w:val="auto"/>
        </w:rPr>
        <w:t>All forward-looking statements, including, without limitation, our examination of historical operating trends, are based upon our current expectations and various assumptions. 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set forth under "Item 1A. Risk Factors" of our Annual Report on Form 10-K for the year ended December 31, 2020), could affect future performance and cause actual results to differ materially from those matters expressed in or implied by forward-looking statements:</w:t>
      </w:r>
    </w:p>
    <w:p>
      <w:pPr>
        <w:spacing w:after="0" w:line="90" w:lineRule="exact"/>
        <w:rPr>
          <w:sz w:val="20"/>
          <w:szCs w:val="20"/>
          <w:color w:val="auto"/>
        </w:rPr>
      </w:pPr>
    </w:p>
    <w:p>
      <w:pPr>
        <w:ind w:left="340" w:hanging="225"/>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severity and duration of the impact of the COVID-19 global pandemic on our business, operations, clinical programs, manufacturing, financial results and other aspects of our business;</w:t>
      </w:r>
    </w:p>
    <w:p>
      <w:pPr>
        <w:spacing w:after="0" w:line="81" w:lineRule="exact"/>
        <w:rPr>
          <w:rFonts w:ascii="Arial" w:cs="Arial" w:eastAsia="Arial" w:hAnsi="Arial"/>
          <w:sz w:val="12"/>
          <w:szCs w:val="12"/>
          <w:color w:val="auto"/>
        </w:rPr>
      </w:pPr>
    </w:p>
    <w:p>
      <w:pPr>
        <w:ind w:left="340" w:hanging="225"/>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commercialize MARGENZA and our plans to develop and commercialize our product candidates;</w:t>
      </w:r>
    </w:p>
    <w:p>
      <w:pPr>
        <w:spacing w:after="0" w:line="81" w:lineRule="exact"/>
        <w:rPr>
          <w:rFonts w:ascii="Arial" w:cs="Arial" w:eastAsia="Arial" w:hAnsi="Arial"/>
          <w:sz w:val="12"/>
          <w:szCs w:val="12"/>
          <w:color w:val="auto"/>
        </w:rPr>
      </w:pPr>
    </w:p>
    <w:p>
      <w:pPr>
        <w:ind w:left="340" w:hanging="225"/>
        <w:spacing w:after="0"/>
        <w:tabs>
          <w:tab w:leader="none" w:pos="340" w:val="left"/>
        </w:tabs>
        <w:numPr>
          <w:ilvl w:val="0"/>
          <w:numId w:val="3"/>
        </w:numPr>
        <w:rPr>
          <w:rFonts w:ascii="Arial" w:cs="Arial" w:eastAsia="Arial" w:hAnsi="Arial"/>
          <w:sz w:val="11"/>
          <w:szCs w:val="11"/>
          <w:color w:val="auto"/>
        </w:rPr>
      </w:pPr>
      <w:r>
        <w:rPr>
          <w:rFonts w:ascii="Arial" w:cs="Arial" w:eastAsia="Arial" w:hAnsi="Arial"/>
          <w:sz w:val="11"/>
          <w:szCs w:val="11"/>
          <w:color w:val="auto"/>
        </w:rPr>
        <w:t>our ability to develop and successfully maintain sales and commercial distribution capabilities or establish or maintain relationships with third-party collaborators to successfully commercialize any of our product candidates;</w:t>
      </w:r>
    </w:p>
    <w:p>
      <w:pPr>
        <w:spacing w:after="0" w:line="92" w:lineRule="exact"/>
        <w:rPr>
          <w:rFonts w:ascii="Arial" w:cs="Arial" w:eastAsia="Arial" w:hAnsi="Arial"/>
          <w:sz w:val="11"/>
          <w:szCs w:val="11"/>
          <w:color w:val="auto"/>
        </w:rPr>
      </w:pPr>
    </w:p>
    <w:p>
      <w:pPr>
        <w:ind w:left="340" w:hanging="225"/>
        <w:spacing w:after="0"/>
        <w:tabs>
          <w:tab w:leader="none" w:pos="34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outcomes of our ongoing and planned clinical trials and the timing of those outcomes, including when clinical trials will be initiated or completed, and when data will be reported or regulatory filings will be made;</w:t>
      </w:r>
    </w:p>
    <w:p>
      <w:pPr>
        <w:spacing w:after="0" w:line="92" w:lineRule="exact"/>
        <w:rPr>
          <w:rFonts w:ascii="Arial" w:cs="Arial" w:eastAsia="Arial" w:hAnsi="Arial"/>
          <w:sz w:val="11"/>
          <w:szCs w:val="11"/>
          <w:color w:val="auto"/>
        </w:rPr>
      </w:pPr>
    </w:p>
    <w:p>
      <w:pPr>
        <w:ind w:left="340" w:hanging="225"/>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timing of and our ability to obtain and maintain regulatory approvals for MARGENZA and our product candidates and the labeling for any approved products;</w:t>
      </w:r>
    </w:p>
    <w:p>
      <w:pPr>
        <w:spacing w:after="0" w:line="81" w:lineRule="exact"/>
        <w:rPr>
          <w:rFonts w:ascii="Arial" w:cs="Arial" w:eastAsia="Arial" w:hAnsi="Arial"/>
          <w:sz w:val="12"/>
          <w:szCs w:val="12"/>
          <w:color w:val="auto"/>
        </w:rPr>
      </w:pPr>
    </w:p>
    <w:p>
      <w:pPr>
        <w:ind w:left="340" w:hanging="225"/>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estimates regarding expenses, future revenue, capital requirements and needs for additional financing;</w:t>
      </w:r>
    </w:p>
    <w:p>
      <w:pPr>
        <w:spacing w:after="0" w:line="81" w:lineRule="exact"/>
        <w:rPr>
          <w:rFonts w:ascii="Arial" w:cs="Arial" w:eastAsia="Arial" w:hAnsi="Arial"/>
          <w:sz w:val="12"/>
          <w:szCs w:val="12"/>
          <w:color w:val="auto"/>
        </w:rPr>
      </w:pPr>
    </w:p>
    <w:p>
      <w:pPr>
        <w:ind w:left="340" w:hanging="225"/>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raise additional capital through the capital markets or through one or more corporate partnerships, equity offerings, debt financings, collaborations, licensing arrangements or asset sales;</w:t>
      </w:r>
    </w:p>
    <w:p>
      <w:pPr>
        <w:spacing w:after="0" w:line="81" w:lineRule="exact"/>
        <w:rPr>
          <w:rFonts w:ascii="Arial" w:cs="Arial" w:eastAsia="Arial" w:hAnsi="Arial"/>
          <w:sz w:val="12"/>
          <w:szCs w:val="12"/>
          <w:color w:val="auto"/>
        </w:rPr>
      </w:pPr>
    </w:p>
    <w:p>
      <w:pPr>
        <w:ind w:left="340" w:hanging="225"/>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expectations regarding product candidates currently being developed by our collaborators;</w:t>
      </w:r>
    </w:p>
    <w:p>
      <w:pPr>
        <w:spacing w:after="0" w:line="81" w:lineRule="exact"/>
        <w:rPr>
          <w:rFonts w:ascii="Arial" w:cs="Arial" w:eastAsia="Arial" w:hAnsi="Arial"/>
          <w:sz w:val="12"/>
          <w:szCs w:val="12"/>
          <w:color w:val="auto"/>
        </w:rPr>
      </w:pPr>
    </w:p>
    <w:p>
      <w:pPr>
        <w:ind w:left="340" w:hanging="225"/>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enter into new collaborations or to identify additional products or product candidates with significant commercial potential that are consistent with our commercial objectives;</w:t>
      </w:r>
    </w:p>
    <w:p>
      <w:pPr>
        <w:spacing w:after="0" w:line="81" w:lineRule="exact"/>
        <w:rPr>
          <w:rFonts w:ascii="Arial" w:cs="Arial" w:eastAsia="Arial" w:hAnsi="Arial"/>
          <w:sz w:val="12"/>
          <w:szCs w:val="12"/>
          <w:color w:val="auto"/>
        </w:rPr>
      </w:pPr>
    </w:p>
    <w:p>
      <w:pPr>
        <w:ind w:left="340" w:hanging="225"/>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potential benefits and future operation of our existing collaborations;</w:t>
      </w:r>
    </w:p>
    <w:p>
      <w:pPr>
        <w:spacing w:after="0" w:line="81" w:lineRule="exact"/>
        <w:rPr>
          <w:rFonts w:ascii="Arial" w:cs="Arial" w:eastAsia="Arial" w:hAnsi="Arial"/>
          <w:sz w:val="12"/>
          <w:szCs w:val="12"/>
          <w:color w:val="auto"/>
        </w:rPr>
      </w:pPr>
    </w:p>
    <w:p>
      <w:pPr>
        <w:ind w:left="340" w:hanging="225"/>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recover the investment in our manufacturing capabilities;</w:t>
      </w:r>
    </w:p>
    <w:p>
      <w:pPr>
        <w:spacing w:after="0" w:line="81" w:lineRule="exact"/>
        <w:rPr>
          <w:rFonts w:ascii="Arial" w:cs="Arial" w:eastAsia="Arial" w:hAnsi="Arial"/>
          <w:sz w:val="12"/>
          <w:szCs w:val="12"/>
          <w:color w:val="auto"/>
        </w:rPr>
      </w:pPr>
    </w:p>
    <w:p>
      <w:pPr>
        <w:ind w:left="340" w:hanging="225"/>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rate and degree of market acceptance and clinical utility of our products;</w:t>
      </w:r>
    </w:p>
    <w:p>
      <w:pPr>
        <w:spacing w:after="0" w:line="81" w:lineRule="exact"/>
        <w:rPr>
          <w:rFonts w:ascii="Arial" w:cs="Arial" w:eastAsia="Arial" w:hAnsi="Arial"/>
          <w:sz w:val="12"/>
          <w:szCs w:val="12"/>
          <w:color w:val="auto"/>
        </w:rPr>
      </w:pPr>
    </w:p>
    <w:p>
      <w:pPr>
        <w:ind w:left="340" w:hanging="225"/>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commercialization, marketing and manufacturing capabilities and strategy;</w:t>
      </w:r>
    </w:p>
    <w:p>
      <w:pPr>
        <w:spacing w:after="0" w:line="81" w:lineRule="exact"/>
        <w:rPr>
          <w:rFonts w:ascii="Arial" w:cs="Arial" w:eastAsia="Arial" w:hAnsi="Arial"/>
          <w:sz w:val="12"/>
          <w:szCs w:val="12"/>
          <w:color w:val="auto"/>
        </w:rPr>
      </w:pPr>
    </w:p>
    <w:p>
      <w:pPr>
        <w:ind w:left="340" w:hanging="225"/>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significant competition in our industry;</w:t>
      </w:r>
    </w:p>
    <w:p>
      <w:pPr>
        <w:spacing w:after="0" w:line="81" w:lineRule="exact"/>
        <w:rPr>
          <w:rFonts w:ascii="Arial" w:cs="Arial" w:eastAsia="Arial" w:hAnsi="Arial"/>
          <w:sz w:val="12"/>
          <w:szCs w:val="12"/>
          <w:color w:val="auto"/>
        </w:rPr>
      </w:pPr>
    </w:p>
    <w:p>
      <w:pPr>
        <w:ind w:left="340" w:hanging="225"/>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costs of litigation and the failure to successfully defend lawsuits and other claims against us and our expectations regarding the outcome of any regulatory or legal proceedings;</w:t>
      </w:r>
    </w:p>
    <w:p>
      <w:pPr>
        <w:spacing w:after="0" w:line="81" w:lineRule="exact"/>
        <w:rPr>
          <w:rFonts w:ascii="Arial" w:cs="Arial" w:eastAsia="Arial" w:hAnsi="Arial"/>
          <w:sz w:val="12"/>
          <w:szCs w:val="12"/>
          <w:color w:val="auto"/>
        </w:rPr>
      </w:pPr>
    </w:p>
    <w:p>
      <w:pPr>
        <w:ind w:left="340" w:hanging="225"/>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economic, political and other risks associated with our international operations;</w:t>
      </w:r>
    </w:p>
    <w:p>
      <w:pPr>
        <w:spacing w:after="0" w:line="81" w:lineRule="exact"/>
        <w:rPr>
          <w:rFonts w:ascii="Arial" w:cs="Arial" w:eastAsia="Arial" w:hAnsi="Arial"/>
          <w:sz w:val="12"/>
          <w:szCs w:val="12"/>
          <w:color w:val="auto"/>
        </w:rPr>
      </w:pPr>
    </w:p>
    <w:p>
      <w:pPr>
        <w:ind w:left="340" w:hanging="225"/>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receive research funding and achieve anticipated milestones under our collaborations;</w:t>
      </w:r>
    </w:p>
    <w:p>
      <w:pPr>
        <w:spacing w:after="0" w:line="81" w:lineRule="exact"/>
        <w:rPr>
          <w:rFonts w:ascii="Arial" w:cs="Arial" w:eastAsia="Arial" w:hAnsi="Arial"/>
          <w:sz w:val="12"/>
          <w:szCs w:val="12"/>
          <w:color w:val="auto"/>
        </w:rPr>
      </w:pPr>
    </w:p>
    <w:p>
      <w:pPr>
        <w:ind w:left="340" w:hanging="225"/>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protect and enforce patents and other intellectual property;</w:t>
      </w:r>
    </w:p>
    <w:p>
      <w:pPr>
        <w:spacing w:after="0" w:line="81" w:lineRule="exact"/>
        <w:rPr>
          <w:rFonts w:ascii="Arial" w:cs="Arial" w:eastAsia="Arial" w:hAnsi="Arial"/>
          <w:sz w:val="12"/>
          <w:szCs w:val="12"/>
          <w:color w:val="auto"/>
        </w:rPr>
      </w:pPr>
    </w:p>
    <w:p>
      <w:pPr>
        <w:ind w:left="340" w:hanging="225"/>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costs of compliance and our failure to comply with new and existing governmental regulations including, but not limited to, tax regulations;</w:t>
      </w:r>
    </w:p>
    <w:p>
      <w:pPr>
        <w:spacing w:after="0" w:line="81" w:lineRule="exact"/>
        <w:rPr>
          <w:rFonts w:ascii="Arial" w:cs="Arial" w:eastAsia="Arial" w:hAnsi="Arial"/>
          <w:sz w:val="12"/>
          <w:szCs w:val="12"/>
          <w:color w:val="auto"/>
        </w:rPr>
      </w:pPr>
    </w:p>
    <w:p>
      <w:pPr>
        <w:ind w:left="340" w:hanging="225"/>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loss or retirement of key members of management;</w:t>
      </w:r>
    </w:p>
    <w:p>
      <w:pPr>
        <w:spacing w:after="0" w:line="81" w:lineRule="exact"/>
        <w:rPr>
          <w:rFonts w:ascii="Arial" w:cs="Arial" w:eastAsia="Arial" w:hAnsi="Arial"/>
          <w:sz w:val="12"/>
          <w:szCs w:val="12"/>
          <w:color w:val="auto"/>
        </w:rPr>
      </w:pPr>
    </w:p>
    <w:p>
      <w:pPr>
        <w:ind w:left="340" w:hanging="225"/>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failure to successfully execute our growth strategy, including any delays in our planned future growth;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438785</wp:posOffset>
            </wp:positionV>
            <wp:extent cx="720217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60"/>
          </w:cols>
          <w:pgMar w:left="300" w:top="675" w:right="339" w:bottom="1440" w:gutter="0" w:footer="0" w:header="0"/>
        </w:sectPr>
      </w:pPr>
    </w:p>
    <w:bookmarkStart w:id="3" w:name="page4"/>
    <w:bookmarkEnd w:id="3"/>
    <w:p>
      <w:pPr>
        <w:ind w:left="340" w:hanging="225"/>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failure to maintain effective internal controls.</w:t>
      </w:r>
    </w:p>
    <w:p>
      <w:pPr>
        <w:spacing w:after="0" w:line="81"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Consequently, forward-looking statements speak only as of the date that they are made and should be regarded solely as our current plans, estimates and beliefs. You should not place undue reliance on forward-looking statements. We cannot guarantee future results, events, levels of activity, performance or achievements. Except as required by law, we do not undertake and specifically decline any obligation to update, republish or revise forward-looking statements to reflect future events or circumstances or to reflect the occurrences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441960</wp:posOffset>
            </wp:positionV>
            <wp:extent cx="720217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140"/>
          </w:cols>
          <w:pgMar w:left="300" w:top="679" w:right="459" w:bottom="1440" w:gutter="0" w:footer="0" w:header="0"/>
        </w:sectPr>
      </w:pPr>
    </w:p>
    <w:bookmarkStart w:id="4" w:name="page5"/>
    <w:bookmarkEnd w:id="4"/>
    <w:p>
      <w:pPr>
        <w:ind w:left="4600"/>
        <w:spacing w:after="0"/>
        <w:rPr>
          <w:sz w:val="20"/>
          <w:szCs w:val="20"/>
          <w:color w:val="auto"/>
        </w:rPr>
      </w:pPr>
      <w:r>
        <w:rPr>
          <w:rFonts w:ascii="Arial" w:cs="Arial" w:eastAsia="Arial" w:hAnsi="Arial"/>
          <w:sz w:val="12"/>
          <w:szCs w:val="12"/>
          <w:b w:val="1"/>
          <w:bCs w:val="1"/>
          <w:color w:val="auto"/>
        </w:rPr>
        <w:t>PART I. FINANCIAL INFORMATION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2"/>
          <w:szCs w:val="12"/>
          <w:b w:val="1"/>
          <w:bCs w:val="1"/>
          <w:color w:val="auto"/>
        </w:rPr>
        <w:t>ITEM 1. FINANCIAL STATEMENTS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MACROGENICS,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20" w:type="dxa"/>
            <w:vAlign w:val="bottom"/>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September 30, 2021</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b w:val="1"/>
                <w:bCs w:val="1"/>
                <w:color w:val="auto"/>
              </w:rPr>
              <w:t>December 31, 2020</w:t>
            </w:r>
          </w:p>
        </w:tc>
        <w:tc>
          <w:tcPr>
            <w:tcW w:w="0" w:type="dxa"/>
            <w:vAlign w:val="bottom"/>
          </w:tcPr>
          <w:p>
            <w:pPr>
              <w:spacing w:after="0"/>
              <w:rPr>
                <w:sz w:val="1"/>
                <w:szCs w:val="1"/>
                <w:color w:val="auto"/>
              </w:rPr>
            </w:pPr>
          </w:p>
        </w:tc>
      </w:tr>
      <w:tr>
        <w:trPr>
          <w:trHeight w:val="145"/>
        </w:trPr>
        <w:tc>
          <w:tcPr>
            <w:tcW w:w="6820" w:type="dxa"/>
            <w:vAlign w:val="bottom"/>
          </w:tcPr>
          <w:p>
            <w:pPr>
              <w:spacing w:after="0"/>
              <w:rPr>
                <w:sz w:val="12"/>
                <w:szCs w:val="12"/>
                <w:color w:val="auto"/>
              </w:rPr>
            </w:pPr>
          </w:p>
        </w:tc>
        <w:tc>
          <w:tcPr>
            <w:tcW w:w="1620" w:type="dxa"/>
            <w:vAlign w:val="bottom"/>
          </w:tcPr>
          <w:p>
            <w:pPr>
              <w:jc w:val="right"/>
              <w:ind w:right="159"/>
              <w:spacing w:after="0"/>
              <w:rPr>
                <w:sz w:val="20"/>
                <w:szCs w:val="20"/>
                <w:color w:val="auto"/>
              </w:rPr>
            </w:pPr>
            <w:r>
              <w:rPr>
                <w:rFonts w:ascii="Arial" w:cs="Arial" w:eastAsia="Arial" w:hAnsi="Arial"/>
                <w:sz w:val="12"/>
                <w:szCs w:val="12"/>
                <w:b w:val="1"/>
                <w:bCs w:val="1"/>
                <w:color w:val="auto"/>
              </w:rPr>
              <w:t>(unaudited)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8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1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20" w:type="dxa"/>
            <w:vAlign w:val="bottom"/>
          </w:tcPr>
          <w:p>
            <w:pPr>
              <w:spacing w:after="0"/>
              <w:rPr>
                <w:sz w:val="20"/>
                <w:szCs w:val="20"/>
                <w:color w:val="auto"/>
              </w:rPr>
            </w:pPr>
            <w:r>
              <w:rPr>
                <w:rFonts w:ascii="Arial" w:cs="Arial" w:eastAsia="Arial" w:hAnsi="Arial"/>
                <w:sz w:val="12"/>
                <w:szCs w:val="12"/>
                <w:color w:val="auto"/>
              </w:rPr>
              <w:t>Current assets:</w:t>
            </w:r>
          </w:p>
        </w:tc>
        <w:tc>
          <w:tcPr>
            <w:tcW w:w="1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Cash and cash equivalents</w:t>
            </w:r>
          </w:p>
        </w:tc>
        <w:tc>
          <w:tcPr>
            <w:tcW w:w="1620" w:type="dxa"/>
            <w:vAlign w:val="bottom"/>
            <w:shd w:val="clear" w:color="auto" w:fill="CCEEFF"/>
          </w:tcPr>
          <w:p>
            <w:pPr>
              <w:jc w:val="right"/>
              <w:ind w:right="1479"/>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190,531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181,131</w:t>
            </w:r>
          </w:p>
        </w:tc>
        <w:tc>
          <w:tcPr>
            <w:tcW w:w="0" w:type="dxa"/>
            <w:vAlign w:val="bottom"/>
          </w:tcPr>
          <w:p>
            <w:pPr>
              <w:spacing w:after="0"/>
              <w:rPr>
                <w:sz w:val="1"/>
                <w:szCs w:val="1"/>
                <w:color w:val="auto"/>
              </w:rPr>
            </w:pPr>
          </w:p>
        </w:tc>
      </w:tr>
      <w:tr>
        <w:trPr>
          <w:trHeight w:val="155"/>
        </w:trPr>
        <w:tc>
          <w:tcPr>
            <w:tcW w:w="6820" w:type="dxa"/>
            <w:vAlign w:val="bottom"/>
          </w:tcPr>
          <w:p>
            <w:pPr>
              <w:ind w:left="80"/>
              <w:spacing w:after="0"/>
              <w:rPr>
                <w:sz w:val="20"/>
                <w:szCs w:val="20"/>
                <w:color w:val="auto"/>
              </w:rPr>
            </w:pPr>
            <w:r>
              <w:rPr>
                <w:rFonts w:ascii="Arial" w:cs="Arial" w:eastAsia="Arial" w:hAnsi="Arial"/>
                <w:sz w:val="12"/>
                <w:szCs w:val="12"/>
                <w:color w:val="auto"/>
              </w:rPr>
              <w:t>Marketable securities</w:t>
            </w:r>
          </w:p>
        </w:tc>
        <w:tc>
          <w:tcPr>
            <w:tcW w:w="16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108,367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91,400</w:t>
            </w:r>
          </w:p>
        </w:tc>
        <w:tc>
          <w:tcPr>
            <w:tcW w:w="0" w:type="dxa"/>
            <w:vAlign w:val="bottom"/>
          </w:tcPr>
          <w:p>
            <w:pPr>
              <w:spacing w:after="0"/>
              <w:rPr>
                <w:sz w:val="1"/>
                <w:szCs w:val="1"/>
                <w:color w:val="auto"/>
              </w:rPr>
            </w:pPr>
          </w:p>
        </w:tc>
      </w:tr>
      <w:tr>
        <w:trPr>
          <w:trHeight w:val="156"/>
        </w:trPr>
        <w:tc>
          <w:tcPr>
            <w:tcW w:w="6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Accounts receivable</w:t>
            </w:r>
          </w:p>
        </w:tc>
        <w:tc>
          <w:tcPr>
            <w:tcW w:w="16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13,759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23,081</w:t>
            </w:r>
          </w:p>
        </w:tc>
        <w:tc>
          <w:tcPr>
            <w:tcW w:w="0" w:type="dxa"/>
            <w:vAlign w:val="bottom"/>
          </w:tcPr>
          <w:p>
            <w:pPr>
              <w:spacing w:after="0"/>
              <w:rPr>
                <w:sz w:val="1"/>
                <w:szCs w:val="1"/>
                <w:color w:val="auto"/>
              </w:rPr>
            </w:pPr>
          </w:p>
        </w:tc>
      </w:tr>
      <w:tr>
        <w:trPr>
          <w:trHeight w:val="155"/>
        </w:trPr>
        <w:tc>
          <w:tcPr>
            <w:tcW w:w="6820" w:type="dxa"/>
            <w:vAlign w:val="bottom"/>
          </w:tcPr>
          <w:p>
            <w:pPr>
              <w:ind w:left="80"/>
              <w:spacing w:after="0"/>
              <w:rPr>
                <w:sz w:val="20"/>
                <w:szCs w:val="20"/>
                <w:color w:val="auto"/>
              </w:rPr>
            </w:pPr>
            <w:r>
              <w:rPr>
                <w:rFonts w:ascii="Arial" w:cs="Arial" w:eastAsia="Arial" w:hAnsi="Arial"/>
                <w:sz w:val="12"/>
                <w:szCs w:val="12"/>
                <w:color w:val="auto"/>
              </w:rPr>
              <w:t>Inventory, net</w:t>
            </w:r>
          </w:p>
        </w:tc>
        <w:tc>
          <w:tcPr>
            <w:tcW w:w="16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3,979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6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Prepaid expenses and other current assets</w:t>
            </w:r>
          </w:p>
        </w:tc>
        <w:tc>
          <w:tcPr>
            <w:tcW w:w="16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18,062</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16,982</w:t>
            </w:r>
          </w:p>
        </w:tc>
        <w:tc>
          <w:tcPr>
            <w:tcW w:w="0" w:type="dxa"/>
            <w:vAlign w:val="bottom"/>
          </w:tcPr>
          <w:p>
            <w:pPr>
              <w:spacing w:after="0"/>
              <w:rPr>
                <w:sz w:val="1"/>
                <w:szCs w:val="1"/>
                <w:color w:val="auto"/>
              </w:rPr>
            </w:pPr>
          </w:p>
        </w:tc>
      </w:tr>
      <w:tr>
        <w:trPr>
          <w:trHeight w:val="144"/>
        </w:trPr>
        <w:tc>
          <w:tcPr>
            <w:tcW w:w="6820" w:type="dxa"/>
            <w:vAlign w:val="bottom"/>
          </w:tcPr>
          <w:p>
            <w:pPr>
              <w:spacing w:after="0" w:line="135" w:lineRule="exact"/>
              <w:rPr>
                <w:sz w:val="20"/>
                <w:szCs w:val="20"/>
                <w:color w:val="auto"/>
              </w:rPr>
            </w:pPr>
            <w:r>
              <w:rPr>
                <w:rFonts w:ascii="Arial" w:cs="Arial" w:eastAsia="Arial" w:hAnsi="Arial"/>
                <w:sz w:val="12"/>
                <w:szCs w:val="12"/>
                <w:color w:val="auto"/>
              </w:rPr>
              <w:t>Total current assets</w:t>
            </w:r>
          </w:p>
        </w:tc>
        <w:tc>
          <w:tcPr>
            <w:tcW w:w="16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334,698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312,594</w:t>
            </w:r>
          </w:p>
        </w:tc>
        <w:tc>
          <w:tcPr>
            <w:tcW w:w="0" w:type="dxa"/>
            <w:vAlign w:val="bottom"/>
          </w:tcPr>
          <w:p>
            <w:pPr>
              <w:spacing w:after="0"/>
              <w:rPr>
                <w:sz w:val="1"/>
                <w:szCs w:val="1"/>
                <w:color w:val="auto"/>
              </w:rPr>
            </w:pPr>
          </w:p>
        </w:tc>
      </w:tr>
      <w:tr>
        <w:trPr>
          <w:trHeight w:val="156"/>
        </w:trPr>
        <w:tc>
          <w:tcPr>
            <w:tcW w:w="6820" w:type="dxa"/>
            <w:vAlign w:val="bottom"/>
            <w:shd w:val="clear" w:color="auto" w:fill="CCEEFF"/>
          </w:tcPr>
          <w:p>
            <w:pPr>
              <w:spacing w:after="0"/>
              <w:rPr>
                <w:sz w:val="20"/>
                <w:szCs w:val="20"/>
                <w:color w:val="auto"/>
              </w:rPr>
            </w:pPr>
            <w:r>
              <w:rPr>
                <w:rFonts w:ascii="Arial" w:cs="Arial" w:eastAsia="Arial" w:hAnsi="Arial"/>
                <w:sz w:val="12"/>
                <w:szCs w:val="12"/>
                <w:color w:val="auto"/>
              </w:rPr>
              <w:t>Property, equipment and software, net</w:t>
            </w:r>
          </w:p>
        </w:tc>
        <w:tc>
          <w:tcPr>
            <w:tcW w:w="16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38,684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42,225</w:t>
            </w:r>
          </w:p>
        </w:tc>
        <w:tc>
          <w:tcPr>
            <w:tcW w:w="0" w:type="dxa"/>
            <w:vAlign w:val="bottom"/>
          </w:tcPr>
          <w:p>
            <w:pPr>
              <w:spacing w:after="0"/>
              <w:rPr>
                <w:sz w:val="1"/>
                <w:szCs w:val="1"/>
                <w:color w:val="auto"/>
              </w:rPr>
            </w:pPr>
          </w:p>
        </w:tc>
      </w:tr>
      <w:tr>
        <w:trPr>
          <w:trHeight w:val="155"/>
        </w:trPr>
        <w:tc>
          <w:tcPr>
            <w:tcW w:w="68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assets</w:t>
            </w:r>
          </w:p>
        </w:tc>
        <w:tc>
          <w:tcPr>
            <w:tcW w:w="16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18,778</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23,924</w:t>
            </w:r>
          </w:p>
        </w:tc>
        <w:tc>
          <w:tcPr>
            <w:tcW w:w="0" w:type="dxa"/>
            <w:vAlign w:val="bottom"/>
          </w:tcPr>
          <w:p>
            <w:pPr>
              <w:spacing w:after="0"/>
              <w:rPr>
                <w:sz w:val="1"/>
                <w:szCs w:val="1"/>
                <w:color w:val="auto"/>
              </w:rPr>
            </w:pPr>
          </w:p>
        </w:tc>
      </w:tr>
      <w:tr>
        <w:trPr>
          <w:trHeight w:val="161"/>
        </w:trPr>
        <w:tc>
          <w:tcPr>
            <w:tcW w:w="682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Total assets</w:t>
            </w:r>
          </w:p>
        </w:tc>
        <w:tc>
          <w:tcPr>
            <w:tcW w:w="1620" w:type="dxa"/>
            <w:vAlign w:val="bottom"/>
            <w:tcBorders>
              <w:bottom w:val="single" w:sz="8" w:color="auto"/>
            </w:tcBorders>
            <w:shd w:val="clear" w:color="auto" w:fill="CCEEFF"/>
          </w:tcPr>
          <w:p>
            <w:pPr>
              <w:jc w:val="right"/>
              <w:ind w:right="1479"/>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392,160</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378,743</w:t>
            </w:r>
          </w:p>
        </w:tc>
        <w:tc>
          <w:tcPr>
            <w:tcW w:w="0" w:type="dxa"/>
            <w:vAlign w:val="bottom"/>
          </w:tcPr>
          <w:p>
            <w:pPr>
              <w:spacing w:after="0"/>
              <w:rPr>
                <w:sz w:val="1"/>
                <w:szCs w:val="1"/>
                <w:color w:val="auto"/>
              </w:rPr>
            </w:pPr>
          </w:p>
        </w:tc>
      </w:tr>
      <w:tr>
        <w:trPr>
          <w:trHeight w:val="164"/>
        </w:trPr>
        <w:tc>
          <w:tcPr>
            <w:tcW w:w="6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1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20" w:type="dxa"/>
            <w:vAlign w:val="bottom"/>
          </w:tcPr>
          <w:p>
            <w:pPr>
              <w:spacing w:after="0"/>
              <w:rPr>
                <w:sz w:val="20"/>
                <w:szCs w:val="20"/>
                <w:color w:val="auto"/>
              </w:rPr>
            </w:pPr>
            <w:r>
              <w:rPr>
                <w:rFonts w:ascii="Arial" w:cs="Arial" w:eastAsia="Arial" w:hAnsi="Arial"/>
                <w:sz w:val="12"/>
                <w:szCs w:val="12"/>
                <w:color w:val="auto"/>
              </w:rPr>
              <w:t>Current liabilities:</w:t>
            </w:r>
          </w:p>
        </w:tc>
        <w:tc>
          <w:tcPr>
            <w:tcW w:w="1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Accounts payable</w:t>
            </w:r>
          </w:p>
        </w:tc>
        <w:tc>
          <w:tcPr>
            <w:tcW w:w="1620" w:type="dxa"/>
            <w:vAlign w:val="bottom"/>
            <w:shd w:val="clear" w:color="auto" w:fill="CCEEFF"/>
          </w:tcPr>
          <w:p>
            <w:pPr>
              <w:jc w:val="right"/>
              <w:ind w:right="1479"/>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6,170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8,031</w:t>
            </w:r>
          </w:p>
        </w:tc>
        <w:tc>
          <w:tcPr>
            <w:tcW w:w="0" w:type="dxa"/>
            <w:vAlign w:val="bottom"/>
          </w:tcPr>
          <w:p>
            <w:pPr>
              <w:spacing w:after="0"/>
              <w:rPr>
                <w:sz w:val="1"/>
                <w:szCs w:val="1"/>
                <w:color w:val="auto"/>
              </w:rPr>
            </w:pPr>
          </w:p>
        </w:tc>
      </w:tr>
      <w:tr>
        <w:trPr>
          <w:trHeight w:val="155"/>
        </w:trPr>
        <w:tc>
          <w:tcPr>
            <w:tcW w:w="6820" w:type="dxa"/>
            <w:vAlign w:val="bottom"/>
          </w:tcPr>
          <w:p>
            <w:pPr>
              <w:ind w:left="80"/>
              <w:spacing w:after="0"/>
              <w:rPr>
                <w:sz w:val="20"/>
                <w:szCs w:val="20"/>
                <w:color w:val="auto"/>
              </w:rPr>
            </w:pPr>
            <w:r>
              <w:rPr>
                <w:rFonts w:ascii="Arial" w:cs="Arial" w:eastAsia="Arial" w:hAnsi="Arial"/>
                <w:sz w:val="12"/>
                <w:szCs w:val="12"/>
                <w:color w:val="auto"/>
              </w:rPr>
              <w:t>Accrued expenses and other current liabilities</w:t>
            </w:r>
          </w:p>
        </w:tc>
        <w:tc>
          <w:tcPr>
            <w:tcW w:w="16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41,859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34,198</w:t>
            </w:r>
          </w:p>
        </w:tc>
        <w:tc>
          <w:tcPr>
            <w:tcW w:w="0" w:type="dxa"/>
            <w:vAlign w:val="bottom"/>
          </w:tcPr>
          <w:p>
            <w:pPr>
              <w:spacing w:after="0"/>
              <w:rPr>
                <w:sz w:val="1"/>
                <w:szCs w:val="1"/>
                <w:color w:val="auto"/>
              </w:rPr>
            </w:pPr>
          </w:p>
        </w:tc>
      </w:tr>
      <w:tr>
        <w:trPr>
          <w:trHeight w:val="156"/>
        </w:trPr>
        <w:tc>
          <w:tcPr>
            <w:tcW w:w="6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Deferred revenue</w:t>
            </w:r>
          </w:p>
        </w:tc>
        <w:tc>
          <w:tcPr>
            <w:tcW w:w="16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16,314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4,456</w:t>
            </w:r>
          </w:p>
        </w:tc>
        <w:tc>
          <w:tcPr>
            <w:tcW w:w="0" w:type="dxa"/>
            <w:vAlign w:val="bottom"/>
          </w:tcPr>
          <w:p>
            <w:pPr>
              <w:spacing w:after="0"/>
              <w:rPr>
                <w:sz w:val="1"/>
                <w:szCs w:val="1"/>
                <w:color w:val="auto"/>
              </w:rPr>
            </w:pPr>
          </w:p>
        </w:tc>
      </w:tr>
      <w:tr>
        <w:trPr>
          <w:trHeight w:val="155"/>
        </w:trPr>
        <w:tc>
          <w:tcPr>
            <w:tcW w:w="68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Lease liabilities</w:t>
            </w:r>
          </w:p>
        </w:tc>
        <w:tc>
          <w:tcPr>
            <w:tcW w:w="16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4,521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3,988</w:t>
            </w:r>
          </w:p>
        </w:tc>
        <w:tc>
          <w:tcPr>
            <w:tcW w:w="0" w:type="dxa"/>
            <w:vAlign w:val="bottom"/>
          </w:tcPr>
          <w:p>
            <w:pPr>
              <w:spacing w:after="0"/>
              <w:rPr>
                <w:sz w:val="1"/>
                <w:szCs w:val="1"/>
                <w:color w:val="auto"/>
              </w:rPr>
            </w:pPr>
          </w:p>
        </w:tc>
      </w:tr>
      <w:tr>
        <w:trPr>
          <w:trHeight w:val="145"/>
        </w:trPr>
        <w:tc>
          <w:tcPr>
            <w:tcW w:w="6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Total current liabilities</w:t>
            </w:r>
          </w:p>
        </w:tc>
        <w:tc>
          <w:tcPr>
            <w:tcW w:w="16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68,864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50,673</w:t>
            </w:r>
          </w:p>
        </w:tc>
        <w:tc>
          <w:tcPr>
            <w:tcW w:w="0" w:type="dxa"/>
            <w:vAlign w:val="bottom"/>
          </w:tcPr>
          <w:p>
            <w:pPr>
              <w:spacing w:after="0"/>
              <w:rPr>
                <w:sz w:val="1"/>
                <w:szCs w:val="1"/>
                <w:color w:val="auto"/>
              </w:rPr>
            </w:pPr>
          </w:p>
        </w:tc>
      </w:tr>
      <w:tr>
        <w:trPr>
          <w:trHeight w:val="155"/>
        </w:trPr>
        <w:tc>
          <w:tcPr>
            <w:tcW w:w="6820" w:type="dxa"/>
            <w:vAlign w:val="bottom"/>
          </w:tcPr>
          <w:p>
            <w:pPr>
              <w:spacing w:after="0"/>
              <w:rPr>
                <w:sz w:val="20"/>
                <w:szCs w:val="20"/>
                <w:color w:val="auto"/>
              </w:rPr>
            </w:pPr>
            <w:r>
              <w:rPr>
                <w:rFonts w:ascii="Arial" w:cs="Arial" w:eastAsia="Arial" w:hAnsi="Arial"/>
                <w:sz w:val="12"/>
                <w:szCs w:val="12"/>
                <w:color w:val="auto"/>
              </w:rPr>
              <w:t>Deferred revenue, net of current portion</w:t>
            </w:r>
          </w:p>
        </w:tc>
        <w:tc>
          <w:tcPr>
            <w:tcW w:w="16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9,575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6,926</w:t>
            </w:r>
          </w:p>
        </w:tc>
        <w:tc>
          <w:tcPr>
            <w:tcW w:w="0" w:type="dxa"/>
            <w:vAlign w:val="bottom"/>
          </w:tcPr>
          <w:p>
            <w:pPr>
              <w:spacing w:after="0"/>
              <w:rPr>
                <w:sz w:val="1"/>
                <w:szCs w:val="1"/>
                <w:color w:val="auto"/>
              </w:rPr>
            </w:pPr>
          </w:p>
        </w:tc>
      </w:tr>
      <w:tr>
        <w:trPr>
          <w:trHeight w:val="156"/>
        </w:trPr>
        <w:tc>
          <w:tcPr>
            <w:tcW w:w="6820" w:type="dxa"/>
            <w:vAlign w:val="bottom"/>
            <w:shd w:val="clear" w:color="auto" w:fill="CCEEFF"/>
          </w:tcPr>
          <w:p>
            <w:pPr>
              <w:spacing w:after="0"/>
              <w:rPr>
                <w:sz w:val="20"/>
                <w:szCs w:val="20"/>
                <w:color w:val="auto"/>
              </w:rPr>
            </w:pPr>
            <w:r>
              <w:rPr>
                <w:rFonts w:ascii="Arial" w:cs="Arial" w:eastAsia="Arial" w:hAnsi="Arial"/>
                <w:sz w:val="12"/>
                <w:szCs w:val="12"/>
                <w:color w:val="auto"/>
              </w:rPr>
              <w:t>Lease liabilities, net of current portion</w:t>
            </w:r>
          </w:p>
        </w:tc>
        <w:tc>
          <w:tcPr>
            <w:tcW w:w="16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22,025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25,260</w:t>
            </w:r>
          </w:p>
        </w:tc>
        <w:tc>
          <w:tcPr>
            <w:tcW w:w="0" w:type="dxa"/>
            <w:vAlign w:val="bottom"/>
          </w:tcPr>
          <w:p>
            <w:pPr>
              <w:spacing w:after="0"/>
              <w:rPr>
                <w:sz w:val="1"/>
                <w:szCs w:val="1"/>
                <w:color w:val="auto"/>
              </w:rPr>
            </w:pPr>
          </w:p>
        </w:tc>
      </w:tr>
      <w:tr>
        <w:trPr>
          <w:trHeight w:val="155"/>
        </w:trPr>
        <w:tc>
          <w:tcPr>
            <w:tcW w:w="68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non current liabilities</w:t>
            </w:r>
          </w:p>
        </w:tc>
        <w:tc>
          <w:tcPr>
            <w:tcW w:w="16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258</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6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Total liabilities</w:t>
            </w:r>
          </w:p>
        </w:tc>
        <w:tc>
          <w:tcPr>
            <w:tcW w:w="16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100,722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82,859</w:t>
            </w:r>
          </w:p>
        </w:tc>
        <w:tc>
          <w:tcPr>
            <w:tcW w:w="0" w:type="dxa"/>
            <w:vAlign w:val="bottom"/>
          </w:tcPr>
          <w:p>
            <w:pPr>
              <w:spacing w:after="0"/>
              <w:rPr>
                <w:sz w:val="1"/>
                <w:szCs w:val="1"/>
                <w:color w:val="auto"/>
              </w:rPr>
            </w:pPr>
          </w:p>
        </w:tc>
      </w:tr>
      <w:tr>
        <w:trPr>
          <w:trHeight w:val="155"/>
        </w:trPr>
        <w:tc>
          <w:tcPr>
            <w:tcW w:w="6820" w:type="dxa"/>
            <w:vAlign w:val="bottom"/>
          </w:tcPr>
          <w:p>
            <w:pPr>
              <w:spacing w:after="0"/>
              <w:rPr>
                <w:sz w:val="20"/>
                <w:szCs w:val="20"/>
                <w:color w:val="auto"/>
              </w:rPr>
            </w:pPr>
            <w:r>
              <w:rPr>
                <w:rFonts w:ascii="Arial" w:cs="Arial" w:eastAsia="Arial" w:hAnsi="Arial"/>
                <w:sz w:val="12"/>
                <w:szCs w:val="12"/>
                <w:color w:val="auto"/>
              </w:rPr>
              <w:t>Stockholders' equity:</w:t>
            </w:r>
          </w:p>
        </w:tc>
        <w:tc>
          <w:tcPr>
            <w:tcW w:w="1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820" w:type="dxa"/>
            <w:vAlign w:val="bottom"/>
            <w:shd w:val="clear" w:color="auto" w:fill="CCEEFF"/>
          </w:tcPr>
          <w:p>
            <w:pPr>
              <w:ind w:left="80"/>
              <w:spacing w:after="0" w:line="120" w:lineRule="exact"/>
              <w:rPr>
                <w:sz w:val="20"/>
                <w:szCs w:val="20"/>
                <w:color w:val="auto"/>
              </w:rPr>
            </w:pPr>
            <w:r>
              <w:rPr>
                <w:rFonts w:ascii="Arial" w:cs="Arial" w:eastAsia="Arial" w:hAnsi="Arial"/>
                <w:sz w:val="12"/>
                <w:szCs w:val="12"/>
                <w:color w:val="auto"/>
                <w:w w:val="91"/>
              </w:rPr>
              <w:t>Common stock, $0.01 par value -- 125,000,000 shares authorized, 61,254,693 and 56,244,771 shares outstanding at September 30, 2021</w:t>
            </w:r>
          </w:p>
        </w:tc>
        <w:tc>
          <w:tcPr>
            <w:tcW w:w="16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613</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562</w:t>
            </w:r>
          </w:p>
        </w:tc>
        <w:tc>
          <w:tcPr>
            <w:tcW w:w="0" w:type="dxa"/>
            <w:vAlign w:val="bottom"/>
          </w:tcPr>
          <w:p>
            <w:pPr>
              <w:spacing w:after="0"/>
              <w:rPr>
                <w:sz w:val="1"/>
                <w:szCs w:val="1"/>
                <w:color w:val="auto"/>
              </w:rPr>
            </w:pPr>
          </w:p>
        </w:tc>
      </w:tr>
      <w:tr>
        <w:trPr>
          <w:trHeight w:val="155"/>
        </w:trPr>
        <w:tc>
          <w:tcPr>
            <w:tcW w:w="6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and December 31, 2020, respectively</w:t>
            </w:r>
          </w:p>
        </w:tc>
        <w:tc>
          <w:tcPr>
            <w:tcW w:w="162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20" w:type="dxa"/>
            <w:vAlign w:val="bottom"/>
          </w:tcPr>
          <w:p>
            <w:pPr>
              <w:spacing w:after="0"/>
              <w:rPr>
                <w:sz w:val="20"/>
                <w:szCs w:val="20"/>
                <w:color w:val="auto"/>
              </w:rPr>
            </w:pPr>
            <w:r>
              <w:rPr>
                <w:rFonts w:ascii="Arial" w:cs="Arial" w:eastAsia="Arial" w:hAnsi="Arial"/>
                <w:sz w:val="12"/>
                <w:szCs w:val="12"/>
                <w:color w:val="auto"/>
              </w:rPr>
              <w:t>Additional paid-in capital</w:t>
            </w:r>
          </w:p>
        </w:tc>
        <w:tc>
          <w:tcPr>
            <w:tcW w:w="16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1,206,742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1,067,150</w:t>
            </w:r>
          </w:p>
        </w:tc>
        <w:tc>
          <w:tcPr>
            <w:tcW w:w="0" w:type="dxa"/>
            <w:vAlign w:val="bottom"/>
          </w:tcPr>
          <w:p>
            <w:pPr>
              <w:spacing w:after="0"/>
              <w:rPr>
                <w:sz w:val="1"/>
                <w:szCs w:val="1"/>
                <w:color w:val="auto"/>
              </w:rPr>
            </w:pPr>
          </w:p>
        </w:tc>
      </w:tr>
      <w:tr>
        <w:trPr>
          <w:trHeight w:val="156"/>
        </w:trPr>
        <w:tc>
          <w:tcPr>
            <w:tcW w:w="6820" w:type="dxa"/>
            <w:vAlign w:val="bottom"/>
            <w:shd w:val="clear" w:color="auto" w:fill="CCEEFF"/>
          </w:tcPr>
          <w:p>
            <w:pPr>
              <w:spacing w:after="0"/>
              <w:rPr>
                <w:sz w:val="20"/>
                <w:szCs w:val="20"/>
                <w:color w:val="auto"/>
              </w:rPr>
            </w:pPr>
            <w:r>
              <w:rPr>
                <w:rFonts w:ascii="Arial" w:cs="Arial" w:eastAsia="Arial" w:hAnsi="Arial"/>
                <w:sz w:val="12"/>
                <w:szCs w:val="12"/>
                <w:color w:val="auto"/>
              </w:rPr>
              <w:t>Accumulated other comprehensive income (loss)</w:t>
            </w:r>
          </w:p>
        </w:tc>
        <w:tc>
          <w:tcPr>
            <w:tcW w:w="16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55"/>
        </w:trPr>
        <w:tc>
          <w:tcPr>
            <w:tcW w:w="68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Accumulated deficit</w:t>
            </w:r>
          </w:p>
        </w:tc>
        <w:tc>
          <w:tcPr>
            <w:tcW w:w="16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(915,914)</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(771,821)</w:t>
            </w:r>
          </w:p>
        </w:tc>
        <w:tc>
          <w:tcPr>
            <w:tcW w:w="0" w:type="dxa"/>
            <w:vAlign w:val="bottom"/>
          </w:tcPr>
          <w:p>
            <w:pPr>
              <w:spacing w:after="0"/>
              <w:rPr>
                <w:sz w:val="1"/>
                <w:szCs w:val="1"/>
                <w:color w:val="auto"/>
              </w:rPr>
            </w:pPr>
          </w:p>
        </w:tc>
      </w:tr>
      <w:tr>
        <w:trPr>
          <w:trHeight w:val="145"/>
        </w:trPr>
        <w:tc>
          <w:tcPr>
            <w:tcW w:w="6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Total stockholders' equity</w:t>
            </w:r>
          </w:p>
        </w:tc>
        <w:tc>
          <w:tcPr>
            <w:tcW w:w="16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291,438</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295,884</w:t>
            </w:r>
          </w:p>
        </w:tc>
        <w:tc>
          <w:tcPr>
            <w:tcW w:w="0" w:type="dxa"/>
            <w:vAlign w:val="bottom"/>
          </w:tcPr>
          <w:p>
            <w:pPr>
              <w:spacing w:after="0"/>
              <w:rPr>
                <w:sz w:val="1"/>
                <w:szCs w:val="1"/>
                <w:color w:val="auto"/>
              </w:rPr>
            </w:pPr>
          </w:p>
        </w:tc>
      </w:tr>
      <w:tr>
        <w:trPr>
          <w:trHeight w:val="144"/>
        </w:trPr>
        <w:tc>
          <w:tcPr>
            <w:tcW w:w="6820" w:type="dxa"/>
            <w:vAlign w:val="bottom"/>
          </w:tcPr>
          <w:p>
            <w:pPr>
              <w:spacing w:after="0" w:line="135" w:lineRule="exact"/>
              <w:rPr>
                <w:sz w:val="20"/>
                <w:szCs w:val="20"/>
                <w:color w:val="auto"/>
              </w:rPr>
            </w:pPr>
            <w:r>
              <w:rPr>
                <w:rFonts w:ascii="Arial" w:cs="Arial" w:eastAsia="Arial" w:hAnsi="Arial"/>
                <w:sz w:val="12"/>
                <w:szCs w:val="12"/>
                <w:color w:val="auto"/>
              </w:rPr>
              <w:t>Total liabilities and stockholders' equity</w:t>
            </w:r>
          </w:p>
        </w:tc>
        <w:tc>
          <w:tcPr>
            <w:tcW w:w="1620" w:type="dxa"/>
            <w:vAlign w:val="bottom"/>
            <w:tcBorders>
              <w:bottom w:val="single" w:sz="8" w:color="auto"/>
            </w:tcBorders>
          </w:tcPr>
          <w:p>
            <w:pPr>
              <w:jc w:val="right"/>
              <w:ind w:right="1479"/>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392,160</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378,743</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675" w:right="299" w:bottom="1440" w:gutter="0" w:footer="0" w:header="0"/>
        </w:sectPr>
      </w:pPr>
    </w:p>
    <w:bookmarkStart w:id="5" w:name="page6"/>
    <w:bookmarkEnd w:id="5"/>
    <w:p>
      <w:pPr>
        <w:jc w:val="center"/>
        <w:spacing w:after="0"/>
        <w:rPr>
          <w:sz w:val="20"/>
          <w:szCs w:val="20"/>
          <w:color w:val="auto"/>
        </w:rPr>
      </w:pPr>
      <w:r>
        <w:rPr>
          <w:rFonts w:ascii="Arial" w:cs="Arial" w:eastAsia="Arial" w:hAnsi="Arial"/>
          <w:sz w:val="12"/>
          <w:szCs w:val="12"/>
          <w:b w:val="1"/>
          <w:bCs w:val="1"/>
          <w:color w:val="auto"/>
        </w:rPr>
        <w:t>MACROGENICS,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OPERATIONS AND COMPREHENSIVE LOSS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20" w:type="dxa"/>
            <w:vAlign w:val="bottom"/>
          </w:tcPr>
          <w:p>
            <w:pPr>
              <w:spacing w:after="0"/>
              <w:rPr>
                <w:sz w:val="13"/>
                <w:szCs w:val="13"/>
                <w:color w:val="auto"/>
              </w:rPr>
            </w:pPr>
          </w:p>
        </w:tc>
        <w:tc>
          <w:tcPr>
            <w:tcW w:w="3220" w:type="dxa"/>
            <w:vAlign w:val="bottom"/>
            <w:gridSpan w:val="6"/>
          </w:tcPr>
          <w:p>
            <w:pPr>
              <w:ind w:left="580"/>
              <w:spacing w:after="0"/>
              <w:rPr>
                <w:sz w:val="20"/>
                <w:szCs w:val="20"/>
                <w:color w:val="auto"/>
              </w:rPr>
            </w:pPr>
            <w:r>
              <w:rPr>
                <w:rFonts w:ascii="Arial" w:cs="Arial" w:eastAsia="Arial" w:hAnsi="Arial"/>
                <w:sz w:val="12"/>
                <w:szCs w:val="12"/>
                <w:b w:val="1"/>
                <w:bCs w:val="1"/>
                <w:color w:val="auto"/>
              </w:rPr>
              <w:t>Three Months Ended September 30,</w:t>
            </w:r>
          </w:p>
        </w:tc>
        <w:tc>
          <w:tcPr>
            <w:tcW w:w="340" w:type="dxa"/>
            <w:vAlign w:val="bottom"/>
          </w:tcPr>
          <w:p>
            <w:pPr>
              <w:spacing w:after="0"/>
              <w:rPr>
                <w:sz w:val="13"/>
                <w:szCs w:val="13"/>
                <w:color w:val="auto"/>
              </w:rPr>
            </w:pPr>
          </w:p>
        </w:tc>
        <w:tc>
          <w:tcPr>
            <w:tcW w:w="2720" w:type="dxa"/>
            <w:vAlign w:val="bottom"/>
            <w:gridSpan w:val="4"/>
          </w:tcPr>
          <w:p>
            <w:pPr>
              <w:jc w:val="right"/>
              <w:ind w:right="559"/>
              <w:spacing w:after="0"/>
              <w:rPr>
                <w:sz w:val="20"/>
                <w:szCs w:val="20"/>
                <w:color w:val="auto"/>
              </w:rPr>
            </w:pPr>
            <w:r>
              <w:rPr>
                <w:rFonts w:ascii="Arial" w:cs="Arial" w:eastAsia="Arial" w:hAnsi="Arial"/>
                <w:sz w:val="12"/>
                <w:szCs w:val="12"/>
                <w:b w:val="1"/>
                <w:bCs w:val="1"/>
                <w:color w:val="auto"/>
              </w:rPr>
              <w:t>Nine Months Ended September 30,</w:t>
            </w:r>
          </w:p>
        </w:tc>
      </w:tr>
      <w:tr>
        <w:trPr>
          <w:trHeight w:val="145"/>
        </w:trPr>
        <w:tc>
          <w:tcPr>
            <w:tcW w:w="50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6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2"/>
                <w:szCs w:val="12"/>
                <w:b w:val="1"/>
                <w:bCs w:val="1"/>
                <w:color w:val="auto"/>
              </w:rPr>
              <w:t>2020</w:t>
            </w:r>
          </w:p>
        </w:tc>
      </w:tr>
      <w:tr>
        <w:trPr>
          <w:trHeight w:val="135"/>
        </w:trPr>
        <w:tc>
          <w:tcPr>
            <w:tcW w:w="50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Revenues:</w:t>
            </w:r>
          </w:p>
        </w:tc>
        <w:tc>
          <w:tcPr>
            <w:tcW w:w="9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55"/>
        </w:trPr>
        <w:tc>
          <w:tcPr>
            <w:tcW w:w="5020" w:type="dxa"/>
            <w:vAlign w:val="bottom"/>
          </w:tcPr>
          <w:p>
            <w:pPr>
              <w:ind w:left="80"/>
              <w:spacing w:after="0"/>
              <w:rPr>
                <w:sz w:val="20"/>
                <w:szCs w:val="20"/>
                <w:color w:val="auto"/>
              </w:rPr>
            </w:pPr>
            <w:r>
              <w:rPr>
                <w:rFonts w:ascii="Arial" w:cs="Arial" w:eastAsia="Arial" w:hAnsi="Arial"/>
                <w:sz w:val="12"/>
                <w:szCs w:val="12"/>
                <w:color w:val="auto"/>
              </w:rPr>
              <w:t>Revenue from collaborative and other agreements</w:t>
            </w:r>
          </w:p>
        </w:tc>
        <w:tc>
          <w:tcPr>
            <w:tcW w:w="900" w:type="dxa"/>
            <w:vAlign w:val="bottom"/>
          </w:tcPr>
          <w:p>
            <w:pPr>
              <w:jc w:val="right"/>
              <w:ind w:right="759"/>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11,986</w:t>
            </w:r>
          </w:p>
        </w:tc>
        <w:tc>
          <w:tcPr>
            <w:tcW w:w="80" w:type="dxa"/>
            <w:vAlign w:val="bottom"/>
          </w:tcPr>
          <w:p>
            <w:pPr>
              <w:spacing w:after="0"/>
              <w:rPr>
                <w:sz w:val="13"/>
                <w:szCs w:val="13"/>
                <w:color w:val="auto"/>
              </w:rPr>
            </w:pPr>
          </w:p>
        </w:tc>
        <w:tc>
          <w:tcPr>
            <w:tcW w:w="340" w:type="dxa"/>
            <w:vAlign w:val="bottom"/>
          </w:tcPr>
          <w:p>
            <w:pPr>
              <w:jc w:val="right"/>
              <w:ind w:right="199"/>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17,415</w:t>
            </w:r>
          </w:p>
        </w:tc>
        <w:tc>
          <w:tcPr>
            <w:tcW w:w="160" w:type="dxa"/>
            <w:vAlign w:val="bottom"/>
          </w:tcPr>
          <w:p>
            <w:pPr>
              <w:spacing w:after="0"/>
              <w:rPr>
                <w:sz w:val="13"/>
                <w:szCs w:val="13"/>
                <w:color w:val="auto"/>
              </w:rPr>
            </w:pP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54,338</w:t>
            </w:r>
          </w:p>
        </w:tc>
        <w:tc>
          <w:tcPr>
            <w:tcW w:w="80" w:type="dxa"/>
            <w:vAlign w:val="bottom"/>
          </w:tcPr>
          <w:p>
            <w:pPr>
              <w:spacing w:after="0"/>
              <w:rPr>
                <w:sz w:val="13"/>
                <w:szCs w:val="13"/>
                <w:color w:val="auto"/>
              </w:rPr>
            </w:pPr>
          </w:p>
        </w:tc>
        <w:tc>
          <w:tcPr>
            <w:tcW w:w="340" w:type="dxa"/>
            <w:vAlign w:val="bottom"/>
          </w:tcPr>
          <w:p>
            <w:pPr>
              <w:jc w:val="right"/>
              <w:ind w:right="199"/>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46,018</w:t>
            </w:r>
          </w:p>
        </w:tc>
      </w:tr>
      <w:tr>
        <w:trPr>
          <w:trHeight w:val="156"/>
        </w:trPr>
        <w:tc>
          <w:tcPr>
            <w:tcW w:w="502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Product revenue, net</w:t>
            </w:r>
          </w:p>
        </w:tc>
        <w:tc>
          <w:tcPr>
            <w:tcW w:w="9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7,681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50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Revenue from government agreements</w:t>
            </w:r>
          </w:p>
        </w:tc>
        <w:tc>
          <w:tcPr>
            <w:tcW w:w="9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838</w:t>
            </w:r>
          </w:p>
        </w:tc>
        <w:tc>
          <w:tcPr>
            <w:tcW w:w="1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6,174</w:t>
            </w:r>
          </w:p>
        </w:tc>
      </w:tr>
      <w:tr>
        <w:trPr>
          <w:trHeight w:val="145"/>
        </w:trPr>
        <w:tc>
          <w:tcPr>
            <w:tcW w:w="50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Total revenues</w:t>
            </w:r>
          </w:p>
        </w:tc>
        <w:tc>
          <w:tcPr>
            <w:tcW w:w="9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15,662</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18,253</w:t>
            </w:r>
          </w:p>
        </w:tc>
        <w:tc>
          <w:tcPr>
            <w:tcW w:w="1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63,300</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52,192</w:t>
            </w:r>
          </w:p>
        </w:tc>
      </w:tr>
      <w:tr>
        <w:trPr>
          <w:trHeight w:val="135"/>
        </w:trPr>
        <w:tc>
          <w:tcPr>
            <w:tcW w:w="5020" w:type="dxa"/>
            <w:vAlign w:val="bottom"/>
          </w:tcPr>
          <w:p>
            <w:pPr>
              <w:spacing w:after="0" w:line="135" w:lineRule="exact"/>
              <w:rPr>
                <w:sz w:val="20"/>
                <w:szCs w:val="20"/>
                <w:color w:val="auto"/>
              </w:rPr>
            </w:pPr>
            <w:r>
              <w:rPr>
                <w:rFonts w:ascii="Arial" w:cs="Arial" w:eastAsia="Arial" w:hAnsi="Arial"/>
                <w:sz w:val="12"/>
                <w:szCs w:val="12"/>
                <w:color w:val="auto"/>
              </w:rPr>
              <w:t>Costs and expenses:</w:t>
            </w: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56"/>
        </w:trPr>
        <w:tc>
          <w:tcPr>
            <w:tcW w:w="50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Cost of product sales</w:t>
            </w:r>
          </w:p>
        </w:tc>
        <w:tc>
          <w:tcPr>
            <w:tcW w:w="9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5020" w:type="dxa"/>
            <w:vAlign w:val="bottom"/>
          </w:tcPr>
          <w:p>
            <w:pPr>
              <w:ind w:left="80"/>
              <w:spacing w:after="0"/>
              <w:rPr>
                <w:sz w:val="20"/>
                <w:szCs w:val="20"/>
                <w:color w:val="auto"/>
              </w:rPr>
            </w:pPr>
            <w:r>
              <w:rPr>
                <w:rFonts w:ascii="Arial" w:cs="Arial" w:eastAsia="Arial" w:hAnsi="Arial"/>
                <w:sz w:val="12"/>
                <w:szCs w:val="12"/>
                <w:color w:val="auto"/>
              </w:rPr>
              <w:t>Research and development</w:t>
            </w:r>
          </w:p>
        </w:tc>
        <w:tc>
          <w:tcPr>
            <w:tcW w:w="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49,823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44,656</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158,724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150,901</w:t>
            </w:r>
          </w:p>
        </w:tc>
      </w:tr>
      <w:tr>
        <w:trPr>
          <w:trHeight w:val="156"/>
        </w:trPr>
        <w:tc>
          <w:tcPr>
            <w:tcW w:w="5020" w:type="dxa"/>
            <w:vAlign w:val="bottom"/>
            <w:shd w:val="clear" w:color="auto" w:fill="CCEEFF"/>
          </w:tcPr>
          <w:p>
            <w:pPr>
              <w:ind w:left="80"/>
              <w:spacing w:after="0"/>
              <w:rPr>
                <w:sz w:val="20"/>
                <w:szCs w:val="20"/>
                <w:color w:val="auto"/>
              </w:rPr>
            </w:pPr>
            <w:r>
              <w:rPr>
                <w:rFonts w:ascii="Arial" w:cs="Arial" w:eastAsia="Arial" w:hAnsi="Arial"/>
                <w:sz w:val="12"/>
                <w:szCs w:val="12"/>
                <w:color w:val="auto"/>
              </w:rPr>
              <w:t>Selling, general and administrative</w:t>
            </w:r>
          </w:p>
        </w:tc>
        <w:tc>
          <w:tcPr>
            <w:tcW w:w="9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17,161</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9,732</w:t>
            </w:r>
          </w:p>
        </w:tc>
        <w:tc>
          <w:tcPr>
            <w:tcW w:w="1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47,431</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30,181</w:t>
            </w:r>
          </w:p>
        </w:tc>
      </w:tr>
      <w:tr>
        <w:trPr>
          <w:trHeight w:val="144"/>
        </w:trPr>
        <w:tc>
          <w:tcPr>
            <w:tcW w:w="5020" w:type="dxa"/>
            <w:vAlign w:val="bottom"/>
            <w:tcBorders>
              <w:bottom w:val="single" w:sz="8" w:color="CCEEFF"/>
            </w:tcBorders>
          </w:tcPr>
          <w:p>
            <w:pPr>
              <w:spacing w:after="0" w:line="135" w:lineRule="exact"/>
              <w:rPr>
                <w:sz w:val="20"/>
                <w:szCs w:val="20"/>
                <w:color w:val="auto"/>
              </w:rPr>
            </w:pPr>
            <w:r>
              <w:rPr>
                <w:rFonts w:ascii="Arial" w:cs="Arial" w:eastAsia="Arial" w:hAnsi="Arial"/>
                <w:sz w:val="12"/>
                <w:szCs w:val="12"/>
                <w:color w:val="auto"/>
              </w:rPr>
              <w:t>Total costs and expenses</w:t>
            </w:r>
          </w:p>
        </w:tc>
        <w:tc>
          <w:tcPr>
            <w:tcW w:w="9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68,649</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54,388</w:t>
            </w:r>
          </w:p>
        </w:tc>
        <w:tc>
          <w:tcPr>
            <w:tcW w:w="1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207,859</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181,082</w:t>
            </w:r>
          </w:p>
        </w:tc>
      </w:tr>
      <w:tr>
        <w:trPr>
          <w:trHeight w:val="145"/>
        </w:trPr>
        <w:tc>
          <w:tcPr>
            <w:tcW w:w="50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Loss from operations</w:t>
            </w: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(52,987)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(36,135)</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(144,559)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(128,890)</w:t>
            </w:r>
          </w:p>
        </w:tc>
      </w:tr>
      <w:tr>
        <w:trPr>
          <w:trHeight w:val="155"/>
        </w:trPr>
        <w:tc>
          <w:tcPr>
            <w:tcW w:w="50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income</w:t>
            </w:r>
          </w:p>
        </w:tc>
        <w:tc>
          <w:tcPr>
            <w:tcW w:w="9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w:t>
            </w:r>
          </w:p>
        </w:tc>
        <w:tc>
          <w:tcPr>
            <w:tcW w:w="1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466</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1,238</w:t>
            </w:r>
          </w:p>
        </w:tc>
      </w:tr>
      <w:tr>
        <w:trPr>
          <w:trHeight w:val="145"/>
        </w:trPr>
        <w:tc>
          <w:tcPr>
            <w:tcW w:w="50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loss</w:t>
            </w: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(52,886)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(36,043)</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(144,093)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(127,652)</w:t>
            </w:r>
          </w:p>
        </w:tc>
      </w:tr>
      <w:tr>
        <w:trPr>
          <w:trHeight w:val="155"/>
        </w:trPr>
        <w:tc>
          <w:tcPr>
            <w:tcW w:w="5020" w:type="dxa"/>
            <w:vAlign w:val="bottom"/>
          </w:tcPr>
          <w:p>
            <w:pPr>
              <w:spacing w:after="0"/>
              <w:rPr>
                <w:sz w:val="20"/>
                <w:szCs w:val="20"/>
                <w:color w:val="auto"/>
              </w:rPr>
            </w:pPr>
            <w:r>
              <w:rPr>
                <w:rFonts w:ascii="Arial" w:cs="Arial" w:eastAsia="Arial" w:hAnsi="Arial"/>
                <w:sz w:val="12"/>
                <w:szCs w:val="12"/>
                <w:color w:val="auto"/>
              </w:rPr>
              <w:t>Other comprehensive income (loss):</w:t>
            </w: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6"/>
        </w:trPr>
        <w:tc>
          <w:tcPr>
            <w:tcW w:w="5020" w:type="dxa"/>
            <w:vAlign w:val="bottom"/>
            <w:shd w:val="clear" w:color="auto" w:fill="CCEEFF"/>
          </w:tcPr>
          <w:p>
            <w:pPr>
              <w:ind w:left="80"/>
              <w:spacing w:after="0"/>
              <w:rPr>
                <w:sz w:val="20"/>
                <w:szCs w:val="20"/>
                <w:color w:val="auto"/>
              </w:rPr>
            </w:pPr>
            <w:r>
              <w:rPr>
                <w:rFonts w:ascii="Arial" w:cs="Arial" w:eastAsia="Arial" w:hAnsi="Arial"/>
                <w:sz w:val="12"/>
                <w:szCs w:val="12"/>
                <w:color w:val="auto"/>
              </w:rPr>
              <w:t>Unrealized gain (loss) on investments</w:t>
            </w:r>
          </w:p>
        </w:tc>
        <w:tc>
          <w:tcPr>
            <w:tcW w:w="9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w:t>
            </w:r>
          </w:p>
        </w:tc>
      </w:tr>
      <w:tr>
        <w:trPr>
          <w:trHeight w:val="161"/>
        </w:trPr>
        <w:tc>
          <w:tcPr>
            <w:tcW w:w="5020" w:type="dxa"/>
            <w:vAlign w:val="bottom"/>
            <w:tcBorders>
              <w:bottom w:val="single" w:sz="8" w:color="CCEEFF"/>
            </w:tcBorders>
          </w:tcPr>
          <w:p>
            <w:pPr>
              <w:spacing w:after="0" w:line="135" w:lineRule="exact"/>
              <w:rPr>
                <w:sz w:val="20"/>
                <w:szCs w:val="20"/>
                <w:color w:val="auto"/>
              </w:rPr>
            </w:pPr>
            <w:r>
              <w:rPr>
                <w:rFonts w:ascii="Arial" w:cs="Arial" w:eastAsia="Arial" w:hAnsi="Arial"/>
                <w:sz w:val="12"/>
                <w:szCs w:val="12"/>
                <w:color w:val="auto"/>
              </w:rPr>
              <w:t>Comprehensive loss</w:t>
            </w:r>
          </w:p>
        </w:tc>
        <w:tc>
          <w:tcPr>
            <w:tcW w:w="900" w:type="dxa"/>
            <w:vAlign w:val="bottom"/>
            <w:tcBorders>
              <w:bottom w:val="single" w:sz="8" w:color="auto"/>
            </w:tcBorders>
          </w:tcPr>
          <w:p>
            <w:pPr>
              <w:jc w:val="right"/>
              <w:ind w:right="759"/>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(52,890)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(36,058)</w:t>
            </w: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(144,089)</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(127,666)</w:t>
            </w:r>
          </w:p>
        </w:tc>
      </w:tr>
      <w:tr>
        <w:trPr>
          <w:trHeight w:val="164"/>
        </w:trPr>
        <w:tc>
          <w:tcPr>
            <w:tcW w:w="50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55"/>
        </w:trPr>
        <w:tc>
          <w:tcPr>
            <w:tcW w:w="5020" w:type="dxa"/>
            <w:vAlign w:val="bottom"/>
          </w:tcPr>
          <w:p>
            <w:pPr>
              <w:spacing w:after="0"/>
              <w:rPr>
                <w:sz w:val="20"/>
                <w:szCs w:val="20"/>
                <w:color w:val="auto"/>
              </w:rPr>
            </w:pPr>
            <w:r>
              <w:rPr>
                <w:rFonts w:ascii="Arial" w:cs="Arial" w:eastAsia="Arial" w:hAnsi="Arial"/>
                <w:sz w:val="12"/>
                <w:szCs w:val="12"/>
                <w:color w:val="auto"/>
              </w:rPr>
              <w:t>Basic and diluted net loss per common share</w:t>
            </w:r>
          </w:p>
        </w:tc>
        <w:tc>
          <w:tcPr>
            <w:tcW w:w="900" w:type="dxa"/>
            <w:vAlign w:val="bottom"/>
          </w:tcPr>
          <w:p>
            <w:pPr>
              <w:jc w:val="right"/>
              <w:ind w:right="759"/>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(0.86)</w:t>
            </w:r>
          </w:p>
        </w:tc>
        <w:tc>
          <w:tcPr>
            <w:tcW w:w="80" w:type="dxa"/>
            <w:vAlign w:val="bottom"/>
          </w:tcPr>
          <w:p>
            <w:pPr>
              <w:spacing w:after="0"/>
              <w:rPr>
                <w:sz w:val="13"/>
                <w:szCs w:val="13"/>
                <w:color w:val="auto"/>
              </w:rPr>
            </w:pPr>
          </w:p>
        </w:tc>
        <w:tc>
          <w:tcPr>
            <w:tcW w:w="340" w:type="dxa"/>
            <w:vAlign w:val="bottom"/>
          </w:tcPr>
          <w:p>
            <w:pPr>
              <w:jc w:val="right"/>
              <w:ind w:right="199"/>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(0.66)</w:t>
            </w:r>
          </w:p>
        </w:tc>
        <w:tc>
          <w:tcPr>
            <w:tcW w:w="160" w:type="dxa"/>
            <w:vAlign w:val="bottom"/>
          </w:tcPr>
          <w:p>
            <w:pPr>
              <w:spacing w:after="0"/>
              <w:rPr>
                <w:sz w:val="13"/>
                <w:szCs w:val="13"/>
                <w:color w:val="auto"/>
              </w:rPr>
            </w:pP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(2.42)</w:t>
            </w:r>
          </w:p>
        </w:tc>
        <w:tc>
          <w:tcPr>
            <w:tcW w:w="80" w:type="dxa"/>
            <w:vAlign w:val="bottom"/>
          </w:tcPr>
          <w:p>
            <w:pPr>
              <w:spacing w:after="0"/>
              <w:rPr>
                <w:sz w:val="13"/>
                <w:szCs w:val="13"/>
                <w:color w:val="auto"/>
              </w:rPr>
            </w:pPr>
          </w:p>
        </w:tc>
        <w:tc>
          <w:tcPr>
            <w:tcW w:w="340" w:type="dxa"/>
            <w:vAlign w:val="bottom"/>
          </w:tcPr>
          <w:p>
            <w:pPr>
              <w:jc w:val="right"/>
              <w:ind w:right="199"/>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(2.49)</w:t>
            </w:r>
          </w:p>
        </w:tc>
      </w:tr>
      <w:tr>
        <w:trPr>
          <w:trHeight w:val="156"/>
        </w:trPr>
        <w:tc>
          <w:tcPr>
            <w:tcW w:w="5020" w:type="dxa"/>
            <w:vAlign w:val="bottom"/>
            <w:shd w:val="clear" w:color="auto" w:fill="CCEEFF"/>
          </w:tcPr>
          <w:p>
            <w:pPr>
              <w:spacing w:after="0"/>
              <w:rPr>
                <w:sz w:val="20"/>
                <w:szCs w:val="20"/>
                <w:color w:val="auto"/>
              </w:rPr>
            </w:pPr>
            <w:r>
              <w:rPr>
                <w:rFonts w:ascii="Arial" w:cs="Arial" w:eastAsia="Arial" w:hAnsi="Arial"/>
                <w:sz w:val="12"/>
                <w:szCs w:val="12"/>
                <w:color w:val="auto"/>
              </w:rPr>
              <w:t>Basic and diluted weighted average common shares outstanding</w:t>
            </w:r>
          </w:p>
        </w:tc>
        <w:tc>
          <w:tcPr>
            <w:tcW w:w="9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61,169,754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54,463,412</w:t>
            </w: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59,494,836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51,176,884</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consolidated financial statements.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675" w:right="2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2"/>
          <w:szCs w:val="12"/>
          <w:b w:val="1"/>
          <w:bCs w:val="1"/>
          <w:color w:val="auto"/>
        </w:rPr>
        <w:t>MACROGENICS,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STOCKHOLDERS' EQUITY</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share amounts)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89"/>
              </w:rPr>
              <w:t>Additional</w:t>
            </w: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Accumulated</w:t>
            </w:r>
          </w:p>
        </w:tc>
        <w:tc>
          <w:tcPr>
            <w:tcW w:w="200" w:type="dxa"/>
            <w:vAlign w:val="bottom"/>
          </w:tcPr>
          <w:p>
            <w:pPr>
              <w:spacing w:after="0"/>
              <w:rPr>
                <w:sz w:val="10"/>
                <w:szCs w:val="10"/>
                <w:color w:val="auto"/>
              </w:rPr>
            </w:pPr>
          </w:p>
        </w:tc>
        <w:tc>
          <w:tcPr>
            <w:tcW w:w="1000" w:type="dxa"/>
            <w:vAlign w:val="bottom"/>
            <w:vMerge w:val="restart"/>
          </w:tcPr>
          <w:p>
            <w:pPr>
              <w:jc w:val="center"/>
              <w:ind w:right="141"/>
              <w:spacing w:after="0"/>
              <w:rPr>
                <w:sz w:val="20"/>
                <w:szCs w:val="20"/>
                <w:color w:val="auto"/>
              </w:rPr>
            </w:pPr>
            <w:r>
              <w:rPr>
                <w:rFonts w:ascii="Arial" w:cs="Arial" w:eastAsia="Arial" w:hAnsi="Arial"/>
                <w:sz w:val="10"/>
                <w:szCs w:val="10"/>
                <w:b w:val="1"/>
                <w:bCs w:val="1"/>
                <w:color w:val="auto"/>
                <w:w w:val="83"/>
              </w:rPr>
              <w:t>Total</w:t>
            </w:r>
          </w:p>
        </w:tc>
        <w:tc>
          <w:tcPr>
            <w:tcW w:w="0" w:type="dxa"/>
            <w:vAlign w:val="bottom"/>
          </w:tcPr>
          <w:p>
            <w:pPr>
              <w:spacing w:after="0"/>
              <w:rPr>
                <w:sz w:val="1"/>
                <w:szCs w:val="1"/>
                <w:color w:val="auto"/>
              </w:rPr>
            </w:pPr>
          </w:p>
        </w:tc>
      </w:tr>
      <w:tr>
        <w:trPr>
          <w:trHeight w:val="91"/>
        </w:trPr>
        <w:tc>
          <w:tcPr>
            <w:tcW w:w="2680" w:type="dxa"/>
            <w:vAlign w:val="bottom"/>
          </w:tcPr>
          <w:p>
            <w:pPr>
              <w:spacing w:after="0"/>
              <w:rPr>
                <w:sz w:val="7"/>
                <w:szCs w:val="7"/>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Common Stock</w:t>
            </w: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740" w:type="dxa"/>
            <w:vAlign w:val="bottom"/>
            <w:gridSpan w:val="4"/>
            <w:vMerge w:val="restart"/>
          </w:tcPr>
          <w:p>
            <w:pPr>
              <w:jc w:val="right"/>
              <w:ind w:right="500"/>
              <w:spacing w:after="0"/>
              <w:rPr>
                <w:sz w:val="20"/>
                <w:szCs w:val="20"/>
                <w:color w:val="auto"/>
              </w:rPr>
            </w:pPr>
            <w:r>
              <w:rPr>
                <w:rFonts w:ascii="Arial" w:cs="Arial" w:eastAsia="Arial" w:hAnsi="Arial"/>
                <w:sz w:val="10"/>
                <w:szCs w:val="10"/>
                <w:b w:val="1"/>
                <w:bCs w:val="1"/>
                <w:color w:val="auto"/>
              </w:rPr>
              <w:t>Treasury Stock</w:t>
            </w:r>
          </w:p>
        </w:tc>
        <w:tc>
          <w:tcPr>
            <w:tcW w:w="80" w:type="dxa"/>
            <w:vAlign w:val="bottom"/>
            <w:vMerge w:val="restart"/>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tcPr>
          <w:p>
            <w:pPr>
              <w:jc w:val="center"/>
              <w:ind w:right="160"/>
              <w:spacing w:after="0" w:line="92" w:lineRule="exact"/>
              <w:rPr>
                <w:sz w:val="20"/>
                <w:szCs w:val="20"/>
                <w:color w:val="auto"/>
              </w:rPr>
            </w:pPr>
            <w:r>
              <w:rPr>
                <w:rFonts w:ascii="Arial" w:cs="Arial" w:eastAsia="Arial" w:hAnsi="Arial"/>
                <w:sz w:val="10"/>
                <w:szCs w:val="10"/>
                <w:b w:val="1"/>
                <w:bCs w:val="1"/>
                <w:color w:val="auto"/>
                <w:w w:val="89"/>
              </w:rPr>
              <w:t>Other</w:t>
            </w:r>
          </w:p>
        </w:tc>
        <w:tc>
          <w:tcPr>
            <w:tcW w:w="2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680" w:type="dxa"/>
            <w:vAlign w:val="bottom"/>
          </w:tcPr>
          <w:p>
            <w:pPr>
              <w:spacing w:after="0"/>
              <w:rPr>
                <w:sz w:val="5"/>
                <w:szCs w:val="5"/>
                <w:color w:val="auto"/>
              </w:rPr>
            </w:pPr>
          </w:p>
        </w:tc>
        <w:tc>
          <w:tcPr>
            <w:tcW w:w="1300" w:type="dxa"/>
            <w:vAlign w:val="bottom"/>
            <w:tcBorders>
              <w:bottom w:val="single" w:sz="8" w:color="auto"/>
            </w:tcBorders>
            <w:gridSpan w:val="3"/>
            <w:vMerge w:val="continue"/>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Borders>
              <w:bottom w:val="single" w:sz="8" w:color="auto"/>
            </w:tcBorders>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tcPr>
          <w:p>
            <w:pPr>
              <w:jc w:val="center"/>
              <w:ind w:right="260"/>
              <w:spacing w:after="0" w:line="69" w:lineRule="exact"/>
              <w:rPr>
                <w:sz w:val="20"/>
                <w:szCs w:val="20"/>
                <w:color w:val="auto"/>
              </w:rPr>
            </w:pPr>
            <w:r>
              <w:rPr>
                <w:rFonts w:ascii="Arial" w:cs="Arial" w:eastAsia="Arial" w:hAnsi="Arial"/>
                <w:sz w:val="7"/>
                <w:szCs w:val="7"/>
                <w:b w:val="1"/>
                <w:bCs w:val="1"/>
                <w:color w:val="auto"/>
              </w:rPr>
              <w:t>Paid-In</w:t>
            </w:r>
          </w:p>
        </w:tc>
        <w:tc>
          <w:tcPr>
            <w:tcW w:w="180" w:type="dxa"/>
            <w:vAlign w:val="bottom"/>
          </w:tcPr>
          <w:p>
            <w:pPr>
              <w:spacing w:after="0"/>
              <w:rPr>
                <w:sz w:val="5"/>
                <w:szCs w:val="5"/>
                <w:color w:val="auto"/>
              </w:rPr>
            </w:pPr>
          </w:p>
        </w:tc>
        <w:tc>
          <w:tcPr>
            <w:tcW w:w="1000" w:type="dxa"/>
            <w:vAlign w:val="bottom"/>
            <w:gridSpan w:val="2"/>
          </w:tcPr>
          <w:p>
            <w:pPr>
              <w:ind w:left="100"/>
              <w:spacing w:after="0" w:line="69" w:lineRule="exact"/>
              <w:rPr>
                <w:sz w:val="20"/>
                <w:szCs w:val="20"/>
                <w:color w:val="auto"/>
              </w:rPr>
            </w:pPr>
            <w:r>
              <w:rPr>
                <w:rFonts w:ascii="Arial" w:cs="Arial" w:eastAsia="Arial" w:hAnsi="Arial"/>
                <w:sz w:val="7"/>
                <w:szCs w:val="7"/>
                <w:b w:val="1"/>
                <w:bCs w:val="1"/>
                <w:color w:val="auto"/>
              </w:rPr>
              <w:t>Accumulated</w:t>
            </w:r>
          </w:p>
        </w:tc>
        <w:tc>
          <w:tcPr>
            <w:tcW w:w="100" w:type="dxa"/>
            <w:vAlign w:val="bottom"/>
          </w:tcPr>
          <w:p>
            <w:pPr>
              <w:spacing w:after="0"/>
              <w:rPr>
                <w:sz w:val="5"/>
                <w:szCs w:val="5"/>
                <w:color w:val="auto"/>
              </w:rPr>
            </w:pPr>
          </w:p>
        </w:tc>
        <w:tc>
          <w:tcPr>
            <w:tcW w:w="1240" w:type="dxa"/>
            <w:vAlign w:val="bottom"/>
            <w:gridSpan w:val="2"/>
          </w:tcPr>
          <w:p>
            <w:pPr>
              <w:jc w:val="center"/>
              <w:ind w:right="180"/>
              <w:spacing w:after="0" w:line="69" w:lineRule="exact"/>
              <w:rPr>
                <w:sz w:val="20"/>
                <w:szCs w:val="20"/>
                <w:color w:val="auto"/>
              </w:rPr>
            </w:pPr>
            <w:r>
              <w:rPr>
                <w:rFonts w:ascii="Arial" w:cs="Arial" w:eastAsia="Arial" w:hAnsi="Arial"/>
                <w:sz w:val="7"/>
                <w:szCs w:val="7"/>
                <w:b w:val="1"/>
                <w:bCs w:val="1"/>
                <w:color w:val="auto"/>
              </w:rPr>
              <w:t>Comprehensive Income</w:t>
            </w:r>
          </w:p>
        </w:tc>
        <w:tc>
          <w:tcPr>
            <w:tcW w:w="200" w:type="dxa"/>
            <w:vAlign w:val="bottom"/>
          </w:tcPr>
          <w:p>
            <w:pPr>
              <w:spacing w:after="0"/>
              <w:rPr>
                <w:sz w:val="5"/>
                <w:szCs w:val="5"/>
                <w:color w:val="auto"/>
              </w:rPr>
            </w:pPr>
          </w:p>
        </w:tc>
        <w:tc>
          <w:tcPr>
            <w:tcW w:w="1000" w:type="dxa"/>
            <w:vAlign w:val="bottom"/>
          </w:tcPr>
          <w:p>
            <w:pPr>
              <w:jc w:val="center"/>
              <w:ind w:right="141"/>
              <w:spacing w:after="0" w:line="69"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29"/>
        </w:trPr>
        <w:tc>
          <w:tcPr>
            <w:tcW w:w="268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right"/>
              <w:ind w:right="340"/>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0"/>
                <w:szCs w:val="10"/>
                <w:b w:val="1"/>
                <w:bCs w:val="1"/>
                <w:color w:val="auto"/>
                <w:w w:val="95"/>
              </w:rPr>
              <w:t>Amount</w:t>
            </w: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200"/>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00"/>
              <w:spacing w:after="0"/>
              <w:rPr>
                <w:sz w:val="20"/>
                <w:szCs w:val="20"/>
                <w:color w:val="auto"/>
              </w:rPr>
            </w:pPr>
            <w:r>
              <w:rPr>
                <w:rFonts w:ascii="Arial" w:cs="Arial" w:eastAsia="Arial" w:hAnsi="Arial"/>
                <w:sz w:val="10"/>
                <w:szCs w:val="10"/>
                <w:b w:val="1"/>
                <w:bCs w:val="1"/>
                <w:color w:val="auto"/>
              </w:rPr>
              <w:t>Amount</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121"/>
              <w:spacing w:after="0"/>
              <w:rPr>
                <w:sz w:val="20"/>
                <w:szCs w:val="20"/>
                <w:color w:val="auto"/>
              </w:rPr>
            </w:pPr>
            <w:r>
              <w:rPr>
                <w:rFonts w:ascii="Arial" w:cs="Arial" w:eastAsia="Arial" w:hAnsi="Arial"/>
                <w:sz w:val="10"/>
                <w:szCs w:val="10"/>
                <w:b w:val="1"/>
                <w:bCs w:val="1"/>
                <w:color w:val="auto"/>
                <w:w w:val="95"/>
              </w:rPr>
              <w:t>Capital</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Deficit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86"/>
              </w:rPr>
              <w:t>(Loss)</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141"/>
              <w:spacing w:after="0"/>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146"/>
        </w:trPr>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Balance, December 31, 2020</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56,244,771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1,067,150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(771,821)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ind w:left="1020"/>
              <w:spacing w:after="0"/>
              <w:rPr>
                <w:sz w:val="20"/>
                <w:szCs w:val="20"/>
                <w:color w:val="auto"/>
              </w:rPr>
            </w:pPr>
            <w:r>
              <w:rPr>
                <w:rFonts w:ascii="Arial" w:cs="Arial" w:eastAsia="Arial" w:hAnsi="Arial"/>
                <w:sz w:val="12"/>
                <w:szCs w:val="12"/>
                <w:color w:val="auto"/>
                <w:w w:val="95"/>
              </w:rPr>
              <w:t>(7)</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295,884</w:t>
            </w:r>
          </w:p>
        </w:tc>
        <w:tc>
          <w:tcPr>
            <w:tcW w:w="0" w:type="dxa"/>
            <w:vAlign w:val="bottom"/>
          </w:tcPr>
          <w:p>
            <w:pPr>
              <w:spacing w:after="0"/>
              <w:rPr>
                <w:sz w:val="1"/>
                <w:szCs w:val="1"/>
                <w:color w:val="auto"/>
              </w:rPr>
            </w:pPr>
          </w:p>
        </w:tc>
      </w:tr>
      <w:tr>
        <w:trPr>
          <w:trHeight w:val="155"/>
        </w:trPr>
        <w:tc>
          <w:tcPr>
            <w:tcW w:w="2680" w:type="dxa"/>
            <w:vAlign w:val="bottom"/>
          </w:tcPr>
          <w:p>
            <w:pPr>
              <w:spacing w:after="0"/>
              <w:rPr>
                <w:sz w:val="20"/>
                <w:szCs w:val="20"/>
                <w:color w:val="auto"/>
              </w:rPr>
            </w:pPr>
            <w:r>
              <w:rPr>
                <w:rFonts w:ascii="Arial" w:cs="Arial" w:eastAsia="Arial" w:hAnsi="Arial"/>
                <w:sz w:val="12"/>
                <w:szCs w:val="12"/>
                <w:color w:val="auto"/>
              </w:rPr>
              <w:t>Share-based compensation</w:t>
            </w: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5,243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40" w:type="dxa"/>
            <w:vAlign w:val="bottom"/>
            <w:gridSpan w:val="2"/>
          </w:tcPr>
          <w:p>
            <w:pPr>
              <w:ind w:left="10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5,243</w:t>
            </w:r>
          </w:p>
        </w:tc>
        <w:tc>
          <w:tcPr>
            <w:tcW w:w="0" w:type="dxa"/>
            <w:vAlign w:val="bottom"/>
          </w:tcPr>
          <w:p>
            <w:pPr>
              <w:spacing w:after="0"/>
              <w:rPr>
                <w:sz w:val="1"/>
                <w:szCs w:val="1"/>
                <w:color w:val="auto"/>
              </w:rPr>
            </w:pPr>
          </w:p>
        </w:tc>
      </w:tr>
      <w:tr>
        <w:trPr>
          <w:trHeight w:val="156"/>
        </w:trPr>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Issuance of common stock, net of offering costs</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3,622,186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98,164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ind w:left="10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98,200</w:t>
            </w:r>
          </w:p>
        </w:tc>
        <w:tc>
          <w:tcPr>
            <w:tcW w:w="0" w:type="dxa"/>
            <w:vAlign w:val="bottom"/>
          </w:tcPr>
          <w:p>
            <w:pPr>
              <w:spacing w:after="0"/>
              <w:rPr>
                <w:sz w:val="1"/>
                <w:szCs w:val="1"/>
                <w:color w:val="auto"/>
              </w:rPr>
            </w:pPr>
          </w:p>
        </w:tc>
      </w:tr>
      <w:tr>
        <w:trPr>
          <w:trHeight w:val="155"/>
        </w:trPr>
        <w:tc>
          <w:tcPr>
            <w:tcW w:w="2680" w:type="dxa"/>
            <w:vAlign w:val="bottom"/>
          </w:tcPr>
          <w:p>
            <w:pPr>
              <w:spacing w:after="0"/>
              <w:rPr>
                <w:sz w:val="20"/>
                <w:szCs w:val="20"/>
                <w:color w:val="auto"/>
              </w:rPr>
            </w:pPr>
            <w:r>
              <w:rPr>
                <w:rFonts w:ascii="Arial" w:cs="Arial" w:eastAsia="Arial" w:hAnsi="Arial"/>
                <w:sz w:val="12"/>
                <w:szCs w:val="12"/>
                <w:color w:val="auto"/>
              </w:rPr>
              <w:t>Stock plan related activity</w:t>
            </w:r>
          </w:p>
        </w:tc>
        <w:tc>
          <w:tcPr>
            <w:tcW w:w="1080" w:type="dxa"/>
            <w:vAlign w:val="bottom"/>
          </w:tcPr>
          <w:p>
            <w:pPr>
              <w:jc w:val="right"/>
              <w:spacing w:after="0"/>
              <w:rPr>
                <w:sz w:val="20"/>
                <w:szCs w:val="20"/>
                <w:color w:val="auto"/>
              </w:rPr>
            </w:pPr>
            <w:r>
              <w:rPr>
                <w:rFonts w:ascii="Arial" w:cs="Arial" w:eastAsia="Arial" w:hAnsi="Arial"/>
                <w:sz w:val="12"/>
                <w:szCs w:val="12"/>
                <w:color w:val="auto"/>
              </w:rPr>
              <w:t>144,249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2,456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40" w:type="dxa"/>
            <w:vAlign w:val="bottom"/>
            <w:gridSpan w:val="2"/>
          </w:tcPr>
          <w:p>
            <w:pPr>
              <w:ind w:left="10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2,458</w:t>
            </w:r>
          </w:p>
        </w:tc>
        <w:tc>
          <w:tcPr>
            <w:tcW w:w="0" w:type="dxa"/>
            <w:vAlign w:val="bottom"/>
          </w:tcPr>
          <w:p>
            <w:pPr>
              <w:spacing w:after="0"/>
              <w:rPr>
                <w:sz w:val="1"/>
                <w:szCs w:val="1"/>
                <w:color w:val="auto"/>
              </w:rPr>
            </w:pPr>
          </w:p>
        </w:tc>
      </w:tr>
      <w:tr>
        <w:trPr>
          <w:trHeight w:val="156"/>
        </w:trPr>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Unrealized gain on investments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ind w:left="1000"/>
              <w:spacing w:after="0"/>
              <w:rPr>
                <w:sz w:val="20"/>
                <w:szCs w:val="20"/>
                <w:color w:val="auto"/>
              </w:rPr>
            </w:pPr>
            <w:r>
              <w:rPr>
                <w:rFonts w:ascii="Arial" w:cs="Arial" w:eastAsia="Arial" w:hAnsi="Arial"/>
                <w:sz w:val="12"/>
                <w:szCs w:val="12"/>
                <w:color w:val="auto"/>
              </w:rPr>
              <w:t>18</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55"/>
        </w:trPr>
        <w:tc>
          <w:tcPr>
            <w:tcW w:w="26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loss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(51,272)</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(51,272)</w:t>
            </w:r>
          </w:p>
        </w:tc>
        <w:tc>
          <w:tcPr>
            <w:tcW w:w="0" w:type="dxa"/>
            <w:vAlign w:val="bottom"/>
          </w:tcPr>
          <w:p>
            <w:pPr>
              <w:spacing w:after="0"/>
              <w:rPr>
                <w:sz w:val="1"/>
                <w:szCs w:val="1"/>
                <w:color w:val="auto"/>
              </w:rPr>
            </w:pPr>
          </w:p>
        </w:tc>
      </w:tr>
      <w:tr>
        <w:trPr>
          <w:trHeight w:val="145"/>
        </w:trPr>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Balance, March 31, 2021</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60,011,206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1,173,013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(823,093)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ind w:left="1000"/>
              <w:spacing w:after="0"/>
              <w:rPr>
                <w:sz w:val="20"/>
                <w:szCs w:val="20"/>
                <w:color w:val="auto"/>
              </w:rPr>
            </w:pPr>
            <w:r>
              <w:rPr>
                <w:rFonts w:ascii="Arial" w:cs="Arial" w:eastAsia="Arial" w:hAnsi="Arial"/>
                <w:sz w:val="12"/>
                <w:szCs w:val="12"/>
                <w:color w:val="auto"/>
              </w:rPr>
              <w:t>11</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350,531</w:t>
            </w:r>
          </w:p>
        </w:tc>
        <w:tc>
          <w:tcPr>
            <w:tcW w:w="0" w:type="dxa"/>
            <w:vAlign w:val="bottom"/>
          </w:tcPr>
          <w:p>
            <w:pPr>
              <w:spacing w:after="0"/>
              <w:rPr>
                <w:sz w:val="1"/>
                <w:szCs w:val="1"/>
                <w:color w:val="auto"/>
              </w:rPr>
            </w:pPr>
          </w:p>
        </w:tc>
      </w:tr>
      <w:tr>
        <w:trPr>
          <w:trHeight w:val="155"/>
        </w:trPr>
        <w:tc>
          <w:tcPr>
            <w:tcW w:w="2680" w:type="dxa"/>
            <w:vAlign w:val="bottom"/>
          </w:tcPr>
          <w:p>
            <w:pPr>
              <w:spacing w:after="0"/>
              <w:rPr>
                <w:sz w:val="20"/>
                <w:szCs w:val="20"/>
                <w:color w:val="auto"/>
              </w:rPr>
            </w:pPr>
            <w:r>
              <w:rPr>
                <w:rFonts w:ascii="Arial" w:cs="Arial" w:eastAsia="Arial" w:hAnsi="Arial"/>
                <w:sz w:val="12"/>
                <w:szCs w:val="12"/>
                <w:color w:val="auto"/>
              </w:rPr>
              <w:t>Share-based compensation</w:t>
            </w: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6,113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40" w:type="dxa"/>
            <w:vAlign w:val="bottom"/>
            <w:gridSpan w:val="2"/>
          </w:tcPr>
          <w:p>
            <w:pPr>
              <w:ind w:left="10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6,113</w:t>
            </w:r>
          </w:p>
        </w:tc>
        <w:tc>
          <w:tcPr>
            <w:tcW w:w="0" w:type="dxa"/>
            <w:vAlign w:val="bottom"/>
          </w:tcPr>
          <w:p>
            <w:pPr>
              <w:spacing w:after="0"/>
              <w:rPr>
                <w:sz w:val="1"/>
                <w:szCs w:val="1"/>
                <w:color w:val="auto"/>
              </w:rPr>
            </w:pPr>
          </w:p>
        </w:tc>
      </w:tr>
      <w:tr>
        <w:trPr>
          <w:trHeight w:val="156"/>
        </w:trPr>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Stock plan related activity</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122,241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ind w:left="10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2,346</w:t>
            </w:r>
          </w:p>
        </w:tc>
        <w:tc>
          <w:tcPr>
            <w:tcW w:w="0" w:type="dxa"/>
            <w:vAlign w:val="bottom"/>
          </w:tcPr>
          <w:p>
            <w:pPr>
              <w:spacing w:after="0"/>
              <w:rPr>
                <w:sz w:val="1"/>
                <w:szCs w:val="1"/>
                <w:color w:val="auto"/>
              </w:rPr>
            </w:pPr>
          </w:p>
        </w:tc>
      </w:tr>
      <w:tr>
        <w:trPr>
          <w:trHeight w:val="155"/>
        </w:trPr>
        <w:tc>
          <w:tcPr>
            <w:tcW w:w="2680" w:type="dxa"/>
            <w:vAlign w:val="bottom"/>
          </w:tcPr>
          <w:p>
            <w:pPr>
              <w:spacing w:after="0"/>
              <w:rPr>
                <w:sz w:val="20"/>
                <w:szCs w:val="20"/>
                <w:color w:val="auto"/>
              </w:rPr>
            </w:pPr>
            <w:r>
              <w:rPr>
                <w:rFonts w:ascii="Arial" w:cs="Arial" w:eastAsia="Arial" w:hAnsi="Arial"/>
                <w:sz w:val="12"/>
                <w:szCs w:val="12"/>
                <w:color w:val="auto"/>
              </w:rPr>
              <w:t>Unrealized loss on investments</w:t>
            </w: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180" w:type="dxa"/>
            <w:vAlign w:val="bottom"/>
          </w:tcPr>
          <w:p>
            <w:pPr>
              <w:ind w:left="960"/>
              <w:spacing w:after="0"/>
              <w:rPr>
                <w:sz w:val="20"/>
                <w:szCs w:val="20"/>
                <w:color w:val="auto"/>
              </w:rPr>
            </w:pPr>
            <w:r>
              <w:rPr>
                <w:rFonts w:ascii="Arial" w:cs="Arial" w:eastAsia="Arial" w:hAnsi="Arial"/>
                <w:sz w:val="12"/>
                <w:szCs w:val="12"/>
                <w:color w:val="auto"/>
                <w:w w:val="93"/>
              </w:rPr>
              <w:t>(10)</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56"/>
        </w:trPr>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(39,935)</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(39,935)</w:t>
            </w:r>
          </w:p>
        </w:tc>
        <w:tc>
          <w:tcPr>
            <w:tcW w:w="0" w:type="dxa"/>
            <w:vAlign w:val="bottom"/>
          </w:tcPr>
          <w:p>
            <w:pPr>
              <w:spacing w:after="0"/>
              <w:rPr>
                <w:sz w:val="1"/>
                <w:szCs w:val="1"/>
                <w:color w:val="auto"/>
              </w:rPr>
            </w:pPr>
          </w:p>
        </w:tc>
      </w:tr>
      <w:tr>
        <w:trPr>
          <w:trHeight w:val="144"/>
        </w:trPr>
        <w:tc>
          <w:tcPr>
            <w:tcW w:w="2680" w:type="dxa"/>
            <w:vAlign w:val="bottom"/>
          </w:tcPr>
          <w:p>
            <w:pPr>
              <w:spacing w:after="0"/>
              <w:rPr>
                <w:sz w:val="20"/>
                <w:szCs w:val="20"/>
                <w:color w:val="auto"/>
              </w:rPr>
            </w:pPr>
            <w:r>
              <w:rPr>
                <w:rFonts w:ascii="Arial" w:cs="Arial" w:eastAsia="Arial" w:hAnsi="Arial"/>
                <w:sz w:val="12"/>
                <w:szCs w:val="12"/>
                <w:color w:val="auto"/>
              </w:rPr>
              <w:t>Balance, June 30, 2021</w:t>
            </w:r>
          </w:p>
        </w:tc>
        <w:tc>
          <w:tcPr>
            <w:tcW w:w="1080" w:type="dxa"/>
            <w:vAlign w:val="bottom"/>
          </w:tcPr>
          <w:p>
            <w:pPr>
              <w:jc w:val="right"/>
              <w:spacing w:after="0"/>
              <w:rPr>
                <w:sz w:val="20"/>
                <w:szCs w:val="20"/>
                <w:color w:val="auto"/>
              </w:rPr>
            </w:pPr>
            <w:r>
              <w:rPr>
                <w:rFonts w:ascii="Arial" w:cs="Arial" w:eastAsia="Arial" w:hAnsi="Arial"/>
                <w:sz w:val="12"/>
                <w:szCs w:val="12"/>
                <w:color w:val="auto"/>
              </w:rPr>
              <w:t>60,133,447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601</w:t>
            </w:r>
          </w:p>
        </w:tc>
        <w:tc>
          <w:tcPr>
            <w:tcW w:w="8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1,181,471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(863,028)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ind w:left="1060"/>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319,045</w:t>
            </w:r>
          </w:p>
        </w:tc>
        <w:tc>
          <w:tcPr>
            <w:tcW w:w="0" w:type="dxa"/>
            <w:vAlign w:val="bottom"/>
          </w:tcPr>
          <w:p>
            <w:pPr>
              <w:spacing w:after="0"/>
              <w:rPr>
                <w:sz w:val="1"/>
                <w:szCs w:val="1"/>
                <w:color w:val="auto"/>
              </w:rPr>
            </w:pPr>
          </w:p>
        </w:tc>
      </w:tr>
      <w:tr>
        <w:trPr>
          <w:trHeight w:val="156"/>
        </w:trPr>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6,309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ind w:left="10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6,309</w:t>
            </w:r>
          </w:p>
        </w:tc>
        <w:tc>
          <w:tcPr>
            <w:tcW w:w="0" w:type="dxa"/>
            <w:vAlign w:val="bottom"/>
          </w:tcPr>
          <w:p>
            <w:pPr>
              <w:spacing w:after="0"/>
              <w:rPr>
                <w:sz w:val="1"/>
                <w:szCs w:val="1"/>
                <w:color w:val="auto"/>
              </w:rPr>
            </w:pPr>
          </w:p>
        </w:tc>
      </w:tr>
      <w:tr>
        <w:trPr>
          <w:trHeight w:val="155"/>
        </w:trPr>
        <w:tc>
          <w:tcPr>
            <w:tcW w:w="2680" w:type="dxa"/>
            <w:vAlign w:val="bottom"/>
          </w:tcPr>
          <w:p>
            <w:pPr>
              <w:spacing w:after="0"/>
              <w:rPr>
                <w:sz w:val="20"/>
                <w:szCs w:val="20"/>
                <w:color w:val="auto"/>
              </w:rPr>
            </w:pPr>
            <w:r>
              <w:rPr>
                <w:rFonts w:ascii="Arial" w:cs="Arial" w:eastAsia="Arial" w:hAnsi="Arial"/>
                <w:sz w:val="12"/>
                <w:szCs w:val="12"/>
                <w:color w:val="auto"/>
              </w:rPr>
              <w:t>Issuance of common stock, net of offering costs</w:t>
            </w:r>
          </w:p>
        </w:tc>
        <w:tc>
          <w:tcPr>
            <w:tcW w:w="1080" w:type="dxa"/>
            <w:vAlign w:val="bottom"/>
          </w:tcPr>
          <w:p>
            <w:pPr>
              <w:jc w:val="right"/>
              <w:spacing w:after="0"/>
              <w:rPr>
                <w:sz w:val="20"/>
                <w:szCs w:val="20"/>
                <w:color w:val="auto"/>
              </w:rPr>
            </w:pPr>
            <w:r>
              <w:rPr>
                <w:rFonts w:ascii="Arial" w:cs="Arial" w:eastAsia="Arial" w:hAnsi="Arial"/>
                <w:sz w:val="12"/>
                <w:szCs w:val="12"/>
                <w:color w:val="auto"/>
              </w:rPr>
              <w:t>958,467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19,630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40" w:type="dxa"/>
            <w:vAlign w:val="bottom"/>
            <w:gridSpan w:val="2"/>
          </w:tcPr>
          <w:p>
            <w:pPr>
              <w:ind w:left="10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19,640</w:t>
            </w:r>
          </w:p>
        </w:tc>
        <w:tc>
          <w:tcPr>
            <w:tcW w:w="0" w:type="dxa"/>
            <w:vAlign w:val="bottom"/>
          </w:tcPr>
          <w:p>
            <w:pPr>
              <w:spacing w:after="0"/>
              <w:rPr>
                <w:sz w:val="1"/>
                <w:szCs w:val="1"/>
                <w:color w:val="auto"/>
              </w:rPr>
            </w:pPr>
          </w:p>
        </w:tc>
      </w:tr>
      <w:tr>
        <w:trPr>
          <w:trHeight w:val="156"/>
        </w:trPr>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Stock plan related activity</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162,779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66,295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ind w:left="10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(666)</w:t>
            </w:r>
          </w:p>
        </w:tc>
        <w:tc>
          <w:tcPr>
            <w:tcW w:w="0" w:type="dxa"/>
            <w:vAlign w:val="bottom"/>
          </w:tcPr>
          <w:p>
            <w:pPr>
              <w:spacing w:after="0"/>
              <w:rPr>
                <w:sz w:val="1"/>
                <w:szCs w:val="1"/>
                <w:color w:val="auto"/>
              </w:rPr>
            </w:pPr>
          </w:p>
        </w:tc>
      </w:tr>
      <w:tr>
        <w:trPr>
          <w:trHeight w:val="155"/>
        </w:trPr>
        <w:tc>
          <w:tcPr>
            <w:tcW w:w="2680" w:type="dxa"/>
            <w:vAlign w:val="bottom"/>
          </w:tcPr>
          <w:p>
            <w:pPr>
              <w:spacing w:after="0"/>
              <w:rPr>
                <w:sz w:val="20"/>
                <w:szCs w:val="20"/>
                <w:color w:val="auto"/>
              </w:rPr>
            </w:pPr>
            <w:r>
              <w:rPr>
                <w:rFonts w:ascii="Arial" w:cs="Arial" w:eastAsia="Arial" w:hAnsi="Arial"/>
                <w:sz w:val="12"/>
                <w:szCs w:val="12"/>
                <w:color w:val="auto"/>
              </w:rPr>
              <w:t>Retirement of treasury stock</w:t>
            </w: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(66,295)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1,457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(1,457)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40" w:type="dxa"/>
            <w:vAlign w:val="bottom"/>
            <w:gridSpan w:val="2"/>
          </w:tcPr>
          <w:p>
            <w:pPr>
              <w:ind w:left="10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Unrealized loss on investments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ind w:left="1020"/>
              <w:spacing w:after="0"/>
              <w:rPr>
                <w:sz w:val="20"/>
                <w:szCs w:val="20"/>
                <w:color w:val="auto"/>
              </w:rPr>
            </w:pPr>
            <w:r>
              <w:rPr>
                <w:rFonts w:ascii="Arial" w:cs="Arial" w:eastAsia="Arial" w:hAnsi="Arial"/>
                <w:sz w:val="12"/>
                <w:szCs w:val="12"/>
                <w:color w:val="auto"/>
                <w:w w:val="95"/>
              </w:rPr>
              <w:t>(4)</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55"/>
        </w:trPr>
        <w:tc>
          <w:tcPr>
            <w:tcW w:w="26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loss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(52,886)</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(52,886)</w:t>
            </w:r>
          </w:p>
        </w:tc>
        <w:tc>
          <w:tcPr>
            <w:tcW w:w="0" w:type="dxa"/>
            <w:vAlign w:val="bottom"/>
          </w:tcPr>
          <w:p>
            <w:pPr>
              <w:spacing w:after="0"/>
              <w:rPr>
                <w:sz w:val="1"/>
                <w:szCs w:val="1"/>
                <w:color w:val="auto"/>
              </w:rPr>
            </w:pPr>
          </w:p>
        </w:tc>
      </w:tr>
      <w:tr>
        <w:trPr>
          <w:trHeight w:val="161"/>
        </w:trPr>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September 30, 2021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61,254,693</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613</w:t>
            </w: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1,206,742</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(915,914)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2"/>
                <w:szCs w:val="12"/>
                <w:color w:val="auto"/>
                <w:w w:val="95"/>
              </w:rPr>
              <w:t>(3)</w:t>
            </w: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291,438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004" w:right="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24"/>
        </w:trPr>
        <w:tc>
          <w:tcPr>
            <w:tcW w:w="2600" w:type="dxa"/>
            <w:vAlign w:val="bottom"/>
          </w:tcPr>
          <w:p>
            <w:pPr>
              <w:spacing w:after="0"/>
              <w:rPr>
                <w:sz w:val="10"/>
                <w:szCs w:val="1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Common Stock</w:t>
            </w:r>
          </w:p>
        </w:tc>
        <w:tc>
          <w:tcPr>
            <w:tcW w:w="6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0"/>
                <w:szCs w:val="10"/>
                <w:b w:val="1"/>
                <w:bCs w:val="1"/>
                <w:color w:val="auto"/>
              </w:rPr>
              <w:t>Treasury Stock</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Additional</w:t>
            </w: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5"/>
              </w:rPr>
              <w:t>Accumulated</w:t>
            </w:r>
          </w:p>
        </w:tc>
        <w:tc>
          <w:tcPr>
            <w:tcW w:w="200" w:type="dxa"/>
            <w:vAlign w:val="bottom"/>
          </w:tcPr>
          <w:p>
            <w:pPr>
              <w:spacing w:after="0"/>
              <w:rPr>
                <w:sz w:val="10"/>
                <w:szCs w:val="10"/>
                <w:color w:val="auto"/>
              </w:rPr>
            </w:pPr>
          </w:p>
        </w:tc>
        <w:tc>
          <w:tcPr>
            <w:tcW w:w="980" w:type="dxa"/>
            <w:vAlign w:val="bottom"/>
          </w:tcPr>
          <w:p>
            <w:pPr>
              <w:jc w:val="center"/>
              <w:ind w:right="141"/>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71"/>
        </w:trPr>
        <w:tc>
          <w:tcPr>
            <w:tcW w:w="2600" w:type="dxa"/>
            <w:vAlign w:val="bottom"/>
          </w:tcPr>
          <w:p>
            <w:pPr>
              <w:spacing w:after="0"/>
              <w:rPr>
                <w:sz w:val="6"/>
                <w:szCs w:val="6"/>
                <w:color w:val="auto"/>
              </w:rPr>
            </w:pPr>
          </w:p>
        </w:tc>
        <w:tc>
          <w:tcPr>
            <w:tcW w:w="1160" w:type="dxa"/>
            <w:vAlign w:val="bottom"/>
            <w:gridSpan w:val="2"/>
            <w:vMerge w:val="restart"/>
          </w:tcPr>
          <w:p>
            <w:pPr>
              <w:ind w:left="400"/>
              <w:spacing w:after="0"/>
              <w:rPr>
                <w:sz w:val="20"/>
                <w:szCs w:val="20"/>
                <w:color w:val="auto"/>
              </w:rPr>
            </w:pPr>
            <w:r>
              <w:rPr>
                <w:rFonts w:ascii="Arial" w:cs="Arial" w:eastAsia="Arial" w:hAnsi="Arial"/>
                <w:sz w:val="10"/>
                <w:szCs w:val="10"/>
                <w:b w:val="1"/>
                <w:bCs w:val="1"/>
                <w:color w:val="auto"/>
              </w:rPr>
              <w:t>Shares</w:t>
            </w:r>
          </w:p>
        </w:tc>
        <w:tc>
          <w:tcPr>
            <w:tcW w:w="200" w:type="dxa"/>
            <w:vAlign w:val="bottom"/>
          </w:tcPr>
          <w:p>
            <w:pPr>
              <w:spacing w:after="0"/>
              <w:rPr>
                <w:sz w:val="6"/>
                <w:szCs w:val="6"/>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Amount</w:t>
            </w:r>
          </w:p>
        </w:tc>
        <w:tc>
          <w:tcPr>
            <w:tcW w:w="920" w:type="dxa"/>
            <w:vAlign w:val="bottom"/>
            <w:gridSpan w:val="2"/>
            <w:vMerge w:val="restart"/>
          </w:tcPr>
          <w:p>
            <w:pPr>
              <w:ind w:left="28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6"/>
                <w:szCs w:val="6"/>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Amount</w:t>
            </w:r>
          </w:p>
        </w:tc>
        <w:tc>
          <w:tcPr>
            <w:tcW w:w="200" w:type="dxa"/>
            <w:vAlign w:val="bottom"/>
          </w:tcPr>
          <w:p>
            <w:pPr>
              <w:spacing w:after="0"/>
              <w:rPr>
                <w:sz w:val="6"/>
                <w:szCs w:val="6"/>
                <w:color w:val="auto"/>
              </w:rPr>
            </w:pPr>
          </w:p>
        </w:tc>
        <w:tc>
          <w:tcPr>
            <w:tcW w:w="1000" w:type="dxa"/>
            <w:vAlign w:val="bottom"/>
            <w:gridSpan w:val="2"/>
          </w:tcPr>
          <w:p>
            <w:pPr>
              <w:jc w:val="center"/>
              <w:ind w:right="280"/>
              <w:spacing w:after="0" w:line="72" w:lineRule="exact"/>
              <w:rPr>
                <w:sz w:val="20"/>
                <w:szCs w:val="20"/>
                <w:color w:val="auto"/>
              </w:rPr>
            </w:pPr>
            <w:r>
              <w:rPr>
                <w:rFonts w:ascii="Arial" w:cs="Arial" w:eastAsia="Arial" w:hAnsi="Arial"/>
                <w:sz w:val="7"/>
                <w:szCs w:val="7"/>
                <w:b w:val="1"/>
                <w:bCs w:val="1"/>
                <w:color w:val="auto"/>
              </w:rPr>
              <w:t>Paid-In</w:t>
            </w:r>
          </w:p>
        </w:tc>
        <w:tc>
          <w:tcPr>
            <w:tcW w:w="180" w:type="dxa"/>
            <w:vAlign w:val="bottom"/>
          </w:tcPr>
          <w:p>
            <w:pPr>
              <w:spacing w:after="0"/>
              <w:rPr>
                <w:sz w:val="6"/>
                <w:szCs w:val="6"/>
                <w:color w:val="auto"/>
              </w:rPr>
            </w:pPr>
          </w:p>
        </w:tc>
        <w:tc>
          <w:tcPr>
            <w:tcW w:w="1020" w:type="dxa"/>
            <w:vAlign w:val="bottom"/>
            <w:gridSpan w:val="2"/>
          </w:tcPr>
          <w:p>
            <w:pPr>
              <w:ind w:left="100"/>
              <w:spacing w:after="0" w:line="72" w:lineRule="exact"/>
              <w:rPr>
                <w:sz w:val="20"/>
                <w:szCs w:val="20"/>
                <w:color w:val="auto"/>
              </w:rPr>
            </w:pPr>
            <w:r>
              <w:rPr>
                <w:rFonts w:ascii="Arial" w:cs="Arial" w:eastAsia="Arial" w:hAnsi="Arial"/>
                <w:sz w:val="7"/>
                <w:szCs w:val="7"/>
                <w:b w:val="1"/>
                <w:bCs w:val="1"/>
                <w:color w:val="auto"/>
              </w:rPr>
              <w:t>Accumulated</w:t>
            </w:r>
          </w:p>
        </w:tc>
        <w:tc>
          <w:tcPr>
            <w:tcW w:w="100" w:type="dxa"/>
            <w:vAlign w:val="bottom"/>
          </w:tcPr>
          <w:p>
            <w:pPr>
              <w:spacing w:after="0"/>
              <w:rPr>
                <w:sz w:val="6"/>
                <w:szCs w:val="6"/>
                <w:color w:val="auto"/>
              </w:rPr>
            </w:pPr>
          </w:p>
        </w:tc>
        <w:tc>
          <w:tcPr>
            <w:tcW w:w="1240" w:type="dxa"/>
            <w:vAlign w:val="bottom"/>
            <w:gridSpan w:val="2"/>
          </w:tcPr>
          <w:p>
            <w:pPr>
              <w:jc w:val="center"/>
              <w:ind w:right="180"/>
              <w:spacing w:after="0" w:line="72" w:lineRule="exact"/>
              <w:rPr>
                <w:sz w:val="20"/>
                <w:szCs w:val="20"/>
                <w:color w:val="auto"/>
              </w:rPr>
            </w:pPr>
            <w:r>
              <w:rPr>
                <w:rFonts w:ascii="Arial" w:cs="Arial" w:eastAsia="Arial" w:hAnsi="Arial"/>
                <w:sz w:val="7"/>
                <w:szCs w:val="7"/>
                <w:b w:val="1"/>
                <w:bCs w:val="1"/>
                <w:color w:val="auto"/>
              </w:rPr>
              <w:t>Other</w:t>
            </w:r>
          </w:p>
        </w:tc>
        <w:tc>
          <w:tcPr>
            <w:tcW w:w="200" w:type="dxa"/>
            <w:vAlign w:val="bottom"/>
          </w:tcPr>
          <w:p>
            <w:pPr>
              <w:spacing w:after="0"/>
              <w:rPr>
                <w:sz w:val="6"/>
                <w:szCs w:val="6"/>
                <w:color w:val="auto"/>
              </w:rPr>
            </w:pPr>
          </w:p>
        </w:tc>
        <w:tc>
          <w:tcPr>
            <w:tcW w:w="980" w:type="dxa"/>
            <w:vAlign w:val="bottom"/>
          </w:tcPr>
          <w:p>
            <w:pPr>
              <w:jc w:val="center"/>
              <w:ind w:right="141"/>
              <w:spacing w:after="0" w:line="72"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83"/>
        </w:trPr>
        <w:tc>
          <w:tcPr>
            <w:tcW w:w="260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vMerge w:val="restart"/>
          </w:tcPr>
          <w:p>
            <w:pPr>
              <w:jc w:val="center"/>
              <w:ind w:right="141"/>
              <w:spacing w:after="0"/>
              <w:rPr>
                <w:sz w:val="20"/>
                <w:szCs w:val="20"/>
                <w:color w:val="auto"/>
              </w:rPr>
            </w:pPr>
            <w:r>
              <w:rPr>
                <w:rFonts w:ascii="Arial" w:cs="Arial" w:eastAsia="Arial" w:hAnsi="Arial"/>
                <w:sz w:val="10"/>
                <w:szCs w:val="10"/>
                <w:b w:val="1"/>
                <w:bCs w:val="1"/>
                <w:color w:val="auto"/>
                <w:w w:val="95"/>
              </w:rPr>
              <w:t>Capital</w:t>
            </w:r>
          </w:p>
        </w:tc>
        <w:tc>
          <w:tcPr>
            <w:tcW w:w="80" w:type="dxa"/>
            <w:vAlign w:val="bottom"/>
            <w:vMerge w:val="restart"/>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Deficit</w:t>
            </w:r>
          </w:p>
        </w:tc>
        <w:tc>
          <w:tcPr>
            <w:tcW w:w="10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vMerge w:val="restart"/>
          </w:tcPr>
          <w:p>
            <w:pPr>
              <w:jc w:val="center"/>
              <w:ind w:right="61"/>
              <w:spacing w:after="0"/>
              <w:rPr>
                <w:sz w:val="20"/>
                <w:szCs w:val="20"/>
                <w:color w:val="auto"/>
              </w:rPr>
            </w:pPr>
            <w:r>
              <w:rPr>
                <w:rFonts w:ascii="Arial" w:cs="Arial" w:eastAsia="Arial" w:hAnsi="Arial"/>
                <w:sz w:val="10"/>
                <w:szCs w:val="10"/>
                <w:b w:val="1"/>
                <w:bCs w:val="1"/>
                <w:color w:val="auto"/>
                <w:w w:val="86"/>
              </w:rPr>
              <w:t>Comprehensive Income</w:t>
            </w:r>
          </w:p>
        </w:tc>
        <w:tc>
          <w:tcPr>
            <w:tcW w:w="60" w:type="dxa"/>
            <w:vAlign w:val="bottom"/>
            <w:vMerge w:val="restart"/>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vMerge w:val="restart"/>
          </w:tcPr>
          <w:p>
            <w:pPr>
              <w:jc w:val="center"/>
              <w:ind w:right="141"/>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44"/>
        </w:trPr>
        <w:tc>
          <w:tcPr>
            <w:tcW w:w="26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vMerge w:val="continue"/>
          </w:tcPr>
          <w:p>
            <w:pPr>
              <w:spacing w:after="0"/>
              <w:rPr>
                <w:sz w:val="3"/>
                <w:szCs w:val="3"/>
                <w:color w:val="auto"/>
              </w:rPr>
            </w:pPr>
          </w:p>
        </w:tc>
        <w:tc>
          <w:tcPr>
            <w:tcW w:w="80" w:type="dxa"/>
            <w:vAlign w:val="bottom"/>
            <w:tcBorders>
              <w:bottom w:val="single" w:sz="8" w:color="CCEEFF"/>
            </w:tcBorders>
            <w:vMerge w:val="continue"/>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vMerge w:val="continue"/>
          </w:tcPr>
          <w:p>
            <w:pPr>
              <w:spacing w:after="0"/>
              <w:rPr>
                <w:sz w:val="3"/>
                <w:szCs w:val="3"/>
                <w:color w:val="auto"/>
              </w:rPr>
            </w:pPr>
          </w:p>
        </w:tc>
        <w:tc>
          <w:tcPr>
            <w:tcW w:w="60" w:type="dxa"/>
            <w:vAlign w:val="bottom"/>
            <w:tcBorders>
              <w:bottom w:val="single" w:sz="8" w:color="CCEEFF"/>
            </w:tcBorders>
            <w:vMerge w:val="continue"/>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Balance, December 31, 2019</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48,958,763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872,204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(642,082)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230,628</w:t>
            </w:r>
          </w:p>
        </w:tc>
        <w:tc>
          <w:tcPr>
            <w:tcW w:w="0" w:type="dxa"/>
            <w:vAlign w:val="bottom"/>
          </w:tcPr>
          <w:p>
            <w:pPr>
              <w:spacing w:after="0"/>
              <w:rPr>
                <w:sz w:val="1"/>
                <w:szCs w:val="1"/>
                <w:color w:val="auto"/>
              </w:rPr>
            </w:pPr>
          </w:p>
        </w:tc>
      </w:tr>
      <w:tr>
        <w:trPr>
          <w:trHeight w:val="155"/>
        </w:trPr>
        <w:tc>
          <w:tcPr>
            <w:tcW w:w="2600" w:type="dxa"/>
            <w:vAlign w:val="bottom"/>
          </w:tcPr>
          <w:p>
            <w:pPr>
              <w:spacing w:after="0"/>
              <w:rPr>
                <w:sz w:val="20"/>
                <w:szCs w:val="20"/>
                <w:color w:val="auto"/>
              </w:rPr>
            </w:pPr>
            <w:r>
              <w:rPr>
                <w:rFonts w:ascii="Arial" w:cs="Arial" w:eastAsia="Arial" w:hAnsi="Arial"/>
                <w:sz w:val="12"/>
                <w:szCs w:val="12"/>
                <w:color w:val="auto"/>
              </w:rPr>
              <w:t>Share-based compensation</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4,451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4,451</w:t>
            </w:r>
          </w:p>
        </w:tc>
        <w:tc>
          <w:tcPr>
            <w:tcW w:w="0" w:type="dxa"/>
            <w:vAlign w:val="bottom"/>
          </w:tcPr>
          <w:p>
            <w:pPr>
              <w:spacing w:after="0"/>
              <w:rPr>
                <w:sz w:val="1"/>
                <w:szCs w:val="1"/>
                <w:color w:val="auto"/>
              </w:rPr>
            </w:pPr>
          </w:p>
        </w:tc>
      </w:tr>
      <w:tr>
        <w:trPr>
          <w:trHeight w:val="156"/>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Stock plan related activity</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172,387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162</w:t>
            </w:r>
          </w:p>
        </w:tc>
        <w:tc>
          <w:tcPr>
            <w:tcW w:w="0" w:type="dxa"/>
            <w:vAlign w:val="bottom"/>
          </w:tcPr>
          <w:p>
            <w:pPr>
              <w:spacing w:after="0"/>
              <w:rPr>
                <w:sz w:val="1"/>
                <w:szCs w:val="1"/>
                <w:color w:val="auto"/>
              </w:rPr>
            </w:pPr>
          </w:p>
        </w:tc>
      </w:tr>
      <w:tr>
        <w:trPr>
          <w:trHeight w:val="155"/>
        </w:trPr>
        <w:tc>
          <w:tcPr>
            <w:tcW w:w="2600" w:type="dxa"/>
            <w:vAlign w:val="bottom"/>
          </w:tcPr>
          <w:p>
            <w:pPr>
              <w:spacing w:after="0"/>
              <w:rPr>
                <w:sz w:val="20"/>
                <w:szCs w:val="20"/>
                <w:color w:val="auto"/>
              </w:rPr>
            </w:pPr>
            <w:r>
              <w:rPr>
                <w:rFonts w:ascii="Arial" w:cs="Arial" w:eastAsia="Arial" w:hAnsi="Arial"/>
                <w:sz w:val="12"/>
                <w:szCs w:val="12"/>
                <w:color w:val="auto"/>
              </w:rPr>
              <w:t>Unrealized gain on investments</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02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56</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156"/>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(44,724)</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(44,724)</w:t>
            </w:r>
          </w:p>
        </w:tc>
        <w:tc>
          <w:tcPr>
            <w:tcW w:w="0" w:type="dxa"/>
            <w:vAlign w:val="bottom"/>
          </w:tcPr>
          <w:p>
            <w:pPr>
              <w:spacing w:after="0"/>
              <w:rPr>
                <w:sz w:val="1"/>
                <w:szCs w:val="1"/>
                <w:color w:val="auto"/>
              </w:rPr>
            </w:pPr>
          </w:p>
        </w:tc>
      </w:tr>
      <w:tr>
        <w:trPr>
          <w:trHeight w:val="144"/>
        </w:trPr>
        <w:tc>
          <w:tcPr>
            <w:tcW w:w="2600" w:type="dxa"/>
            <w:vAlign w:val="bottom"/>
          </w:tcPr>
          <w:p>
            <w:pPr>
              <w:spacing w:after="0"/>
              <w:rPr>
                <w:sz w:val="20"/>
                <w:szCs w:val="20"/>
                <w:color w:val="auto"/>
              </w:rPr>
            </w:pPr>
            <w:r>
              <w:rPr>
                <w:rFonts w:ascii="Arial" w:cs="Arial" w:eastAsia="Arial" w:hAnsi="Arial"/>
                <w:sz w:val="12"/>
                <w:szCs w:val="12"/>
                <w:color w:val="auto"/>
              </w:rPr>
              <w:t>Balance, March 31, 2020</w:t>
            </w:r>
          </w:p>
        </w:tc>
        <w:tc>
          <w:tcPr>
            <w:tcW w:w="1080" w:type="dxa"/>
            <w:vAlign w:val="bottom"/>
          </w:tcPr>
          <w:p>
            <w:pPr>
              <w:jc w:val="right"/>
              <w:spacing w:after="0"/>
              <w:rPr>
                <w:sz w:val="20"/>
                <w:szCs w:val="20"/>
                <w:color w:val="auto"/>
              </w:rPr>
            </w:pPr>
            <w:r>
              <w:rPr>
                <w:rFonts w:ascii="Arial" w:cs="Arial" w:eastAsia="Arial" w:hAnsi="Arial"/>
                <w:sz w:val="12"/>
                <w:szCs w:val="12"/>
                <w:color w:val="auto"/>
              </w:rPr>
              <w:t>49,131,150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492</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876,815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(686,806)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72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190,573</w:t>
            </w:r>
          </w:p>
        </w:tc>
        <w:tc>
          <w:tcPr>
            <w:tcW w:w="0" w:type="dxa"/>
            <w:vAlign w:val="bottom"/>
          </w:tcPr>
          <w:p>
            <w:pPr>
              <w:spacing w:after="0"/>
              <w:rPr>
                <w:sz w:val="1"/>
                <w:szCs w:val="1"/>
                <w:color w:val="auto"/>
              </w:rPr>
            </w:pPr>
          </w:p>
        </w:tc>
      </w:tr>
      <w:tr>
        <w:trPr>
          <w:trHeight w:val="156"/>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5,136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5,136</w:t>
            </w:r>
          </w:p>
        </w:tc>
        <w:tc>
          <w:tcPr>
            <w:tcW w:w="0" w:type="dxa"/>
            <w:vAlign w:val="bottom"/>
          </w:tcPr>
          <w:p>
            <w:pPr>
              <w:spacing w:after="0"/>
              <w:rPr>
                <w:sz w:val="1"/>
                <w:szCs w:val="1"/>
                <w:color w:val="auto"/>
              </w:rPr>
            </w:pPr>
          </w:p>
        </w:tc>
      </w:tr>
      <w:tr>
        <w:trPr>
          <w:trHeight w:val="155"/>
        </w:trPr>
        <w:tc>
          <w:tcPr>
            <w:tcW w:w="2600" w:type="dxa"/>
            <w:vAlign w:val="bottom"/>
          </w:tcPr>
          <w:p>
            <w:pPr>
              <w:spacing w:after="0"/>
              <w:rPr>
                <w:sz w:val="20"/>
                <w:szCs w:val="20"/>
                <w:color w:val="auto"/>
              </w:rPr>
            </w:pPr>
            <w:r>
              <w:rPr>
                <w:rFonts w:ascii="Arial" w:cs="Arial" w:eastAsia="Arial" w:hAnsi="Arial"/>
                <w:sz w:val="12"/>
                <w:szCs w:val="12"/>
                <w:color w:val="auto"/>
              </w:rPr>
              <w:t>Issuance of common stock, net of offering costs</w:t>
            </w:r>
          </w:p>
        </w:tc>
        <w:tc>
          <w:tcPr>
            <w:tcW w:w="1080" w:type="dxa"/>
            <w:vAlign w:val="bottom"/>
          </w:tcPr>
          <w:p>
            <w:pPr>
              <w:jc w:val="right"/>
              <w:spacing w:after="0"/>
              <w:rPr>
                <w:sz w:val="20"/>
                <w:szCs w:val="20"/>
                <w:color w:val="auto"/>
              </w:rPr>
            </w:pPr>
            <w:r>
              <w:rPr>
                <w:rFonts w:ascii="Arial" w:cs="Arial" w:eastAsia="Arial" w:hAnsi="Arial"/>
                <w:sz w:val="12"/>
                <w:szCs w:val="12"/>
                <w:color w:val="auto"/>
              </w:rPr>
              <w:t>4,060,482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40</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96,472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96,512</w:t>
            </w:r>
          </w:p>
        </w:tc>
        <w:tc>
          <w:tcPr>
            <w:tcW w:w="0" w:type="dxa"/>
            <w:vAlign w:val="bottom"/>
          </w:tcPr>
          <w:p>
            <w:pPr>
              <w:spacing w:after="0"/>
              <w:rPr>
                <w:sz w:val="1"/>
                <w:szCs w:val="1"/>
                <w:color w:val="auto"/>
              </w:rPr>
            </w:pPr>
          </w:p>
        </w:tc>
      </w:tr>
      <w:tr>
        <w:trPr>
          <w:trHeight w:val="156"/>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Stock plan related activity</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173,371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2,503</w:t>
            </w:r>
          </w:p>
        </w:tc>
        <w:tc>
          <w:tcPr>
            <w:tcW w:w="0" w:type="dxa"/>
            <w:vAlign w:val="bottom"/>
          </w:tcPr>
          <w:p>
            <w:pPr>
              <w:spacing w:after="0"/>
              <w:rPr>
                <w:sz w:val="1"/>
                <w:szCs w:val="1"/>
                <w:color w:val="auto"/>
              </w:rPr>
            </w:pPr>
          </w:p>
        </w:tc>
      </w:tr>
      <w:tr>
        <w:trPr>
          <w:trHeight w:val="155"/>
        </w:trPr>
        <w:tc>
          <w:tcPr>
            <w:tcW w:w="2600" w:type="dxa"/>
            <w:vAlign w:val="bottom"/>
          </w:tcPr>
          <w:p>
            <w:pPr>
              <w:spacing w:after="0"/>
              <w:rPr>
                <w:sz w:val="20"/>
                <w:szCs w:val="20"/>
                <w:color w:val="auto"/>
              </w:rPr>
            </w:pPr>
            <w:r>
              <w:rPr>
                <w:rFonts w:ascii="Arial" w:cs="Arial" w:eastAsia="Arial" w:hAnsi="Arial"/>
                <w:sz w:val="12"/>
                <w:szCs w:val="12"/>
                <w:color w:val="auto"/>
              </w:rPr>
              <w:t>Unrealized loss on investments</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02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(55)</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56"/>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(46,885)</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(46,885)</w:t>
            </w:r>
          </w:p>
        </w:tc>
        <w:tc>
          <w:tcPr>
            <w:tcW w:w="0" w:type="dxa"/>
            <w:vAlign w:val="bottom"/>
          </w:tcPr>
          <w:p>
            <w:pPr>
              <w:spacing w:after="0"/>
              <w:rPr>
                <w:sz w:val="1"/>
                <w:szCs w:val="1"/>
                <w:color w:val="auto"/>
              </w:rPr>
            </w:pPr>
          </w:p>
        </w:tc>
      </w:tr>
      <w:tr>
        <w:trPr>
          <w:trHeight w:val="144"/>
        </w:trPr>
        <w:tc>
          <w:tcPr>
            <w:tcW w:w="2600" w:type="dxa"/>
            <w:vAlign w:val="bottom"/>
          </w:tcPr>
          <w:p>
            <w:pPr>
              <w:spacing w:after="0"/>
              <w:rPr>
                <w:sz w:val="20"/>
                <w:szCs w:val="20"/>
                <w:color w:val="auto"/>
              </w:rPr>
            </w:pPr>
            <w:r>
              <w:rPr>
                <w:rFonts w:ascii="Arial" w:cs="Arial" w:eastAsia="Arial" w:hAnsi="Arial"/>
                <w:sz w:val="12"/>
                <w:szCs w:val="12"/>
                <w:color w:val="auto"/>
              </w:rPr>
              <w:t>Balance, June 30, 2020</w:t>
            </w:r>
          </w:p>
        </w:tc>
        <w:tc>
          <w:tcPr>
            <w:tcW w:w="1080" w:type="dxa"/>
            <w:vAlign w:val="bottom"/>
          </w:tcPr>
          <w:p>
            <w:pPr>
              <w:jc w:val="right"/>
              <w:spacing w:after="0"/>
              <w:rPr>
                <w:sz w:val="20"/>
                <w:szCs w:val="20"/>
                <w:color w:val="auto"/>
              </w:rPr>
            </w:pPr>
            <w:r>
              <w:rPr>
                <w:rFonts w:ascii="Arial" w:cs="Arial" w:eastAsia="Arial" w:hAnsi="Arial"/>
                <w:sz w:val="12"/>
                <w:szCs w:val="12"/>
                <w:color w:val="auto"/>
              </w:rPr>
              <w:t>53,365,003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534</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980,924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(733,691)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17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247,784</w:t>
            </w:r>
          </w:p>
        </w:tc>
        <w:tc>
          <w:tcPr>
            <w:tcW w:w="0" w:type="dxa"/>
            <w:vAlign w:val="bottom"/>
          </w:tcPr>
          <w:p>
            <w:pPr>
              <w:spacing w:after="0"/>
              <w:rPr>
                <w:sz w:val="1"/>
                <w:szCs w:val="1"/>
                <w:color w:val="auto"/>
              </w:rPr>
            </w:pPr>
          </w:p>
        </w:tc>
      </w:tr>
      <w:tr>
        <w:trPr>
          <w:trHeight w:val="156"/>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5,796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5,796</w:t>
            </w:r>
          </w:p>
        </w:tc>
        <w:tc>
          <w:tcPr>
            <w:tcW w:w="0" w:type="dxa"/>
            <w:vAlign w:val="bottom"/>
          </w:tcPr>
          <w:p>
            <w:pPr>
              <w:spacing w:after="0"/>
              <w:rPr>
                <w:sz w:val="1"/>
                <w:szCs w:val="1"/>
                <w:color w:val="auto"/>
              </w:rPr>
            </w:pPr>
          </w:p>
        </w:tc>
      </w:tr>
      <w:tr>
        <w:trPr>
          <w:trHeight w:val="155"/>
        </w:trPr>
        <w:tc>
          <w:tcPr>
            <w:tcW w:w="2600" w:type="dxa"/>
            <w:vAlign w:val="bottom"/>
          </w:tcPr>
          <w:p>
            <w:pPr>
              <w:spacing w:after="0"/>
              <w:rPr>
                <w:sz w:val="20"/>
                <w:szCs w:val="20"/>
                <w:color w:val="auto"/>
              </w:rPr>
            </w:pPr>
            <w:r>
              <w:rPr>
                <w:rFonts w:ascii="Arial" w:cs="Arial" w:eastAsia="Arial" w:hAnsi="Arial"/>
                <w:sz w:val="12"/>
                <w:szCs w:val="12"/>
                <w:color w:val="auto"/>
              </w:rPr>
              <w:t>Issuance of common stock, net of offering costs</w:t>
            </w:r>
          </w:p>
        </w:tc>
        <w:tc>
          <w:tcPr>
            <w:tcW w:w="1080" w:type="dxa"/>
            <w:vAlign w:val="bottom"/>
          </w:tcPr>
          <w:p>
            <w:pPr>
              <w:jc w:val="right"/>
              <w:spacing w:after="0"/>
              <w:rPr>
                <w:sz w:val="20"/>
                <w:szCs w:val="20"/>
                <w:color w:val="auto"/>
              </w:rPr>
            </w:pPr>
            <w:r>
              <w:rPr>
                <w:rFonts w:ascii="Arial" w:cs="Arial" w:eastAsia="Arial" w:hAnsi="Arial"/>
                <w:sz w:val="12"/>
                <w:szCs w:val="12"/>
                <w:color w:val="auto"/>
              </w:rPr>
              <w:t>2,552,333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73,956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73,981</w:t>
            </w:r>
          </w:p>
        </w:tc>
        <w:tc>
          <w:tcPr>
            <w:tcW w:w="0" w:type="dxa"/>
            <w:vAlign w:val="bottom"/>
          </w:tcPr>
          <w:p>
            <w:pPr>
              <w:spacing w:after="0"/>
              <w:rPr>
                <w:sz w:val="1"/>
                <w:szCs w:val="1"/>
                <w:color w:val="auto"/>
              </w:rPr>
            </w:pPr>
          </w:p>
        </w:tc>
      </w:tr>
      <w:tr>
        <w:trPr>
          <w:trHeight w:val="156"/>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Stock plan related activity</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257,596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74,632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82</w:t>
            </w:r>
          </w:p>
        </w:tc>
        <w:tc>
          <w:tcPr>
            <w:tcW w:w="0" w:type="dxa"/>
            <w:vAlign w:val="bottom"/>
          </w:tcPr>
          <w:p>
            <w:pPr>
              <w:spacing w:after="0"/>
              <w:rPr>
                <w:sz w:val="1"/>
                <w:szCs w:val="1"/>
                <w:color w:val="auto"/>
              </w:rPr>
            </w:pPr>
          </w:p>
        </w:tc>
      </w:tr>
      <w:tr>
        <w:trPr>
          <w:trHeight w:val="155"/>
        </w:trPr>
        <w:tc>
          <w:tcPr>
            <w:tcW w:w="2600" w:type="dxa"/>
            <w:vAlign w:val="bottom"/>
          </w:tcPr>
          <w:p>
            <w:pPr>
              <w:spacing w:after="0"/>
              <w:rPr>
                <w:sz w:val="20"/>
                <w:szCs w:val="20"/>
                <w:color w:val="auto"/>
              </w:rPr>
            </w:pPr>
            <w:r>
              <w:rPr>
                <w:rFonts w:ascii="Arial" w:cs="Arial" w:eastAsia="Arial" w:hAnsi="Arial"/>
                <w:sz w:val="12"/>
                <w:szCs w:val="12"/>
                <w:color w:val="auto"/>
              </w:rPr>
              <w:t>Retirement of treasury stock</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(74,632)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2,012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(2,012)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Unrealized loss on investments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55"/>
        </w:trPr>
        <w:tc>
          <w:tcPr>
            <w:tcW w:w="26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loss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(36,043)</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(36,043)</w:t>
            </w:r>
          </w:p>
        </w:tc>
        <w:tc>
          <w:tcPr>
            <w:tcW w:w="0" w:type="dxa"/>
            <w:vAlign w:val="bottom"/>
          </w:tcPr>
          <w:p>
            <w:pPr>
              <w:spacing w:after="0"/>
              <w:rPr>
                <w:sz w:val="1"/>
                <w:szCs w:val="1"/>
                <w:color w:val="auto"/>
              </w:rPr>
            </w:pPr>
          </w:p>
        </w:tc>
      </w:tr>
      <w:tr>
        <w:trPr>
          <w:trHeight w:val="161"/>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September 30, 2020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56,174,932</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562</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1,060,755</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(769,734)</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291,585</w:t>
            </w:r>
          </w:p>
        </w:tc>
        <w:tc>
          <w:tcPr>
            <w:tcW w:w="0" w:type="dxa"/>
            <w:vAlign w:val="bottom"/>
          </w:tcPr>
          <w:p>
            <w:pPr>
              <w:spacing w:after="0"/>
              <w:rPr>
                <w:sz w:val="1"/>
                <w:szCs w:val="1"/>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1148" w:right="2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2"/>
          <w:szCs w:val="12"/>
          <w:b w:val="1"/>
          <w:bCs w:val="1"/>
          <w:color w:val="auto"/>
        </w:rPr>
        <w:t>MACROGENICS,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7820" w:type="dxa"/>
            <w:vAlign w:val="bottom"/>
          </w:tcPr>
          <w:p>
            <w:pPr>
              <w:spacing w:after="0"/>
              <w:rPr>
                <w:sz w:val="13"/>
                <w:szCs w:val="13"/>
                <w:color w:val="auto"/>
              </w:rPr>
            </w:pPr>
          </w:p>
        </w:tc>
        <w:tc>
          <w:tcPr>
            <w:tcW w:w="2820" w:type="dxa"/>
            <w:vAlign w:val="bottom"/>
            <w:tcBorders>
              <w:bottom w:val="single" w:sz="8" w:color="auto"/>
            </w:tcBorders>
            <w:gridSpan w:val="4"/>
          </w:tcPr>
          <w:p>
            <w:pPr>
              <w:jc w:val="right"/>
              <w:ind w:right="147"/>
              <w:spacing w:after="0"/>
              <w:rPr>
                <w:sz w:val="20"/>
                <w:szCs w:val="20"/>
                <w:color w:val="auto"/>
              </w:rPr>
            </w:pPr>
            <w:r>
              <w:rPr>
                <w:rFonts w:ascii="Arial" w:cs="Arial" w:eastAsia="Arial" w:hAnsi="Arial"/>
                <w:sz w:val="12"/>
                <w:szCs w:val="12"/>
                <w:b w:val="1"/>
                <w:bCs w:val="1"/>
                <w:color w:val="auto"/>
              </w:rPr>
              <w:t>Nine Months Ended September 30,</w:t>
            </w:r>
          </w:p>
        </w:tc>
        <w:tc>
          <w:tcPr>
            <w:tcW w:w="600" w:type="dxa"/>
            <w:vAlign w:val="bottom"/>
            <w:tcBorders>
              <w:bottom w:val="single" w:sz="8" w:color="auto"/>
            </w:tcBorders>
          </w:tcPr>
          <w:p>
            <w:pPr>
              <w:spacing w:after="0"/>
              <w:rPr>
                <w:sz w:val="13"/>
                <w:szCs w:val="13"/>
                <w:color w:val="auto"/>
              </w:rPr>
            </w:pPr>
          </w:p>
        </w:tc>
      </w:tr>
      <w:tr>
        <w:trPr>
          <w:trHeight w:val="145"/>
        </w:trPr>
        <w:tc>
          <w:tcPr>
            <w:tcW w:w="782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12"/>
                <w:szCs w:val="12"/>
                <w:b w:val="1"/>
                <w:bCs w:val="1"/>
                <w:color w:val="auto"/>
              </w:rPr>
              <w:t>2021</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47"/>
              <w:spacing w:after="0"/>
              <w:rPr>
                <w:sz w:val="20"/>
                <w:szCs w:val="20"/>
                <w:color w:val="auto"/>
              </w:rPr>
            </w:pPr>
            <w:r>
              <w:rPr>
                <w:rFonts w:ascii="Arial" w:cs="Arial" w:eastAsia="Arial" w:hAnsi="Arial"/>
                <w:sz w:val="12"/>
                <w:szCs w:val="12"/>
                <w:b w:val="1"/>
                <w:bCs w:val="1"/>
                <w:color w:val="auto"/>
              </w:rPr>
              <w:t>2020</w:t>
            </w:r>
          </w:p>
        </w:tc>
        <w:tc>
          <w:tcPr>
            <w:tcW w:w="600" w:type="dxa"/>
            <w:vAlign w:val="bottom"/>
            <w:tcBorders>
              <w:bottom w:val="single" w:sz="8" w:color="auto"/>
            </w:tcBorders>
          </w:tcPr>
          <w:p>
            <w:pPr>
              <w:spacing w:after="0"/>
              <w:rPr>
                <w:sz w:val="12"/>
                <w:szCs w:val="12"/>
                <w:color w:val="auto"/>
              </w:rPr>
            </w:pPr>
          </w:p>
        </w:tc>
      </w:tr>
      <w:tr>
        <w:trPr>
          <w:trHeight w:val="135"/>
        </w:trPr>
        <w:tc>
          <w:tcPr>
            <w:tcW w:w="782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b w:val="1"/>
                <w:bCs w:val="1"/>
                <w:color w:val="auto"/>
              </w:rPr>
              <w:t>Cash flows from operating activities</w:t>
            </w:r>
          </w:p>
        </w:tc>
        <w:tc>
          <w:tcPr>
            <w:tcW w:w="10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55"/>
        </w:trPr>
        <w:tc>
          <w:tcPr>
            <w:tcW w:w="7820" w:type="dxa"/>
            <w:vAlign w:val="bottom"/>
          </w:tcPr>
          <w:p>
            <w:pPr>
              <w:ind w:left="20"/>
              <w:spacing w:after="0"/>
              <w:rPr>
                <w:sz w:val="20"/>
                <w:szCs w:val="20"/>
                <w:color w:val="auto"/>
              </w:rPr>
            </w:pPr>
            <w:r>
              <w:rPr>
                <w:rFonts w:ascii="Arial" w:cs="Arial" w:eastAsia="Arial" w:hAnsi="Arial"/>
                <w:sz w:val="12"/>
                <w:szCs w:val="12"/>
                <w:color w:val="auto"/>
              </w:rPr>
              <w:t>Net loss</w:t>
            </w:r>
          </w:p>
        </w:tc>
        <w:tc>
          <w:tcPr>
            <w:tcW w:w="1060" w:type="dxa"/>
            <w:vAlign w:val="bottom"/>
          </w:tcPr>
          <w:p>
            <w:pPr>
              <w:jc w:val="right"/>
              <w:ind w:right="945"/>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(144,093)</w:t>
            </w:r>
          </w:p>
        </w:tc>
        <w:tc>
          <w:tcPr>
            <w:tcW w:w="100" w:type="dxa"/>
            <w:vAlign w:val="bottom"/>
          </w:tcPr>
          <w:p>
            <w:pPr>
              <w:spacing w:after="0"/>
              <w:rPr>
                <w:sz w:val="13"/>
                <w:szCs w:val="13"/>
                <w:color w:val="auto"/>
              </w:rPr>
            </w:pPr>
          </w:p>
        </w:tc>
        <w:tc>
          <w:tcPr>
            <w:tcW w:w="1060" w:type="dxa"/>
            <w:vAlign w:val="bottom"/>
          </w:tcPr>
          <w:p>
            <w:pPr>
              <w:jc w:val="right"/>
              <w:ind w:right="947"/>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(127,652)</w:t>
            </w:r>
          </w:p>
        </w:tc>
      </w:tr>
      <w:tr>
        <w:trPr>
          <w:trHeight w:val="156"/>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55"/>
        </w:trPr>
        <w:tc>
          <w:tcPr>
            <w:tcW w:w="7820" w:type="dxa"/>
            <w:vAlign w:val="bottom"/>
          </w:tcPr>
          <w:p>
            <w:pPr>
              <w:ind w:left="80"/>
              <w:spacing w:after="0"/>
              <w:rPr>
                <w:sz w:val="20"/>
                <w:szCs w:val="20"/>
                <w:color w:val="auto"/>
              </w:rPr>
            </w:pPr>
            <w:r>
              <w:rPr>
                <w:rFonts w:ascii="Arial" w:cs="Arial" w:eastAsia="Arial" w:hAnsi="Arial"/>
                <w:sz w:val="12"/>
                <w:szCs w:val="12"/>
                <w:color w:val="auto"/>
              </w:rPr>
              <w:t>Depreciation and amortization expense</w:t>
            </w:r>
          </w:p>
        </w:tc>
        <w:tc>
          <w:tcPr>
            <w:tcW w:w="10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8,306</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9,067</w:t>
            </w:r>
          </w:p>
        </w:tc>
      </w:tr>
      <w:tr>
        <w:trPr>
          <w:trHeight w:val="156"/>
        </w:trPr>
        <w:tc>
          <w:tcPr>
            <w:tcW w:w="7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Amortization of premiums and discounts on marketable securities</w:t>
            </w: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1,267</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w:t>
            </w:r>
          </w:p>
        </w:tc>
      </w:tr>
      <w:tr>
        <w:trPr>
          <w:trHeight w:val="155"/>
        </w:trPr>
        <w:tc>
          <w:tcPr>
            <w:tcW w:w="7820" w:type="dxa"/>
            <w:vAlign w:val="bottom"/>
          </w:tcPr>
          <w:p>
            <w:pPr>
              <w:ind w:left="80"/>
              <w:spacing w:after="0"/>
              <w:rPr>
                <w:sz w:val="20"/>
                <w:szCs w:val="20"/>
                <w:color w:val="auto"/>
              </w:rPr>
            </w:pPr>
            <w:r>
              <w:rPr>
                <w:rFonts w:ascii="Arial" w:cs="Arial" w:eastAsia="Arial" w:hAnsi="Arial"/>
                <w:sz w:val="12"/>
                <w:szCs w:val="12"/>
                <w:color w:val="auto"/>
              </w:rPr>
              <w:t>Stock-based compensation</w:t>
            </w:r>
          </w:p>
        </w:tc>
        <w:tc>
          <w:tcPr>
            <w:tcW w:w="10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17,714</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15,419</w:t>
            </w:r>
          </w:p>
        </w:tc>
      </w:tr>
      <w:tr>
        <w:trPr>
          <w:trHeight w:val="156"/>
        </w:trPr>
        <w:tc>
          <w:tcPr>
            <w:tcW w:w="7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non-cash items</w:t>
            </w: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1,602</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7820" w:type="dxa"/>
            <w:vAlign w:val="bottom"/>
          </w:tcPr>
          <w:p>
            <w:pPr>
              <w:ind w:left="80"/>
              <w:spacing w:after="0"/>
              <w:rPr>
                <w:sz w:val="20"/>
                <w:szCs w:val="20"/>
                <w:color w:val="auto"/>
              </w:rPr>
            </w:pPr>
            <w:r>
              <w:rPr>
                <w:rFonts w:ascii="Arial" w:cs="Arial" w:eastAsia="Arial" w:hAnsi="Arial"/>
                <w:sz w:val="12"/>
                <w:szCs w:val="12"/>
                <w:color w:val="auto"/>
              </w:rPr>
              <w:t>Changes in operating assets and liabilities:</w:t>
            </w: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6"/>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receivable</w:t>
            </w: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9,322</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(6,033)</w:t>
            </w:r>
          </w:p>
        </w:tc>
      </w:tr>
      <w:tr>
        <w:trPr>
          <w:trHeight w:val="155"/>
        </w:trPr>
        <w:tc>
          <w:tcPr>
            <w:tcW w:w="7820" w:type="dxa"/>
            <w:vAlign w:val="bottom"/>
          </w:tcPr>
          <w:p>
            <w:pPr>
              <w:ind w:left="240"/>
              <w:spacing w:after="0"/>
              <w:rPr>
                <w:sz w:val="20"/>
                <w:szCs w:val="20"/>
                <w:color w:val="auto"/>
              </w:rPr>
            </w:pPr>
            <w:r>
              <w:rPr>
                <w:rFonts w:ascii="Arial" w:cs="Arial" w:eastAsia="Arial" w:hAnsi="Arial"/>
                <w:sz w:val="12"/>
                <w:szCs w:val="12"/>
                <w:color w:val="auto"/>
              </w:rPr>
              <w:t>Inventory</w:t>
            </w:r>
          </w:p>
        </w:tc>
        <w:tc>
          <w:tcPr>
            <w:tcW w:w="10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(5,582)</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(1,080)</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654</w:t>
            </w:r>
          </w:p>
        </w:tc>
      </w:tr>
      <w:tr>
        <w:trPr>
          <w:trHeight w:val="155"/>
        </w:trPr>
        <w:tc>
          <w:tcPr>
            <w:tcW w:w="7820" w:type="dxa"/>
            <w:vAlign w:val="bottom"/>
          </w:tcPr>
          <w:p>
            <w:pPr>
              <w:ind w:left="240"/>
              <w:spacing w:after="0"/>
              <w:rPr>
                <w:sz w:val="20"/>
                <w:szCs w:val="20"/>
                <w:color w:val="auto"/>
              </w:rPr>
            </w:pPr>
            <w:r>
              <w:rPr>
                <w:rFonts w:ascii="Arial" w:cs="Arial" w:eastAsia="Arial" w:hAnsi="Arial"/>
                <w:sz w:val="12"/>
                <w:szCs w:val="12"/>
                <w:color w:val="auto"/>
              </w:rPr>
              <w:t>Other assets</w:t>
            </w:r>
          </w:p>
        </w:tc>
        <w:tc>
          <w:tcPr>
            <w:tcW w:w="10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5,146</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1,615</w:t>
            </w:r>
          </w:p>
        </w:tc>
      </w:tr>
      <w:tr>
        <w:trPr>
          <w:trHeight w:val="156"/>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w:t>
            </w: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(1,931)</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w:t>
            </w:r>
          </w:p>
        </w:tc>
      </w:tr>
      <w:tr>
        <w:trPr>
          <w:trHeight w:val="155"/>
        </w:trPr>
        <w:tc>
          <w:tcPr>
            <w:tcW w:w="7820" w:type="dxa"/>
            <w:vAlign w:val="bottom"/>
          </w:tcPr>
          <w:p>
            <w:pPr>
              <w:ind w:left="240"/>
              <w:spacing w:after="0"/>
              <w:rPr>
                <w:sz w:val="20"/>
                <w:szCs w:val="20"/>
                <w:color w:val="auto"/>
              </w:rPr>
            </w:pPr>
            <w:r>
              <w:rPr>
                <w:rFonts w:ascii="Arial" w:cs="Arial" w:eastAsia="Arial" w:hAnsi="Arial"/>
                <w:sz w:val="12"/>
                <w:szCs w:val="12"/>
                <w:color w:val="auto"/>
              </w:rPr>
              <w:t>Accrued expenses and other current liabilities</w:t>
            </w:r>
          </w:p>
        </w:tc>
        <w:tc>
          <w:tcPr>
            <w:tcW w:w="10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7,744</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5,499</w:t>
            </w:r>
          </w:p>
        </w:tc>
      </w:tr>
      <w:tr>
        <w:trPr>
          <w:trHeight w:val="156"/>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Lease liabilities</w:t>
            </w: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(2,701)</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(2,113)</w:t>
            </w:r>
          </w:p>
        </w:tc>
      </w:tr>
      <w:tr>
        <w:trPr>
          <w:trHeight w:val="155"/>
        </w:trPr>
        <w:tc>
          <w:tcPr>
            <w:tcW w:w="7820" w:type="dxa"/>
            <w:vAlign w:val="bottom"/>
          </w:tcPr>
          <w:p>
            <w:pPr>
              <w:ind w:left="240"/>
              <w:spacing w:after="0"/>
              <w:rPr>
                <w:sz w:val="20"/>
                <w:szCs w:val="20"/>
                <w:color w:val="auto"/>
              </w:rPr>
            </w:pPr>
            <w:r>
              <w:rPr>
                <w:rFonts w:ascii="Arial" w:cs="Arial" w:eastAsia="Arial" w:hAnsi="Arial"/>
                <w:sz w:val="12"/>
                <w:szCs w:val="12"/>
                <w:color w:val="auto"/>
              </w:rPr>
              <w:t>Deferred revenue</w:t>
            </w:r>
          </w:p>
        </w:tc>
        <w:tc>
          <w:tcPr>
            <w:tcW w:w="10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14,507</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(4,816)</w:t>
            </w:r>
          </w:p>
        </w:tc>
      </w:tr>
      <w:tr>
        <w:trPr>
          <w:trHeight w:val="156"/>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non current liabilities</w:t>
            </w:r>
          </w:p>
        </w:tc>
        <w:tc>
          <w:tcPr>
            <w:tcW w:w="10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258</w:t>
            </w:r>
          </w:p>
        </w:tc>
        <w:tc>
          <w:tcPr>
            <w:tcW w:w="10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2,245</w:t>
            </w:r>
          </w:p>
        </w:tc>
      </w:tr>
      <w:tr>
        <w:trPr>
          <w:trHeight w:val="144"/>
        </w:trPr>
        <w:tc>
          <w:tcPr>
            <w:tcW w:w="782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2"/>
                <w:szCs w:val="12"/>
                <w:color w:val="auto"/>
              </w:rPr>
              <w:t>Net cash used in operating activities</w:t>
            </w:r>
          </w:p>
        </w:tc>
        <w:tc>
          <w:tcPr>
            <w:tcW w:w="10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(89,521)</w:t>
            </w:r>
          </w:p>
        </w:tc>
        <w:tc>
          <w:tcPr>
            <w:tcW w:w="10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(106,365)</w:t>
            </w:r>
          </w:p>
        </w:tc>
      </w:tr>
      <w:tr>
        <w:trPr>
          <w:trHeight w:val="136"/>
        </w:trPr>
        <w:tc>
          <w:tcPr>
            <w:tcW w:w="782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b w:val="1"/>
                <w:bCs w:val="1"/>
                <w:color w:val="auto"/>
              </w:rPr>
              <w:t>Cash flows from investing activities</w:t>
            </w:r>
          </w:p>
        </w:tc>
        <w:tc>
          <w:tcPr>
            <w:tcW w:w="10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55"/>
        </w:trPr>
        <w:tc>
          <w:tcPr>
            <w:tcW w:w="7820" w:type="dxa"/>
            <w:vAlign w:val="bottom"/>
          </w:tcPr>
          <w:p>
            <w:pPr>
              <w:ind w:left="20"/>
              <w:spacing w:after="0"/>
              <w:rPr>
                <w:sz w:val="20"/>
                <w:szCs w:val="20"/>
                <w:color w:val="auto"/>
              </w:rPr>
            </w:pPr>
            <w:r>
              <w:rPr>
                <w:rFonts w:ascii="Arial" w:cs="Arial" w:eastAsia="Arial" w:hAnsi="Arial"/>
                <w:sz w:val="12"/>
                <w:szCs w:val="12"/>
                <w:color w:val="auto"/>
              </w:rPr>
              <w:t>Purchases of marketable securities</w:t>
            </w:r>
          </w:p>
        </w:tc>
        <w:tc>
          <w:tcPr>
            <w:tcW w:w="10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(164,780)</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(151,230)</w:t>
            </w:r>
          </w:p>
        </w:tc>
      </w:tr>
      <w:tr>
        <w:trPr>
          <w:trHeight w:val="156"/>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sale and maturities of marketable securities</w:t>
            </w: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146,550</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161,866</w:t>
            </w:r>
          </w:p>
        </w:tc>
      </w:tr>
      <w:tr>
        <w:trPr>
          <w:trHeight w:val="155"/>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Purchases of property, equipment and software</w:t>
            </w:r>
          </w:p>
        </w:tc>
        <w:tc>
          <w:tcPr>
            <w:tcW w:w="1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(4,826)</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(2,346)</w:t>
            </w:r>
          </w:p>
        </w:tc>
      </w:tr>
      <w:tr>
        <w:trPr>
          <w:trHeight w:val="145"/>
        </w:trPr>
        <w:tc>
          <w:tcPr>
            <w:tcW w:w="782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Net cash provided by (used in) investing activities</w:t>
            </w:r>
          </w:p>
        </w:tc>
        <w:tc>
          <w:tcPr>
            <w:tcW w:w="10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(23,056)</w:t>
            </w:r>
          </w:p>
        </w:tc>
        <w:tc>
          <w:tcPr>
            <w:tcW w:w="100" w:type="dxa"/>
            <w:vAlign w:val="bottom"/>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8,290</w:t>
            </w:r>
          </w:p>
        </w:tc>
      </w:tr>
      <w:tr>
        <w:trPr>
          <w:trHeight w:val="135"/>
        </w:trPr>
        <w:tc>
          <w:tcPr>
            <w:tcW w:w="78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Cash flows from financing activities</w:t>
            </w: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55"/>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issuance of common stock, net of offering costs</w:t>
            </w: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117,818</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170,494</w:t>
            </w:r>
          </w:p>
        </w:tc>
      </w:tr>
      <w:tr>
        <w:trPr>
          <w:trHeight w:val="155"/>
        </w:trPr>
        <w:tc>
          <w:tcPr>
            <w:tcW w:w="7820" w:type="dxa"/>
            <w:vAlign w:val="bottom"/>
          </w:tcPr>
          <w:p>
            <w:pPr>
              <w:ind w:left="20"/>
              <w:spacing w:after="0"/>
              <w:rPr>
                <w:sz w:val="20"/>
                <w:szCs w:val="20"/>
                <w:color w:val="auto"/>
              </w:rPr>
            </w:pPr>
            <w:r>
              <w:rPr>
                <w:rFonts w:ascii="Arial" w:cs="Arial" w:eastAsia="Arial" w:hAnsi="Arial"/>
                <w:sz w:val="12"/>
                <w:szCs w:val="12"/>
                <w:color w:val="auto"/>
              </w:rPr>
              <w:t>Proceeds from stock option exercises and ESPP purchases</w:t>
            </w:r>
          </w:p>
        </w:tc>
        <w:tc>
          <w:tcPr>
            <w:tcW w:w="10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5,722</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4,757</w:t>
            </w:r>
          </w:p>
        </w:tc>
      </w:tr>
      <w:tr>
        <w:trPr>
          <w:trHeight w:val="156"/>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Taxes paid related to net share settlement of equity awards</w:t>
            </w:r>
          </w:p>
        </w:tc>
        <w:tc>
          <w:tcPr>
            <w:tcW w:w="10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(1,563)</w:t>
            </w:r>
          </w:p>
        </w:tc>
        <w:tc>
          <w:tcPr>
            <w:tcW w:w="10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(2,011)</w:t>
            </w:r>
          </w:p>
        </w:tc>
      </w:tr>
      <w:tr>
        <w:trPr>
          <w:trHeight w:val="144"/>
        </w:trPr>
        <w:tc>
          <w:tcPr>
            <w:tcW w:w="782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2"/>
                <w:szCs w:val="12"/>
                <w:color w:val="auto"/>
              </w:rPr>
              <w:t>Net cash provided by financing activities</w:t>
            </w:r>
          </w:p>
        </w:tc>
        <w:tc>
          <w:tcPr>
            <w:tcW w:w="10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121,977</w:t>
            </w:r>
          </w:p>
        </w:tc>
        <w:tc>
          <w:tcPr>
            <w:tcW w:w="10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173,240</w:t>
            </w:r>
          </w:p>
        </w:tc>
      </w:tr>
      <w:tr>
        <w:trPr>
          <w:trHeight w:val="145"/>
        </w:trPr>
        <w:tc>
          <w:tcPr>
            <w:tcW w:w="782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Net change in cash and cash equivalents</w:t>
            </w: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9,400</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75,165</w:t>
            </w:r>
          </w:p>
        </w:tc>
      </w:tr>
      <w:tr>
        <w:trPr>
          <w:trHeight w:val="155"/>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Cash and cash equivalents at beginning of period</w:t>
            </w:r>
          </w:p>
        </w:tc>
        <w:tc>
          <w:tcPr>
            <w:tcW w:w="1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181,131</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126,472</w:t>
            </w:r>
          </w:p>
        </w:tc>
      </w:tr>
      <w:tr>
        <w:trPr>
          <w:trHeight w:val="161"/>
        </w:trPr>
        <w:tc>
          <w:tcPr>
            <w:tcW w:w="7820" w:type="dxa"/>
            <w:vAlign w:val="bottom"/>
            <w:tcBorders>
              <w:bottom w:val="single" w:sz="8" w:color="CCEEFF"/>
            </w:tcBorders>
            <w:shd w:val="clear" w:color="auto" w:fill="CCEEFF"/>
          </w:tcPr>
          <w:p>
            <w:pPr>
              <w:ind w:left="20"/>
              <w:spacing w:after="0" w:line="135" w:lineRule="exact"/>
              <w:rPr>
                <w:sz w:val="20"/>
                <w:szCs w:val="20"/>
                <w:color w:val="auto"/>
              </w:rPr>
            </w:pPr>
            <w:r>
              <w:rPr>
                <w:rFonts w:ascii="Arial" w:cs="Arial" w:eastAsia="Arial" w:hAnsi="Arial"/>
                <w:sz w:val="12"/>
                <w:szCs w:val="12"/>
                <w:color w:val="auto"/>
              </w:rPr>
              <w:t>Cash and cash equivalents at end of period</w:t>
            </w:r>
          </w:p>
        </w:tc>
        <w:tc>
          <w:tcPr>
            <w:tcW w:w="1060" w:type="dxa"/>
            <w:vAlign w:val="bottom"/>
            <w:tcBorders>
              <w:bottom w:val="single" w:sz="8" w:color="auto"/>
            </w:tcBorders>
            <w:shd w:val="clear" w:color="auto" w:fill="CCEEFF"/>
          </w:tcPr>
          <w:p>
            <w:pPr>
              <w:jc w:val="right"/>
              <w:ind w:right="945"/>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190,531</w:t>
            </w: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47"/>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201,637</w:t>
            </w:r>
          </w:p>
        </w:tc>
      </w:tr>
      <w:tr>
        <w:trPr>
          <w:trHeight w:val="137"/>
        </w:trPr>
        <w:tc>
          <w:tcPr>
            <w:tcW w:w="7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55"/>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Supplemental Cash Flow Information</w:t>
            </w: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55"/>
        </w:trPr>
        <w:tc>
          <w:tcPr>
            <w:tcW w:w="7820" w:type="dxa"/>
            <w:vAlign w:val="bottom"/>
          </w:tcPr>
          <w:p>
            <w:pPr>
              <w:ind w:left="20"/>
              <w:spacing w:after="0"/>
              <w:rPr>
                <w:sz w:val="20"/>
                <w:szCs w:val="20"/>
                <w:color w:val="auto"/>
              </w:rPr>
            </w:pPr>
            <w:r>
              <w:rPr>
                <w:rFonts w:ascii="Arial" w:cs="Arial" w:eastAsia="Arial" w:hAnsi="Arial"/>
                <w:sz w:val="12"/>
                <w:szCs w:val="12"/>
                <w:color w:val="auto"/>
              </w:rPr>
              <w:t>Property, equipment and software included in accounts payable or accruals</w:t>
            </w:r>
          </w:p>
        </w:tc>
        <w:tc>
          <w:tcPr>
            <w:tcW w:w="1060" w:type="dxa"/>
            <w:vAlign w:val="bottom"/>
            <w:tcBorders>
              <w:bottom w:val="single" w:sz="8" w:color="auto"/>
            </w:tcBorders>
          </w:tcPr>
          <w:p>
            <w:pPr>
              <w:jc w:val="right"/>
              <w:ind w:right="945"/>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w:t>
            </w:r>
          </w:p>
        </w:tc>
        <w:tc>
          <w:tcPr>
            <w:tcW w:w="100" w:type="dxa"/>
            <w:vAlign w:val="bottom"/>
          </w:tcPr>
          <w:p>
            <w:pPr>
              <w:spacing w:after="0"/>
              <w:rPr>
                <w:sz w:val="13"/>
                <w:szCs w:val="13"/>
                <w:color w:val="auto"/>
              </w:rPr>
            </w:pPr>
          </w:p>
        </w:tc>
        <w:tc>
          <w:tcPr>
            <w:tcW w:w="1060" w:type="dxa"/>
            <w:vAlign w:val="bottom"/>
            <w:tcBorders>
              <w:bottom w:val="single" w:sz="8" w:color="auto"/>
            </w:tcBorders>
          </w:tcPr>
          <w:p>
            <w:pPr>
              <w:jc w:val="right"/>
              <w:ind w:right="947"/>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20"/>
        </w:trPr>
        <w:tc>
          <w:tcPr>
            <w:tcW w:w="7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60"/>
          </w:cols>
          <w:pgMar w:left="300" w:top="675"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2"/>
          <w:szCs w:val="12"/>
          <w:b w:val="1"/>
          <w:bCs w:val="1"/>
          <w:color w:val="auto"/>
        </w:rPr>
        <w:t>MACROGENICS,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 (unaudited)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Nature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Description of the business</w:t>
      </w:r>
    </w:p>
    <w:p>
      <w:pPr>
        <w:spacing w:after="0" w:line="118" w:lineRule="exact"/>
        <w:rPr>
          <w:sz w:val="20"/>
          <w:szCs w:val="20"/>
          <w:color w:val="auto"/>
        </w:rPr>
      </w:pPr>
    </w:p>
    <w:p>
      <w:pPr>
        <w:ind w:firstLine="439"/>
        <w:spacing w:after="0" w:line="259" w:lineRule="auto"/>
        <w:rPr>
          <w:sz w:val="20"/>
          <w:szCs w:val="20"/>
          <w:color w:val="auto"/>
        </w:rPr>
      </w:pPr>
      <w:r>
        <w:rPr>
          <w:rFonts w:ascii="Arial" w:cs="Arial" w:eastAsia="Arial" w:hAnsi="Arial"/>
          <w:sz w:val="12"/>
          <w:szCs w:val="12"/>
          <w:color w:val="auto"/>
        </w:rPr>
        <w:t>MacroGenics, Inc. (the Company) is incorporated in the state of Delaware. The Company is a biopharmaceutical company focused on developing and commercializing innovative antibody-based therapeutics designed to modulate the human immune response for the treatment of cancer. In December 2020, the U.S. Food and Drug Administration (FDA) approved MARGENZA (margetuximab-cmkb) in combination with chemotherapy for the treatment of adult patients with metastatic HER2-positive breast cancer who have received two or more prior anti-HER2 regimens, at least one of which was for metastatic disease. The Company launched MARGENZA in collaboration with its commercialization partner, Eversana Life Science Services, LLC (Eversana), in March 2021. In addition, the Company has a pipeline of product candidates in human clinical testing that have been created primarily using its proprietary, antibody-based technology platforms. The Company believes its product candidates have the potential to have a meaningful effect on treating patients' unmet medical needs as monotherapy or, in some cases, in combination with other therapeutic agents.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Liquidity</w:t>
      </w:r>
    </w:p>
    <w:p>
      <w:pPr>
        <w:spacing w:after="0" w:line="118" w:lineRule="exact"/>
        <w:rPr>
          <w:sz w:val="20"/>
          <w:szCs w:val="20"/>
          <w:color w:val="auto"/>
        </w:rPr>
      </w:pPr>
    </w:p>
    <w:p>
      <w:pPr>
        <w:ind w:right="220" w:firstLine="439"/>
        <w:spacing w:after="0" w:line="282" w:lineRule="auto"/>
        <w:rPr>
          <w:sz w:val="20"/>
          <w:szCs w:val="20"/>
          <w:color w:val="auto"/>
        </w:rPr>
      </w:pPr>
      <w:r>
        <w:rPr>
          <w:rFonts w:ascii="Arial" w:cs="Arial" w:eastAsia="Arial" w:hAnsi="Arial"/>
          <w:sz w:val="12"/>
          <w:szCs w:val="12"/>
          <w:color w:val="auto"/>
        </w:rPr>
        <w:t>The Company’s multiple product candidates currently under development will require significant additional research and development efforts that include extensive preclinical studies and clinical testing, and regulatory approval prior to commercial use.</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1"/>
          <w:szCs w:val="11"/>
          <w:color w:val="auto"/>
        </w:rPr>
        <w:t>As a biotechnology company, the Company has primarily funded its operations with proceeds from the sale of its common stock in equity offerings, revenue from its multiple collaboration agreements, and contracts and</w:t>
      </w:r>
    </w:p>
    <w:p>
      <w:pPr>
        <w:spacing w:after="0" w:line="47" w:lineRule="exact"/>
        <w:rPr>
          <w:sz w:val="20"/>
          <w:szCs w:val="20"/>
          <w:color w:val="auto"/>
        </w:rPr>
      </w:pPr>
    </w:p>
    <w:p>
      <w:pPr>
        <w:ind w:right="60"/>
        <w:spacing w:after="0" w:line="284" w:lineRule="auto"/>
        <w:rPr>
          <w:sz w:val="20"/>
          <w:szCs w:val="20"/>
          <w:color w:val="auto"/>
        </w:rPr>
      </w:pPr>
      <w:r>
        <w:rPr>
          <w:rFonts w:ascii="Arial" w:cs="Arial" w:eastAsia="Arial" w:hAnsi="Arial"/>
          <w:sz w:val="11"/>
          <w:szCs w:val="11"/>
          <w:color w:val="auto"/>
        </w:rPr>
        <w:t>grants from the National Institute of Allergy and Infectious Diseases (NIAID). Management regularly reviews the Company’s available liquidity relative to its operating budget and forecast to monitor the sufficiency of the Company’s working capital, and anticipates continuing to draw upon available sources of capital, including equity and debt instruments, to support its product development activities. Based on the Company’s most recent cash flow forecast, the Company believes its current cash, cash equivalents and marketable securities is sufficient to fund its operating plans for a minimum of twelve months from the date that this Quarterly Report was filed. The Company plans to meet its near-term operating requirements primarily through cash and marketable securities on hand, and a combination of product sales and current and future strategic collaborations and alliances and marketing, distribution or licensing arrangements. In the longer term, the Company plans to meet its operating requirements by generating revenue from product sales to the extent its other product candidates receive marketing approval and can be commercialized, or by potential future equity or debt issuances. There can be no assurances that new sources of capital will be available to the Company on commercially acceptable terms, if at all. Also, any future collaborations, strategic alliances and marketing, distribution or licensing arrangements may require the Company to give up some or all rights to a product or technology at less than its full potential value. If the Company is unable to enter into new arrangements or to perform under current or future agreements or obtain additional capital, the Company will assess its capital resources and may be required to delay, reduce the scope of, or eliminate one or more of its product research and development programs or clinical studies, and/or downsize its organization.</w:t>
      </w:r>
    </w:p>
    <w:p>
      <w:pPr>
        <w:spacing w:after="0" w:line="78" w:lineRule="exact"/>
        <w:rPr>
          <w:sz w:val="20"/>
          <w:szCs w:val="20"/>
          <w:color w:val="auto"/>
        </w:rPr>
      </w:pPr>
    </w:p>
    <w:p>
      <w:pPr>
        <w:ind w:right="320" w:firstLine="439"/>
        <w:spacing w:after="0" w:line="330" w:lineRule="auto"/>
        <w:rPr>
          <w:sz w:val="20"/>
          <w:szCs w:val="20"/>
          <w:color w:val="auto"/>
        </w:rPr>
      </w:pPr>
      <w:r>
        <w:rPr>
          <w:rFonts w:ascii="Arial" w:cs="Arial" w:eastAsia="Arial" w:hAnsi="Arial"/>
          <w:sz w:val="11"/>
          <w:szCs w:val="11"/>
          <w:color w:val="auto"/>
        </w:rPr>
        <w:t>Similar to the other risk factors pertinent to the Company's business, the COVID-19 pandemic might unfavorably impact the Company's ability to generate such additional funding. Given the uncertainty in the rapidly changing market and economic conditions related to the COVID-19 pandemic, the Company will continue to evaluate the nature and extent of the impact of the pandemic on its business and financial position.</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Basis of Presentation</w:t>
      </w:r>
    </w:p>
    <w:p>
      <w:pPr>
        <w:spacing w:after="0" w:line="118" w:lineRule="exact"/>
        <w:rPr>
          <w:sz w:val="20"/>
          <w:szCs w:val="20"/>
          <w:color w:val="auto"/>
        </w:rPr>
      </w:pPr>
    </w:p>
    <w:p>
      <w:pPr>
        <w:ind w:right="60" w:firstLine="439"/>
        <w:spacing w:after="0" w:line="268" w:lineRule="auto"/>
        <w:rPr>
          <w:sz w:val="20"/>
          <w:szCs w:val="20"/>
          <w:color w:val="auto"/>
        </w:rPr>
      </w:pPr>
      <w:r>
        <w:rPr>
          <w:rFonts w:ascii="Arial" w:cs="Arial" w:eastAsia="Arial" w:hAnsi="Arial"/>
          <w:sz w:val="12"/>
          <w:szCs w:val="12"/>
          <w:color w:val="auto"/>
        </w:rPr>
        <w:t>The accompanying unaudited interim consolidated financial statements of the Company have been prepared in accordance with U.S. generally accepted accounting principles (GAAP) for interim financial information. The financial statements include all adjustments (consisting only of normal recurring adjustments) that the management of the Company believes are necessary for a fair presentation of the periods presented. These interim financial results are not necessarily indicative of results expected for the full fiscal year or for any subsequent interim period.</w:t>
      </w:r>
    </w:p>
    <w:p>
      <w:pPr>
        <w:spacing w:after="0" w:line="86" w:lineRule="exact"/>
        <w:rPr>
          <w:sz w:val="20"/>
          <w:szCs w:val="20"/>
          <w:color w:val="auto"/>
        </w:rPr>
      </w:pPr>
    </w:p>
    <w:p>
      <w:pPr>
        <w:ind w:right="40" w:firstLine="439"/>
        <w:spacing w:after="0" w:line="268" w:lineRule="auto"/>
        <w:rPr>
          <w:sz w:val="20"/>
          <w:szCs w:val="20"/>
          <w:color w:val="auto"/>
        </w:rPr>
      </w:pPr>
      <w:r>
        <w:rPr>
          <w:rFonts w:ascii="Arial" w:cs="Arial" w:eastAsia="Arial" w:hAnsi="Arial"/>
          <w:sz w:val="12"/>
          <w:szCs w:val="12"/>
          <w:color w:val="auto"/>
        </w:rPr>
        <w:t>The accompanying unaudited interim consolidated financial statements include the accounts of MacroGenics, Inc. and its wholly owned subsidiaries, MacroGenics UK Limited and MacroGenics Limited. All intercompany accounts and transactions have been eliminated in consolidation. These consolidated financial statements and related notes should be read in conjunction with the financial statements and notes thereto included in the Company's 2020 Annual Report on Form 10-K filed with the Securities and Exchange Commission (SEC) on February 25, 2021.</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675" w:right="31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color w:val="auto"/>
        </w:rPr>
        <w:t>2. Summary of Significant Accounting Policies</w:t>
      </w:r>
    </w:p>
    <w:p>
      <w:pPr>
        <w:spacing w:after="0" w:line="122" w:lineRule="exact"/>
        <w:rPr>
          <w:sz w:val="20"/>
          <w:szCs w:val="20"/>
          <w:color w:val="auto"/>
        </w:rPr>
      </w:pPr>
    </w:p>
    <w:p>
      <w:pPr>
        <w:ind w:right="80" w:firstLine="439"/>
        <w:spacing w:after="0" w:line="282" w:lineRule="auto"/>
        <w:rPr>
          <w:sz w:val="20"/>
          <w:szCs w:val="20"/>
          <w:color w:val="auto"/>
        </w:rPr>
      </w:pPr>
      <w:r>
        <w:rPr>
          <w:rFonts w:ascii="Arial" w:cs="Arial" w:eastAsia="Arial" w:hAnsi="Arial"/>
          <w:sz w:val="12"/>
          <w:szCs w:val="12"/>
          <w:color w:val="auto"/>
        </w:rPr>
        <w:t>During the nine months ended September 30, 2021, the Company adopted the following significant accounting policies in addition to those previously disclosed in the Company’s Annual Report on Form 10-K for the year ended December 31, 2020.</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Inventory</w:t>
      </w:r>
    </w:p>
    <w:p>
      <w:pPr>
        <w:spacing w:after="0" w:line="118" w:lineRule="exact"/>
        <w:rPr>
          <w:sz w:val="20"/>
          <w:szCs w:val="20"/>
          <w:color w:val="auto"/>
        </w:rPr>
      </w:pPr>
    </w:p>
    <w:p>
      <w:pPr>
        <w:ind w:right="340" w:firstLine="439"/>
        <w:spacing w:after="0" w:line="295" w:lineRule="auto"/>
        <w:rPr>
          <w:sz w:val="20"/>
          <w:szCs w:val="20"/>
          <w:color w:val="auto"/>
        </w:rPr>
      </w:pPr>
      <w:r>
        <w:rPr>
          <w:rFonts w:ascii="Arial" w:cs="Arial" w:eastAsia="Arial" w:hAnsi="Arial"/>
          <w:sz w:val="11"/>
          <w:szCs w:val="11"/>
          <w:color w:val="auto"/>
        </w:rPr>
        <w:t>When the Company believes regulatory approval is probable and expects future economic benefit from the sales of a product candidate to be realized, the Company capitalizes manufacturing costs (whether internally produced or through third-party contract manufacturing organizations) as inventory. Prior to receiving its first approval from the FDA in December 2020, the Company expensed all costs incurred related to the manufacture of MARGENZA as research and development expense because of the inherent risks associated with the development of a product candidate, the uncertainty about the regulatory approval process and the lack of history for the Company of regulatory approval of drug candidates. Subsequent to FDA approval in December 2020, the Company began capitalizing its MARGENZA third-party contract manufacturing inventory costs.</w:t>
      </w:r>
    </w:p>
    <w:p>
      <w:pPr>
        <w:spacing w:after="0" w:line="72" w:lineRule="exact"/>
        <w:rPr>
          <w:sz w:val="20"/>
          <w:szCs w:val="20"/>
          <w:color w:val="auto"/>
        </w:rPr>
      </w:pPr>
    </w:p>
    <w:p>
      <w:pPr>
        <w:ind w:right="160" w:firstLine="439"/>
        <w:spacing w:after="0" w:line="263" w:lineRule="auto"/>
        <w:rPr>
          <w:sz w:val="20"/>
          <w:szCs w:val="20"/>
          <w:color w:val="auto"/>
        </w:rPr>
      </w:pPr>
      <w:r>
        <w:rPr>
          <w:rFonts w:ascii="Arial" w:cs="Arial" w:eastAsia="Arial" w:hAnsi="Arial"/>
          <w:sz w:val="12"/>
          <w:szCs w:val="12"/>
          <w:color w:val="auto"/>
        </w:rPr>
        <w:t>Inventory is composed of raw materials, work-in-process, and finished goods, which are goods that are available for sale. The Company values its inventories at the lower of cost or estimated net realizable value. The Company determines the cost of its inventories, which includes amounts related to materials and third-party contract manufacturing costs, on a first-in, first-out basis. The Company performs an assessment of the recoverability of capitalized inventory during each reporting period, and it writes down any excess, obsolete or unsaleable inventories to their estimated realizable value in the period in which the impairment is first identified. Such write downs, should they occur, are recorded within the cost of sales in the statement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Product Revenue, Net</w:t>
      </w:r>
    </w:p>
    <w:p>
      <w:pPr>
        <w:spacing w:after="0" w:line="118" w:lineRule="exact"/>
        <w:rPr>
          <w:sz w:val="20"/>
          <w:szCs w:val="20"/>
          <w:color w:val="auto"/>
        </w:rPr>
      </w:pPr>
    </w:p>
    <w:p>
      <w:pPr>
        <w:ind w:right="20" w:firstLine="439"/>
        <w:spacing w:after="0" w:line="290" w:lineRule="auto"/>
        <w:rPr>
          <w:sz w:val="20"/>
          <w:szCs w:val="20"/>
          <w:color w:val="auto"/>
        </w:rPr>
      </w:pPr>
      <w:r>
        <w:rPr>
          <w:rFonts w:ascii="Arial" w:cs="Arial" w:eastAsia="Arial" w:hAnsi="Arial"/>
          <w:sz w:val="11"/>
          <w:szCs w:val="11"/>
          <w:color w:val="auto"/>
        </w:rPr>
        <w:t xml:space="preserve">The Company entered into a limited number of arrangements with specialty distributors in the United States to distribute MARGENZA. These arrangements are considered to be contracts with customers and are in the scope of Accounting Standards Codification Topic 606, </w:t>
      </w:r>
      <w:r>
        <w:rPr>
          <w:rFonts w:ascii="Arial" w:cs="Arial" w:eastAsia="Arial" w:hAnsi="Arial"/>
          <w:sz w:val="11"/>
          <w:szCs w:val="11"/>
          <w:i w:val="1"/>
          <w:iCs w:val="1"/>
          <w:color w:val="auto"/>
        </w:rPr>
        <w:t>Revenue from Contracts with Customers</w:t>
      </w:r>
      <w:r>
        <w:rPr>
          <w:rFonts w:ascii="Arial" w:cs="Arial" w:eastAsia="Arial" w:hAnsi="Arial"/>
          <w:sz w:val="11"/>
          <w:szCs w:val="11"/>
          <w:color w:val="auto"/>
        </w:rPr>
        <w:t xml:space="preserve"> (ASC 606). The Company has written contracts with each of its customers that have a single performance obligation - to deliver products upon receipt of a customer order - and these obligations are satisfied when delivery occurs and the customer receives the product. The specialty distributors subsequently resell the Company’s product to healthcare providers. Product revenue is recorded net of applicable reserves for variable consideration, including discounts and other allowances. Shipping and handling costs for product shipments occur prior to the customer obtaining control of the goods and are recorded in cost of sales. For the three and nine months ended September 30, 2021, the shipping costs incurred were immaterial.</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Reserves for Variable Consideration</w:t>
      </w:r>
    </w:p>
    <w:p>
      <w:pPr>
        <w:spacing w:after="0" w:line="118" w:lineRule="exact"/>
        <w:rPr>
          <w:sz w:val="20"/>
          <w:szCs w:val="20"/>
          <w:color w:val="auto"/>
        </w:rPr>
      </w:pPr>
    </w:p>
    <w:p>
      <w:pPr>
        <w:ind w:right="20" w:firstLine="439"/>
        <w:spacing w:after="0" w:line="261" w:lineRule="auto"/>
        <w:rPr>
          <w:sz w:val="20"/>
          <w:szCs w:val="20"/>
          <w:color w:val="auto"/>
        </w:rPr>
      </w:pPr>
      <w:r>
        <w:rPr>
          <w:rFonts w:ascii="Arial" w:cs="Arial" w:eastAsia="Arial" w:hAnsi="Arial"/>
          <w:sz w:val="12"/>
          <w:szCs w:val="12"/>
          <w:color w:val="auto"/>
        </w:rPr>
        <w:t>Revenue from product sales is recorded at the net sales price, which includes estimates of variable consideration. Components of variable consideration typically include discounts, product returns, provider chargebacks and discounts and government rebates. Variable consideration is estimated following the expected value method in accordance with ASC 606 and includes such factors as current contractual and statutory requirements, specific known market events and trends, industry data, and forecasted customer buying and payment patterns. 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Estimates of the variable consideration were not deemed constrained during the nine months ended September 30, 2021.</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2"/>
          <w:szCs w:val="12"/>
          <w:i w:val="1"/>
          <w:iCs w:val="1"/>
          <w:color w:val="auto"/>
        </w:rPr>
        <w:t>Customer Discounts and Service Fees</w:t>
      </w:r>
    </w:p>
    <w:p>
      <w:pPr>
        <w:spacing w:after="0" w:line="118" w:lineRule="exact"/>
        <w:rPr>
          <w:sz w:val="20"/>
          <w:szCs w:val="20"/>
          <w:color w:val="auto"/>
        </w:rPr>
      </w:pPr>
    </w:p>
    <w:p>
      <w:pPr>
        <w:ind w:firstLine="439"/>
        <w:spacing w:after="0" w:line="263" w:lineRule="auto"/>
        <w:rPr>
          <w:sz w:val="20"/>
          <w:szCs w:val="20"/>
          <w:color w:val="auto"/>
        </w:rPr>
      </w:pPr>
      <w:r>
        <w:rPr>
          <w:rFonts w:ascii="Arial" w:cs="Arial" w:eastAsia="Arial" w:hAnsi="Arial"/>
          <w:sz w:val="12"/>
          <w:szCs w:val="12"/>
          <w:color w:val="auto"/>
        </w:rPr>
        <w:t>The Company may provide customers with discounts which are explicitly stated in the contracts. These discounts are recorded as a reduction of revenue in the period the related product revenue is recognized. In addition, these contracts may include written service arrangements whereby the Company pays fees to customers who provide services such as sales order management, data, contract administration and distribution services, at rates which the Company believes to be consistent with fair market value. The Company has determined such services received to date are not distinct from the Company’s sale of products to its customers and, therefore, these payments have been recorded as a reduction of revenue within the statement of operations.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2"/>
          <w:szCs w:val="12"/>
          <w:i w:val="1"/>
          <w:iCs w:val="1"/>
          <w:color w:val="auto"/>
        </w:rPr>
        <w:t>Product Returns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985" w:right="319" w:bottom="1440" w:gutter="0" w:footer="0" w:header="0"/>
        </w:sectPr>
      </w:pPr>
    </w:p>
    <w:bookmarkStart w:id="11" w:name="page12"/>
    <w:bookmarkEnd w:id="11"/>
    <w:p>
      <w:pPr>
        <w:ind w:right="40" w:firstLine="439"/>
        <w:spacing w:after="0" w:line="263" w:lineRule="auto"/>
        <w:rPr>
          <w:sz w:val="20"/>
          <w:szCs w:val="20"/>
          <w:color w:val="auto"/>
        </w:rPr>
      </w:pPr>
      <w:r>
        <w:rPr>
          <w:rFonts w:ascii="Arial" w:cs="Arial" w:eastAsia="Arial" w:hAnsi="Arial"/>
          <w:sz w:val="12"/>
          <w:szCs w:val="12"/>
          <w:color w:val="auto"/>
        </w:rPr>
        <w:t>Consistent with industry practice, the Company offers the specialty distributors product return rights pursuant to written contracts and/or Company returned goods policies. The Company estimates the amount of its product sales that may be returned by its customers and records an estimated liability and a reduction of revenue in the period the related product revenue is recognized. The Company currently estimates product returns using industry benchmarking as well as other information available, such as visibility into the inventory remaining in the distribution channel, since the Company does not have its own returns experience. The Company's estimates of product returns may be adjusted in the future based on actual returns experience, known or expected changes in the marketplace, or other factors.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2"/>
          <w:szCs w:val="12"/>
          <w:i w:val="1"/>
          <w:iCs w:val="1"/>
          <w:color w:val="auto"/>
        </w:rPr>
        <w:t>Provider Chargebacks and Discounts</w:t>
      </w:r>
    </w:p>
    <w:p>
      <w:pPr>
        <w:spacing w:after="0" w:line="118" w:lineRule="exact"/>
        <w:rPr>
          <w:sz w:val="20"/>
          <w:szCs w:val="20"/>
          <w:color w:val="auto"/>
        </w:rPr>
      </w:pPr>
    </w:p>
    <w:p>
      <w:pPr>
        <w:ind w:right="40" w:firstLine="439"/>
        <w:spacing w:after="0" w:line="259" w:lineRule="auto"/>
        <w:rPr>
          <w:sz w:val="20"/>
          <w:szCs w:val="20"/>
          <w:color w:val="auto"/>
        </w:rPr>
      </w:pPr>
      <w:r>
        <w:rPr>
          <w:rFonts w:ascii="Arial" w:cs="Arial" w:eastAsia="Arial" w:hAnsi="Arial"/>
          <w:sz w:val="12"/>
          <w:szCs w:val="12"/>
          <w:color w:val="auto"/>
        </w:rPr>
        <w:t>Chargebacks for fees and discounts to healthcare providers represent the estimated obligations resulting from contractual commitments to sell products to qualified healthcare providers at prices lower than the list prices charged to customers who directly purchase the product from the Company. In such cases, customers charge the Company for the difference between what they pay for the product and the ultimate selling price to the qualified healthcare providers. The reserve for chargebacks is established in the same period that the related revenue is recognized, resulting in a reduction of product revenue. Chargeback amounts are generally determined at the time of resale to the qualified healthcare provider by customers, and the Company generally issues credits for such amounts within a few weeks of the customer’s notification to the Company of the resale. Chargebacks consist of credits the Company expects to issue for units that remain in the distribution channel at each reporting period end that the Company expects will be sold to qualified healthcare providers and chargebacks that customers have claimed, but for which the Company has not yet issued a credit.</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2"/>
          <w:szCs w:val="12"/>
          <w:i w:val="1"/>
          <w:iCs w:val="1"/>
          <w:color w:val="auto"/>
        </w:rPr>
        <w:t>Government Rebates</w:t>
      </w:r>
    </w:p>
    <w:p>
      <w:pPr>
        <w:spacing w:after="0" w:line="118" w:lineRule="exact"/>
        <w:rPr>
          <w:sz w:val="20"/>
          <w:szCs w:val="20"/>
          <w:color w:val="auto"/>
        </w:rPr>
      </w:pPr>
    </w:p>
    <w:p>
      <w:pPr>
        <w:ind w:right="20" w:firstLine="439"/>
        <w:spacing w:after="0" w:line="263" w:lineRule="auto"/>
        <w:rPr>
          <w:sz w:val="20"/>
          <w:szCs w:val="20"/>
          <w:color w:val="auto"/>
        </w:rPr>
      </w:pPr>
      <w:r>
        <w:rPr>
          <w:rFonts w:ascii="Arial" w:cs="Arial" w:eastAsia="Arial" w:hAnsi="Arial"/>
          <w:sz w:val="12"/>
          <w:szCs w:val="12"/>
          <w:color w:val="auto"/>
        </w:rPr>
        <w:t>The Company is subject to discount and/or rebate obligations under state Medicaid programs, Medicare and contractual agreements with and statutory obligations to certain Federal and State entities. These reserves are recorded in the same period the related revenue is recognized, resulting in a reduction of product revenue. The Company’s liability for these rebates consists of invoices received for claims from prior quarters that have not been paid or for which an invoice has not yet been received, estimates of claims for the current quarter, and estimates of future claims that will be made for product that has been recognized as revenue, but which remains in the distribution channel at the end of each reporting period.</w:t>
      </w:r>
    </w:p>
    <w:p>
      <w:pPr>
        <w:spacing w:after="0" w:line="90" w:lineRule="exact"/>
        <w:rPr>
          <w:sz w:val="20"/>
          <w:szCs w:val="20"/>
          <w:color w:val="auto"/>
        </w:rPr>
      </w:pPr>
    </w:p>
    <w:p>
      <w:pPr>
        <w:ind w:firstLine="439"/>
        <w:spacing w:after="0" w:line="267" w:lineRule="auto"/>
        <w:rPr>
          <w:sz w:val="20"/>
          <w:szCs w:val="20"/>
          <w:color w:val="auto"/>
        </w:rPr>
      </w:pPr>
      <w:r>
        <w:rPr>
          <w:rFonts w:ascii="Arial" w:cs="Arial" w:eastAsia="Arial" w:hAnsi="Arial"/>
          <w:sz w:val="12"/>
          <w:szCs w:val="12"/>
          <w:color w:val="auto"/>
        </w:rPr>
        <w:t>Customer discounts are recorded as a reduction of accounts receivable on the consolidated balance sheets. Allowance for product returns, provider chargebacks, government and other rebates and service fees are recorded as a component of accrued expenses and other current liabilities on the consolidated balance sheets.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Cost of product sales</w:t>
      </w:r>
    </w:p>
    <w:p>
      <w:pPr>
        <w:spacing w:after="0" w:line="109" w:lineRule="exact"/>
        <w:rPr>
          <w:sz w:val="20"/>
          <w:szCs w:val="20"/>
          <w:color w:val="auto"/>
        </w:rPr>
      </w:pPr>
    </w:p>
    <w:p>
      <w:pPr>
        <w:ind w:right="60" w:firstLine="439"/>
        <w:spacing w:after="0" w:line="286" w:lineRule="auto"/>
        <w:rPr>
          <w:sz w:val="20"/>
          <w:szCs w:val="20"/>
          <w:color w:val="auto"/>
        </w:rPr>
      </w:pPr>
      <w:r>
        <w:rPr>
          <w:rFonts w:ascii="Arial" w:cs="Arial" w:eastAsia="Arial" w:hAnsi="Arial"/>
          <w:sz w:val="11"/>
          <w:szCs w:val="11"/>
          <w:color w:val="auto"/>
        </w:rPr>
        <w:t>Cost of product sales relates to sales of MARGENZA. These costs include material, manufacturing and shipping costs, as well as royalties payable on net sales of MARGENZA. All product costs incurred prior to FDA approval of MARGENZA in December 2020 were expensed as research and development expense. The Company expects cost of product sales to continue to be positively impacted as the Company sells through inventory that was expensed prior to FDA approval of MARGENZA. The Company is currently unable to estimate how long it will be until it begins selling product manufactured post FDA approval.</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Recent Accounting Pronouncements</w:t>
      </w:r>
    </w:p>
    <w:p>
      <w:pPr>
        <w:spacing w:after="0" w:line="109" w:lineRule="exact"/>
        <w:rPr>
          <w:sz w:val="20"/>
          <w:szCs w:val="20"/>
          <w:color w:val="auto"/>
        </w:rPr>
      </w:pPr>
    </w:p>
    <w:p>
      <w:pPr>
        <w:jc w:val="both"/>
        <w:ind w:right="120" w:firstLine="439"/>
        <w:spacing w:after="0" w:line="303" w:lineRule="auto"/>
        <w:rPr>
          <w:sz w:val="20"/>
          <w:szCs w:val="20"/>
          <w:color w:val="auto"/>
        </w:rPr>
      </w:pPr>
      <w:r>
        <w:rPr>
          <w:rFonts w:ascii="Arial" w:cs="Arial" w:eastAsia="Arial" w:hAnsi="Arial"/>
          <w:sz w:val="11"/>
          <w:szCs w:val="11"/>
          <w:color w:val="auto"/>
        </w:rPr>
        <w:t xml:space="preserve">In December 2019, the Financial Accounting Standards Board (FASB) issued Accounting Standards Update (ASU) 2019-12, </w:t>
      </w:r>
      <w:r>
        <w:rPr>
          <w:rFonts w:ascii="Arial" w:cs="Arial" w:eastAsia="Arial" w:hAnsi="Arial"/>
          <w:sz w:val="11"/>
          <w:szCs w:val="11"/>
          <w:i w:val="1"/>
          <w:iCs w:val="1"/>
          <w:color w:val="auto"/>
        </w:rPr>
        <w:t>Income Taxes (Topic 740): Simplifying the Accounting for Income Taxes</w:t>
      </w:r>
      <w:r>
        <w:rPr>
          <w:rFonts w:ascii="Arial" w:cs="Arial" w:eastAsia="Arial" w:hAnsi="Arial"/>
          <w:sz w:val="11"/>
          <w:szCs w:val="11"/>
          <w:color w:val="auto"/>
        </w:rPr>
        <w:t xml:space="preserve"> (ASU 2019-12). ASU 2019-12 is part of the FASB’s overall simplification initiative and seeks to simplify the accounting for income taxes by updating certain guidance and removing certain exceptions. The updated guidance is effective for fiscal years beginning after December 15, 2020 and interim periods within those fiscal years. The adoption of this standard as of January 1, 2021 had no impact on the Company's consolidated financial statements and related disclosures.</w:t>
      </w:r>
    </w:p>
    <w:p>
      <w:pPr>
        <w:spacing w:after="0" w:line="69" w:lineRule="exact"/>
        <w:rPr>
          <w:sz w:val="20"/>
          <w:szCs w:val="20"/>
          <w:color w:val="auto"/>
        </w:rPr>
      </w:pPr>
    </w:p>
    <w:p>
      <w:pPr>
        <w:ind w:right="320" w:firstLine="439"/>
        <w:spacing w:after="0" w:line="282" w:lineRule="auto"/>
        <w:rPr>
          <w:sz w:val="20"/>
          <w:szCs w:val="20"/>
          <w:color w:val="auto"/>
        </w:rPr>
      </w:pPr>
      <w:r>
        <w:rPr>
          <w:rFonts w:ascii="Arial" w:cs="Arial" w:eastAsia="Arial" w:hAnsi="Arial"/>
          <w:sz w:val="12"/>
          <w:szCs w:val="12"/>
          <w:color w:val="auto"/>
        </w:rPr>
        <w:t>The Company has evaluated all other ASUs issued through the date the consolidated financials were issued and believes that the adoption of these ASUs will not have a material impact on the Company's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Fair Value of Financial Instruments</w:t>
      </w:r>
    </w:p>
    <w:p>
      <w:pPr>
        <w:spacing w:after="0" w:line="122" w:lineRule="exact"/>
        <w:rPr>
          <w:sz w:val="20"/>
          <w:szCs w:val="20"/>
          <w:color w:val="auto"/>
        </w:rPr>
      </w:pPr>
    </w:p>
    <w:p>
      <w:pPr>
        <w:ind w:right="60" w:firstLine="439"/>
        <w:spacing w:after="0" w:line="303" w:lineRule="auto"/>
        <w:rPr>
          <w:sz w:val="20"/>
          <w:szCs w:val="20"/>
          <w:color w:val="auto"/>
        </w:rPr>
      </w:pPr>
      <w:r>
        <w:rPr>
          <w:rFonts w:ascii="Arial" w:cs="Arial" w:eastAsia="Arial" w:hAnsi="Arial"/>
          <w:sz w:val="11"/>
          <w:szCs w:val="11"/>
          <w:color w:val="252525"/>
        </w:rPr>
        <w:t xml:space="preserve">The Company's financial instruments consist of cash and cash equivalents, marketable securities, accounts receivable, accounts payable and accrued expenses. The carrying amount of accounts receivable, accounts payable and accrued expenses are generally considered to be representative of their respective fair values because of their short-term nature. </w:t>
      </w:r>
      <w:r>
        <w:rPr>
          <w:rFonts w:ascii="Arial" w:cs="Arial" w:eastAsia="Arial" w:hAnsi="Arial"/>
          <w:sz w:val="11"/>
          <w:szCs w:val="11"/>
          <w:color w:val="000000"/>
        </w:rPr>
        <w:t>The Company accounts for recurring and non-recurring fair value measurements in accordance</w:t>
      </w:r>
      <w:r>
        <w:rPr>
          <w:rFonts w:ascii="Arial" w:cs="Arial" w:eastAsia="Arial" w:hAnsi="Arial"/>
          <w:sz w:val="11"/>
          <w:szCs w:val="11"/>
          <w:color w:val="252525"/>
        </w:rPr>
        <w:t xml:space="preserve"> </w:t>
      </w:r>
      <w:r>
        <w:rPr>
          <w:rFonts w:ascii="Arial" w:cs="Arial" w:eastAsia="Arial" w:hAnsi="Arial"/>
          <w:sz w:val="11"/>
          <w:szCs w:val="11"/>
          <w:color w:val="000000"/>
        </w:rPr>
        <w:t xml:space="preserve">with FASB Accounting Standards Codification (ASC) 820, </w:t>
      </w:r>
      <w:r>
        <w:rPr>
          <w:rFonts w:ascii="Arial" w:cs="Arial" w:eastAsia="Arial" w:hAnsi="Arial"/>
          <w:sz w:val="11"/>
          <w:szCs w:val="11"/>
          <w:i w:val="1"/>
          <w:iCs w:val="1"/>
          <w:color w:val="000000"/>
        </w:rPr>
        <w:t>Fair Value Measurements and Disclosures</w:t>
      </w:r>
      <w:r>
        <w:rPr>
          <w:rFonts w:ascii="Arial" w:cs="Arial" w:eastAsia="Arial" w:hAnsi="Arial"/>
          <w:sz w:val="11"/>
          <w:szCs w:val="11"/>
          <w:color w:val="000000"/>
        </w:rPr>
        <w:t xml:space="preserve"> (ASC 820). ASC 820 defines fair value, establishes a fair value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12" w:name="page13"/>
    <w:bookmarkEnd w:id="12"/>
    <w:p>
      <w:pPr>
        <w:ind w:left="7" w:right="60"/>
        <w:spacing w:after="0" w:line="282" w:lineRule="auto"/>
        <w:rPr>
          <w:sz w:val="20"/>
          <w:szCs w:val="20"/>
          <w:color w:val="auto"/>
        </w:rPr>
      </w:pPr>
      <w:r>
        <w:rPr>
          <w:rFonts w:ascii="Arial" w:cs="Arial" w:eastAsia="Arial" w:hAnsi="Arial"/>
          <w:sz w:val="12"/>
          <w:szCs w:val="12"/>
          <w:color w:val="auto"/>
        </w:rPr>
        <w:t>hierarchy for assets and liabilities measured at fair value, and requires expanded disclosures about fair value measurements. The ASC 820 hierarchy ranks the quality of reliability of inputs, or assumptions, used in the determination of fair value and requires assets and liabilities carried at fair value to be classified and disclosed in one of the following three categories:</w:t>
      </w:r>
    </w:p>
    <w:p>
      <w:pPr>
        <w:spacing w:after="0" w:line="5" w:lineRule="exact"/>
        <w:rPr>
          <w:sz w:val="20"/>
          <w:szCs w:val="20"/>
          <w:color w:val="auto"/>
        </w:rPr>
      </w:pPr>
    </w:p>
    <w:p>
      <w:pPr>
        <w:ind w:left="647" w:hanging="208"/>
        <w:spacing w:after="0"/>
        <w:tabs>
          <w:tab w:leader="none" w:pos="647" w:val="left"/>
        </w:tabs>
        <w:numPr>
          <w:ilvl w:val="0"/>
          <w:numId w:val="5"/>
        </w:numPr>
        <w:rPr>
          <w:rFonts w:ascii="Arial" w:cs="Arial" w:eastAsia="Arial" w:hAnsi="Arial"/>
          <w:sz w:val="12"/>
          <w:szCs w:val="12"/>
          <w:color w:val="auto"/>
        </w:rPr>
      </w:pPr>
      <w:r>
        <w:rPr>
          <w:rFonts w:ascii="Arial" w:cs="Arial" w:eastAsia="Arial" w:hAnsi="Arial"/>
          <w:sz w:val="12"/>
          <w:szCs w:val="12"/>
          <w:color w:val="auto"/>
        </w:rPr>
        <w:t>Level 1 - Fair value is determined by using unadjusted quoted prices that are available in active markets for identical assets and liabilities.</w:t>
      </w:r>
    </w:p>
    <w:p>
      <w:pPr>
        <w:spacing w:after="0" w:line="81" w:lineRule="exact"/>
        <w:rPr>
          <w:rFonts w:ascii="Arial" w:cs="Arial" w:eastAsia="Arial" w:hAnsi="Arial"/>
          <w:sz w:val="12"/>
          <w:szCs w:val="12"/>
          <w:color w:val="auto"/>
        </w:rPr>
      </w:pPr>
    </w:p>
    <w:p>
      <w:pPr>
        <w:jc w:val="both"/>
        <w:ind w:left="667" w:right="60" w:hanging="228"/>
        <w:spacing w:after="0" w:line="268" w:lineRule="auto"/>
        <w:tabs>
          <w:tab w:leader="none" w:pos="664" w:val="left"/>
        </w:tabs>
        <w:numPr>
          <w:ilvl w:val="0"/>
          <w:numId w:val="5"/>
        </w:numPr>
        <w:rPr>
          <w:rFonts w:ascii="Arial" w:cs="Arial" w:eastAsia="Arial" w:hAnsi="Arial"/>
          <w:sz w:val="12"/>
          <w:szCs w:val="12"/>
          <w:color w:val="auto"/>
        </w:rPr>
      </w:pPr>
      <w:r>
        <w:rPr>
          <w:rFonts w:ascii="Arial" w:cs="Arial" w:eastAsia="Arial" w:hAnsi="Arial"/>
          <w:sz w:val="12"/>
          <w:szCs w:val="12"/>
          <w:color w:val="auto"/>
        </w:rPr>
        <w:t>Level 2 - Fair value is determined by using inputs other than Level 1 quoted prices that are directly or indirectly observable. Inputs can include quoted prices for similar assets and liabilities in active markets or quoted prices for identical assets and liabilities in inactive markets. Related inputs can also include those used in valuation or other pricing models, such as interest rates and yield curves that can be corroborated by observable market data.</w:t>
      </w:r>
    </w:p>
    <w:p>
      <w:pPr>
        <w:spacing w:after="0" w:line="49" w:lineRule="exact"/>
        <w:rPr>
          <w:rFonts w:ascii="Arial" w:cs="Arial" w:eastAsia="Arial" w:hAnsi="Arial"/>
          <w:sz w:val="12"/>
          <w:szCs w:val="12"/>
          <w:color w:val="auto"/>
        </w:rPr>
      </w:pPr>
    </w:p>
    <w:p>
      <w:pPr>
        <w:ind w:left="667" w:right="520" w:hanging="228"/>
        <w:spacing w:after="0" w:line="282" w:lineRule="auto"/>
        <w:tabs>
          <w:tab w:leader="none" w:pos="664" w:val="left"/>
        </w:tabs>
        <w:numPr>
          <w:ilvl w:val="0"/>
          <w:numId w:val="5"/>
        </w:numPr>
        <w:rPr>
          <w:rFonts w:ascii="Arial" w:cs="Arial" w:eastAsia="Arial" w:hAnsi="Arial"/>
          <w:sz w:val="12"/>
          <w:szCs w:val="12"/>
          <w:color w:val="auto"/>
        </w:rPr>
      </w:pPr>
      <w:r>
        <w:rPr>
          <w:rFonts w:ascii="Arial" w:cs="Arial" w:eastAsia="Arial" w:hAnsi="Arial"/>
          <w:sz w:val="12"/>
          <w:szCs w:val="12"/>
          <w:color w:val="auto"/>
        </w:rPr>
        <w:t>Level 3 - Fair value is determined by inputs that are unobservable and not corroborated by market data. Use of these inputs involves significant and subjective judgments to be made by a reporting entity - e.g., determining an appropriate adjustment to a discount factor for illiquidity associated with a given security.</w:t>
      </w:r>
    </w:p>
    <w:p>
      <w:pPr>
        <w:spacing w:after="0" w:line="41" w:lineRule="exact"/>
        <w:rPr>
          <w:sz w:val="20"/>
          <w:szCs w:val="20"/>
          <w:color w:val="auto"/>
        </w:rPr>
      </w:pPr>
    </w:p>
    <w:p>
      <w:pPr>
        <w:ind w:left="7" w:right="120" w:firstLine="439"/>
        <w:spacing w:after="0" w:line="282" w:lineRule="auto"/>
        <w:rPr>
          <w:sz w:val="20"/>
          <w:szCs w:val="20"/>
          <w:color w:val="auto"/>
        </w:rPr>
      </w:pPr>
      <w:r>
        <w:rPr>
          <w:rFonts w:ascii="Arial" w:cs="Arial" w:eastAsia="Arial" w:hAnsi="Arial"/>
          <w:sz w:val="12"/>
          <w:szCs w:val="12"/>
          <w:color w:val="auto"/>
        </w:rPr>
        <w:t>The Company evaluates financial assets and liabilities subject to fair value measurements on a recurring basis to determine the appropriate level at which to classify them each reporting period. This determination requires the Company to make subjective judgments as to the significance of inputs used in determining fair value and where such inputs lie within the ASC 820 hierarchy.</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155"/>
        </w:trPr>
        <w:tc>
          <w:tcPr>
            <w:tcW w:w="5140" w:type="dxa"/>
            <w:vAlign w:val="bottom"/>
          </w:tcPr>
          <w:p>
            <w:pPr>
              <w:ind w:left="440"/>
              <w:spacing w:after="0"/>
              <w:rPr>
                <w:sz w:val="20"/>
                <w:szCs w:val="20"/>
                <w:color w:val="auto"/>
              </w:rPr>
            </w:pPr>
            <w:r>
              <w:rPr>
                <w:rFonts w:ascii="Arial" w:cs="Arial" w:eastAsia="Arial" w:hAnsi="Arial"/>
                <w:sz w:val="12"/>
                <w:szCs w:val="12"/>
                <w:color w:val="auto"/>
                <w:w w:val="96"/>
              </w:rPr>
              <w:t>Financial assets measured at fair value on a recurring basis were as follows (in thousands):</w:t>
            </w: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357"/>
        </w:trPr>
        <w:tc>
          <w:tcPr>
            <w:tcW w:w="51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right"/>
              <w:ind w:right="269"/>
              <w:spacing w:after="0"/>
              <w:rPr>
                <w:sz w:val="20"/>
                <w:szCs w:val="20"/>
                <w:color w:val="auto"/>
              </w:rPr>
            </w:pPr>
            <w:r>
              <w:rPr>
                <w:rFonts w:ascii="Arial" w:cs="Arial" w:eastAsia="Arial" w:hAnsi="Arial"/>
                <w:sz w:val="12"/>
                <w:szCs w:val="12"/>
                <w:b w:val="1"/>
                <w:bCs w:val="1"/>
                <w:color w:val="auto"/>
                <w:w w:val="95"/>
              </w:rPr>
              <w:t>Fair Value Measurements at September 30, 2021</w:t>
            </w:r>
          </w:p>
        </w:tc>
        <w:tc>
          <w:tcPr>
            <w:tcW w:w="1500" w:type="dxa"/>
            <w:vAlign w:val="bottom"/>
            <w:tcBorders>
              <w:bottom w:val="single" w:sz="8" w:color="auto"/>
            </w:tcBorders>
          </w:tcPr>
          <w:p>
            <w:pPr>
              <w:spacing w:after="0"/>
              <w:rPr>
                <w:sz w:val="24"/>
                <w:szCs w:val="24"/>
                <w:color w:val="auto"/>
              </w:rPr>
            </w:pPr>
          </w:p>
        </w:tc>
      </w:tr>
      <w:tr>
        <w:trPr>
          <w:trHeight w:val="145"/>
        </w:trPr>
        <w:tc>
          <w:tcPr>
            <w:tcW w:w="5140" w:type="dxa"/>
            <w:vAlign w:val="bottom"/>
          </w:tcPr>
          <w:p>
            <w:pPr>
              <w:spacing w:after="0"/>
              <w:rPr>
                <w:sz w:val="12"/>
                <w:szCs w:val="12"/>
                <w:color w:val="auto"/>
              </w:rPr>
            </w:pPr>
          </w:p>
        </w:tc>
        <w:tc>
          <w:tcPr>
            <w:tcW w:w="1120" w:type="dxa"/>
            <w:vAlign w:val="bottom"/>
          </w:tcPr>
          <w:p>
            <w:pPr>
              <w:jc w:val="right"/>
              <w:ind w:right="79"/>
              <w:spacing w:after="0"/>
              <w:rPr>
                <w:sz w:val="20"/>
                <w:szCs w:val="20"/>
                <w:color w:val="auto"/>
              </w:rPr>
            </w:pPr>
            <w:r>
              <w:rPr>
                <w:rFonts w:ascii="Arial" w:cs="Arial" w:eastAsia="Arial" w:hAnsi="Arial"/>
                <w:sz w:val="12"/>
                <w:szCs w:val="12"/>
                <w:b w:val="1"/>
                <w:bCs w:val="1"/>
                <w:color w:val="auto"/>
              </w:rPr>
              <w:t>Total</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80" w:type="dxa"/>
            <w:vAlign w:val="bottom"/>
            <w:gridSpan w:val="2"/>
          </w:tcPr>
          <w:p>
            <w:pPr>
              <w:ind w:left="340"/>
              <w:spacing w:after="0"/>
              <w:rPr>
                <w:sz w:val="20"/>
                <w:szCs w:val="20"/>
                <w:color w:val="auto"/>
              </w:rPr>
            </w:pPr>
            <w:r>
              <w:rPr>
                <w:rFonts w:ascii="Arial" w:cs="Arial" w:eastAsia="Arial" w:hAnsi="Arial"/>
                <w:sz w:val="12"/>
                <w:szCs w:val="12"/>
                <w:b w:val="1"/>
                <w:bCs w:val="1"/>
                <w:color w:val="auto"/>
              </w:rPr>
              <w:t>Level 1</w:t>
            </w:r>
          </w:p>
        </w:tc>
        <w:tc>
          <w:tcPr>
            <w:tcW w:w="480" w:type="dxa"/>
            <w:vAlign w:val="bottom"/>
          </w:tcPr>
          <w:p>
            <w:pPr>
              <w:spacing w:after="0"/>
              <w:rPr>
                <w:sz w:val="12"/>
                <w:szCs w:val="12"/>
                <w:color w:val="auto"/>
              </w:rPr>
            </w:pPr>
          </w:p>
        </w:tc>
        <w:tc>
          <w:tcPr>
            <w:tcW w:w="1500" w:type="dxa"/>
            <w:vAlign w:val="bottom"/>
          </w:tcPr>
          <w:p>
            <w:pPr>
              <w:jc w:val="right"/>
              <w:ind w:right="739"/>
              <w:spacing w:after="0"/>
              <w:rPr>
                <w:sz w:val="20"/>
                <w:szCs w:val="20"/>
                <w:color w:val="auto"/>
              </w:rPr>
            </w:pPr>
            <w:r>
              <w:rPr>
                <w:rFonts w:ascii="Arial" w:cs="Arial" w:eastAsia="Arial" w:hAnsi="Arial"/>
                <w:sz w:val="12"/>
                <w:szCs w:val="12"/>
                <w:b w:val="1"/>
                <w:bCs w:val="1"/>
                <w:color w:val="auto"/>
              </w:rPr>
              <w:t>Level 2</w:t>
            </w:r>
          </w:p>
        </w:tc>
      </w:tr>
      <w:tr>
        <w:trPr>
          <w:trHeight w:val="135"/>
        </w:trPr>
        <w:tc>
          <w:tcPr>
            <w:tcW w:w="51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Assets:</w:t>
            </w:r>
          </w:p>
        </w:tc>
        <w:tc>
          <w:tcPr>
            <w:tcW w:w="1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r>
      <w:tr>
        <w:trPr>
          <w:trHeight w:val="155"/>
        </w:trPr>
        <w:tc>
          <w:tcPr>
            <w:tcW w:w="5140" w:type="dxa"/>
            <w:vAlign w:val="bottom"/>
          </w:tcPr>
          <w:p>
            <w:pPr>
              <w:ind w:left="80"/>
              <w:spacing w:after="0"/>
              <w:rPr>
                <w:sz w:val="20"/>
                <w:szCs w:val="20"/>
                <w:color w:val="auto"/>
              </w:rPr>
            </w:pPr>
            <w:r>
              <w:rPr>
                <w:rFonts w:ascii="Arial" w:cs="Arial" w:eastAsia="Arial" w:hAnsi="Arial"/>
                <w:sz w:val="12"/>
                <w:szCs w:val="12"/>
                <w:color w:val="auto"/>
              </w:rPr>
              <w:t>Money market funds</w:t>
            </w:r>
          </w:p>
        </w:tc>
        <w:tc>
          <w:tcPr>
            <w:tcW w:w="1120" w:type="dxa"/>
            <w:vAlign w:val="bottom"/>
          </w:tcPr>
          <w:p>
            <w:pPr>
              <w:jc w:val="right"/>
              <w:ind w:right="979"/>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15,334</w:t>
            </w:r>
          </w:p>
        </w:tc>
        <w:tc>
          <w:tcPr>
            <w:tcW w:w="70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15,334</w:t>
            </w:r>
          </w:p>
        </w:tc>
        <w:tc>
          <w:tcPr>
            <w:tcW w:w="280" w:type="dxa"/>
            <w:vAlign w:val="bottom"/>
          </w:tcPr>
          <w:p>
            <w:pPr>
              <w:spacing w:after="0"/>
              <w:rPr>
                <w:sz w:val="13"/>
                <w:szCs w:val="13"/>
                <w:color w:val="auto"/>
              </w:rPr>
            </w:pPr>
          </w:p>
        </w:tc>
        <w:tc>
          <w:tcPr>
            <w:tcW w:w="480" w:type="dxa"/>
            <w:vAlign w:val="bottom"/>
          </w:tcPr>
          <w:p>
            <w:pPr>
              <w:jc w:val="right"/>
              <w:ind w:right="369"/>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5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U.S. Treasury securities</w:t>
            </w:r>
          </w:p>
        </w:tc>
        <w:tc>
          <w:tcPr>
            <w:tcW w:w="1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68,017</w:t>
            </w:r>
          </w:p>
        </w:tc>
        <w:tc>
          <w:tcPr>
            <w:tcW w:w="2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68,017</w:t>
            </w:r>
          </w:p>
        </w:tc>
      </w:tr>
      <w:tr>
        <w:trPr>
          <w:trHeight w:val="155"/>
        </w:trPr>
        <w:tc>
          <w:tcPr>
            <w:tcW w:w="5140" w:type="dxa"/>
            <w:vAlign w:val="bottom"/>
          </w:tcPr>
          <w:p>
            <w:pPr>
              <w:ind w:left="80"/>
              <w:spacing w:after="0"/>
              <w:rPr>
                <w:sz w:val="20"/>
                <w:szCs w:val="20"/>
                <w:color w:val="auto"/>
              </w:rPr>
            </w:pPr>
            <w:r>
              <w:rPr>
                <w:rFonts w:ascii="Arial" w:cs="Arial" w:eastAsia="Arial" w:hAnsi="Arial"/>
                <w:sz w:val="12"/>
                <w:szCs w:val="12"/>
                <w:color w:val="auto"/>
              </w:rPr>
              <w:t>Government-sponsored enterprises</w:t>
            </w:r>
          </w:p>
        </w:tc>
        <w:tc>
          <w:tcPr>
            <w:tcW w:w="1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12,278</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12,278</w:t>
            </w:r>
          </w:p>
        </w:tc>
      </w:tr>
      <w:tr>
        <w:trPr>
          <w:trHeight w:val="155"/>
        </w:trPr>
        <w:tc>
          <w:tcPr>
            <w:tcW w:w="5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Corporate debt securities</w:t>
            </w:r>
          </w:p>
        </w:tc>
        <w:tc>
          <w:tcPr>
            <w:tcW w:w="11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47,570</w:t>
            </w:r>
          </w:p>
        </w:tc>
        <w:tc>
          <w:tcPr>
            <w:tcW w:w="2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47,570</w:t>
            </w:r>
          </w:p>
        </w:tc>
      </w:tr>
      <w:tr>
        <w:trPr>
          <w:trHeight w:val="145"/>
        </w:trPr>
        <w:tc>
          <w:tcPr>
            <w:tcW w:w="5140" w:type="dxa"/>
            <w:vAlign w:val="bottom"/>
          </w:tcPr>
          <w:p>
            <w:pPr>
              <w:spacing w:after="0" w:line="145" w:lineRule="exact"/>
              <w:rPr>
                <w:sz w:val="20"/>
                <w:szCs w:val="20"/>
                <w:color w:val="auto"/>
              </w:rPr>
            </w:pPr>
            <w:r>
              <w:rPr>
                <w:rFonts w:ascii="Arial" w:cs="Arial" w:eastAsia="Arial" w:hAnsi="Arial"/>
                <w:sz w:val="12"/>
                <w:szCs w:val="12"/>
                <w:color w:val="auto"/>
              </w:rPr>
              <w:t>Total assets measured at fair value</w:t>
            </w:r>
            <w:r>
              <w:rPr>
                <w:rFonts w:ascii="Arial" w:cs="Arial" w:eastAsia="Arial" w:hAnsi="Arial"/>
                <w:sz w:val="15"/>
                <w:szCs w:val="15"/>
                <w:color w:val="auto"/>
                <w:vertAlign w:val="superscript"/>
              </w:rPr>
              <w:t>(a)</w:t>
            </w:r>
          </w:p>
        </w:tc>
        <w:tc>
          <w:tcPr>
            <w:tcW w:w="1120" w:type="dxa"/>
            <w:vAlign w:val="bottom"/>
          </w:tcPr>
          <w:p>
            <w:pPr>
              <w:jc w:val="right"/>
              <w:ind w:right="979"/>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143,199</w:t>
            </w:r>
          </w:p>
        </w:tc>
        <w:tc>
          <w:tcPr>
            <w:tcW w:w="70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15,334</w:t>
            </w:r>
          </w:p>
        </w:tc>
        <w:tc>
          <w:tcPr>
            <w:tcW w:w="280" w:type="dxa"/>
            <w:vAlign w:val="bottom"/>
          </w:tcPr>
          <w:p>
            <w:pPr>
              <w:spacing w:after="0"/>
              <w:rPr>
                <w:sz w:val="12"/>
                <w:szCs w:val="12"/>
                <w:color w:val="auto"/>
              </w:rPr>
            </w:pPr>
          </w:p>
        </w:tc>
        <w:tc>
          <w:tcPr>
            <w:tcW w:w="480" w:type="dxa"/>
            <w:vAlign w:val="bottom"/>
          </w:tcPr>
          <w:p>
            <w:pPr>
              <w:jc w:val="right"/>
              <w:ind w:right="369"/>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127,865</w:t>
            </w:r>
          </w:p>
        </w:tc>
      </w:tr>
      <w:tr>
        <w:trPr>
          <w:trHeight w:val="20"/>
        </w:trPr>
        <w:tc>
          <w:tcPr>
            <w:tcW w:w="5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61" w:lineRule="exact"/>
        <w:rPr>
          <w:sz w:val="20"/>
          <w:szCs w:val="20"/>
          <w:color w:val="auto"/>
        </w:rPr>
      </w:pPr>
    </w:p>
    <w:tbl>
      <w:tblPr>
        <w:tblLayout w:type="fixed"/>
        <w:tblInd w:w="7" w:type="dxa"/>
        <w:tblCellMar>
          <w:top w:w="0" w:type="dxa"/>
          <w:left w:w="0" w:type="dxa"/>
          <w:bottom w:w="0" w:type="dxa"/>
          <w:right w:w="0" w:type="dxa"/>
        </w:tblCellMar>
      </w:tblPr>
      <w:tr>
        <w:trPr>
          <w:trHeight w:val="159"/>
        </w:trPr>
        <w:tc>
          <w:tcPr>
            <w:tcW w:w="514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5"/>
          </w:tcPr>
          <w:p>
            <w:pPr>
              <w:jc w:val="right"/>
              <w:ind w:right="269"/>
              <w:spacing w:after="0"/>
              <w:rPr>
                <w:sz w:val="20"/>
                <w:szCs w:val="20"/>
                <w:color w:val="auto"/>
              </w:rPr>
            </w:pPr>
            <w:r>
              <w:rPr>
                <w:rFonts w:ascii="Arial" w:cs="Arial" w:eastAsia="Arial" w:hAnsi="Arial"/>
                <w:sz w:val="12"/>
                <w:szCs w:val="12"/>
                <w:b w:val="1"/>
                <w:bCs w:val="1"/>
                <w:color w:val="auto"/>
                <w:w w:val="96"/>
              </w:rPr>
              <w:t>Fair Value Measurements at December 31, 2020</w:t>
            </w:r>
          </w:p>
        </w:tc>
        <w:tc>
          <w:tcPr>
            <w:tcW w:w="1520" w:type="dxa"/>
            <w:vAlign w:val="bottom"/>
            <w:tcBorders>
              <w:bottom w:val="single" w:sz="8" w:color="auto"/>
            </w:tcBorders>
          </w:tcPr>
          <w:p>
            <w:pPr>
              <w:spacing w:after="0"/>
              <w:rPr>
                <w:sz w:val="13"/>
                <w:szCs w:val="13"/>
                <w:color w:val="auto"/>
              </w:rPr>
            </w:pPr>
          </w:p>
        </w:tc>
      </w:tr>
      <w:tr>
        <w:trPr>
          <w:trHeight w:val="145"/>
        </w:trPr>
        <w:tc>
          <w:tcPr>
            <w:tcW w:w="5140" w:type="dxa"/>
            <w:vAlign w:val="bottom"/>
          </w:tcPr>
          <w:p>
            <w:pPr>
              <w:spacing w:after="0"/>
              <w:rPr>
                <w:sz w:val="12"/>
                <w:szCs w:val="12"/>
                <w:color w:val="auto"/>
              </w:rPr>
            </w:pPr>
          </w:p>
        </w:tc>
        <w:tc>
          <w:tcPr>
            <w:tcW w:w="1120" w:type="dxa"/>
            <w:vAlign w:val="bottom"/>
          </w:tcPr>
          <w:p>
            <w:pPr>
              <w:jc w:val="right"/>
              <w:ind w:right="79"/>
              <w:spacing w:after="0"/>
              <w:rPr>
                <w:sz w:val="20"/>
                <w:szCs w:val="20"/>
                <w:color w:val="auto"/>
              </w:rPr>
            </w:pPr>
            <w:r>
              <w:rPr>
                <w:rFonts w:ascii="Arial" w:cs="Arial" w:eastAsia="Arial" w:hAnsi="Arial"/>
                <w:sz w:val="12"/>
                <w:szCs w:val="12"/>
                <w:b w:val="1"/>
                <w:bCs w:val="1"/>
                <w:color w:val="auto"/>
              </w:rPr>
              <w:t>Total</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80" w:type="dxa"/>
            <w:vAlign w:val="bottom"/>
            <w:gridSpan w:val="2"/>
          </w:tcPr>
          <w:p>
            <w:pPr>
              <w:ind w:left="340"/>
              <w:spacing w:after="0"/>
              <w:rPr>
                <w:sz w:val="20"/>
                <w:szCs w:val="20"/>
                <w:color w:val="auto"/>
              </w:rPr>
            </w:pPr>
            <w:r>
              <w:rPr>
                <w:rFonts w:ascii="Arial" w:cs="Arial" w:eastAsia="Arial" w:hAnsi="Arial"/>
                <w:sz w:val="12"/>
                <w:szCs w:val="12"/>
                <w:b w:val="1"/>
                <w:bCs w:val="1"/>
                <w:color w:val="auto"/>
              </w:rPr>
              <w:t>Level 1</w:t>
            </w:r>
          </w:p>
        </w:tc>
        <w:tc>
          <w:tcPr>
            <w:tcW w:w="460" w:type="dxa"/>
            <w:vAlign w:val="bottom"/>
          </w:tcPr>
          <w:p>
            <w:pPr>
              <w:spacing w:after="0"/>
              <w:rPr>
                <w:sz w:val="12"/>
                <w:szCs w:val="12"/>
                <w:color w:val="auto"/>
              </w:rPr>
            </w:pPr>
          </w:p>
        </w:tc>
        <w:tc>
          <w:tcPr>
            <w:tcW w:w="1520" w:type="dxa"/>
            <w:vAlign w:val="bottom"/>
          </w:tcPr>
          <w:p>
            <w:pPr>
              <w:jc w:val="right"/>
              <w:ind w:right="739"/>
              <w:spacing w:after="0"/>
              <w:rPr>
                <w:sz w:val="20"/>
                <w:szCs w:val="20"/>
                <w:color w:val="auto"/>
              </w:rPr>
            </w:pPr>
            <w:r>
              <w:rPr>
                <w:rFonts w:ascii="Arial" w:cs="Arial" w:eastAsia="Arial" w:hAnsi="Arial"/>
                <w:sz w:val="12"/>
                <w:szCs w:val="12"/>
                <w:b w:val="1"/>
                <w:bCs w:val="1"/>
                <w:color w:val="auto"/>
              </w:rPr>
              <w:t>Level 2</w:t>
            </w:r>
          </w:p>
        </w:tc>
      </w:tr>
      <w:tr>
        <w:trPr>
          <w:trHeight w:val="135"/>
        </w:trPr>
        <w:tc>
          <w:tcPr>
            <w:tcW w:w="51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Assets:</w:t>
            </w:r>
          </w:p>
        </w:tc>
        <w:tc>
          <w:tcPr>
            <w:tcW w:w="1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r>
      <w:tr>
        <w:trPr>
          <w:trHeight w:val="155"/>
        </w:trPr>
        <w:tc>
          <w:tcPr>
            <w:tcW w:w="5140" w:type="dxa"/>
            <w:vAlign w:val="bottom"/>
          </w:tcPr>
          <w:p>
            <w:pPr>
              <w:ind w:left="80"/>
              <w:spacing w:after="0"/>
              <w:rPr>
                <w:sz w:val="20"/>
                <w:szCs w:val="20"/>
                <w:color w:val="auto"/>
              </w:rPr>
            </w:pPr>
            <w:r>
              <w:rPr>
                <w:rFonts w:ascii="Arial" w:cs="Arial" w:eastAsia="Arial" w:hAnsi="Arial"/>
                <w:sz w:val="12"/>
                <w:szCs w:val="12"/>
                <w:color w:val="auto"/>
              </w:rPr>
              <w:t>Money market funds</w:t>
            </w:r>
          </w:p>
        </w:tc>
        <w:tc>
          <w:tcPr>
            <w:tcW w:w="1120" w:type="dxa"/>
            <w:vAlign w:val="bottom"/>
          </w:tcPr>
          <w:p>
            <w:pPr>
              <w:jc w:val="right"/>
              <w:ind w:right="979"/>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49,004</w:t>
            </w:r>
          </w:p>
        </w:tc>
        <w:tc>
          <w:tcPr>
            <w:tcW w:w="700" w:type="dxa"/>
            <w:vAlign w:val="bottom"/>
            <w:gridSpan w:val="2"/>
          </w:tcPr>
          <w:p>
            <w:pPr>
              <w:jc w:val="right"/>
              <w:ind w:right="309"/>
              <w:spacing w:after="0"/>
              <w:rPr>
                <w:sz w:val="20"/>
                <w:szCs w:val="20"/>
                <w:color w:val="auto"/>
              </w:rPr>
            </w:pPr>
            <w:r>
              <w:rPr>
                <w:rFonts w:ascii="Arial" w:cs="Arial" w:eastAsia="Arial" w:hAnsi="Arial"/>
                <w:sz w:val="12"/>
                <w:szCs w:val="12"/>
                <w:color w:val="auto"/>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49,004</w:t>
            </w:r>
          </w:p>
        </w:tc>
        <w:tc>
          <w:tcPr>
            <w:tcW w:w="280" w:type="dxa"/>
            <w:vAlign w:val="bottom"/>
          </w:tcPr>
          <w:p>
            <w:pPr>
              <w:spacing w:after="0"/>
              <w:rPr>
                <w:sz w:val="13"/>
                <w:szCs w:val="13"/>
                <w:color w:val="auto"/>
              </w:rPr>
            </w:pPr>
          </w:p>
        </w:tc>
        <w:tc>
          <w:tcPr>
            <w:tcW w:w="460" w:type="dxa"/>
            <w:vAlign w:val="bottom"/>
          </w:tcPr>
          <w:p>
            <w:pPr>
              <w:jc w:val="right"/>
              <w:ind w:right="349"/>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5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U.S. Treasury securities</w:t>
            </w:r>
          </w:p>
        </w:tc>
        <w:tc>
          <w:tcPr>
            <w:tcW w:w="1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60,623</w:t>
            </w:r>
          </w:p>
        </w:tc>
        <w:tc>
          <w:tcPr>
            <w:tcW w:w="2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60,623</w:t>
            </w:r>
          </w:p>
        </w:tc>
      </w:tr>
      <w:tr>
        <w:trPr>
          <w:trHeight w:val="155"/>
        </w:trPr>
        <w:tc>
          <w:tcPr>
            <w:tcW w:w="514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Corporate debt securities</w:t>
            </w:r>
          </w:p>
        </w:tc>
        <w:tc>
          <w:tcPr>
            <w:tcW w:w="1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33,776</w:t>
            </w:r>
          </w:p>
        </w:tc>
        <w:tc>
          <w:tcPr>
            <w:tcW w:w="2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33,776</w:t>
            </w:r>
          </w:p>
        </w:tc>
      </w:tr>
      <w:tr>
        <w:trPr>
          <w:trHeight w:val="161"/>
        </w:trPr>
        <w:tc>
          <w:tcPr>
            <w:tcW w:w="5140" w:type="dxa"/>
            <w:vAlign w:val="bottom"/>
            <w:tcBorders>
              <w:bottom w:val="single" w:sz="8" w:color="CCEEFF"/>
            </w:tcBorders>
            <w:shd w:val="clear" w:color="auto" w:fill="CCEEFF"/>
          </w:tcPr>
          <w:p>
            <w:pPr>
              <w:spacing w:after="0" w:line="145" w:lineRule="exact"/>
              <w:rPr>
                <w:sz w:val="20"/>
                <w:szCs w:val="20"/>
                <w:color w:val="auto"/>
              </w:rPr>
            </w:pPr>
            <w:r>
              <w:rPr>
                <w:rFonts w:ascii="Arial" w:cs="Arial" w:eastAsia="Arial" w:hAnsi="Arial"/>
                <w:sz w:val="12"/>
                <w:szCs w:val="12"/>
                <w:color w:val="auto"/>
              </w:rPr>
              <w:t>Total assets measured at fair value</w:t>
            </w:r>
            <w:r>
              <w:rPr>
                <w:rFonts w:ascii="Arial" w:cs="Arial" w:eastAsia="Arial" w:hAnsi="Arial"/>
                <w:sz w:val="15"/>
                <w:szCs w:val="15"/>
                <w:color w:val="auto"/>
                <w:vertAlign w:val="superscript"/>
              </w:rPr>
              <w:t>(b)</w:t>
            </w:r>
          </w:p>
        </w:tc>
        <w:tc>
          <w:tcPr>
            <w:tcW w:w="112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143,403</w:t>
            </w:r>
          </w:p>
        </w:tc>
        <w:tc>
          <w:tcPr>
            <w:tcW w:w="2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49,004</w:t>
            </w:r>
          </w:p>
        </w:tc>
        <w:tc>
          <w:tcPr>
            <w:tcW w:w="2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94,399</w:t>
            </w:r>
          </w:p>
        </w:tc>
      </w:tr>
    </w:tbl>
    <w:p>
      <w:pPr>
        <w:spacing w:after="0" w:line="192" w:lineRule="exact"/>
        <w:rPr>
          <w:sz w:val="20"/>
          <w:szCs w:val="20"/>
          <w:color w:val="auto"/>
        </w:rPr>
      </w:pPr>
    </w:p>
    <w:p>
      <w:pPr>
        <w:ind w:left="167" w:hanging="167"/>
        <w:spacing w:after="0"/>
        <w:tabs>
          <w:tab w:leader="none" w:pos="167" w:val="left"/>
        </w:tabs>
        <w:numPr>
          <w:ilvl w:val="0"/>
          <w:numId w:val="6"/>
        </w:numPr>
        <w:rPr>
          <w:rFonts w:ascii="Arial" w:cs="Arial" w:eastAsia="Arial" w:hAnsi="Arial"/>
          <w:sz w:val="12"/>
          <w:szCs w:val="12"/>
          <w:color w:val="auto"/>
        </w:rPr>
      </w:pPr>
      <w:r>
        <w:rPr>
          <w:rFonts w:ascii="Arial" w:cs="Arial" w:eastAsia="Arial" w:hAnsi="Arial"/>
          <w:sz w:val="12"/>
          <w:szCs w:val="12"/>
          <w:color w:val="auto"/>
        </w:rPr>
        <w:t>Total assets measured at fair value at September 30, 2021 includes approximately $34.8 million reported in cash and cash equivalents on the consolidated balance sheet.</w:t>
      </w:r>
    </w:p>
    <w:p>
      <w:pPr>
        <w:spacing w:after="0" w:line="154" w:lineRule="exact"/>
        <w:rPr>
          <w:rFonts w:ascii="Arial" w:cs="Arial" w:eastAsia="Arial" w:hAnsi="Arial"/>
          <w:sz w:val="12"/>
          <w:szCs w:val="12"/>
          <w:color w:val="auto"/>
        </w:rPr>
      </w:pPr>
    </w:p>
    <w:p>
      <w:pPr>
        <w:ind w:left="167" w:hanging="167"/>
        <w:spacing w:after="0"/>
        <w:tabs>
          <w:tab w:leader="none" w:pos="167" w:val="left"/>
        </w:tabs>
        <w:numPr>
          <w:ilvl w:val="0"/>
          <w:numId w:val="6"/>
        </w:numPr>
        <w:rPr>
          <w:rFonts w:ascii="Arial" w:cs="Arial" w:eastAsia="Arial" w:hAnsi="Arial"/>
          <w:sz w:val="12"/>
          <w:szCs w:val="12"/>
          <w:color w:val="auto"/>
        </w:rPr>
      </w:pPr>
      <w:r>
        <w:rPr>
          <w:rFonts w:ascii="Arial" w:cs="Arial" w:eastAsia="Arial" w:hAnsi="Arial"/>
          <w:sz w:val="12"/>
          <w:szCs w:val="12"/>
          <w:color w:val="auto"/>
        </w:rPr>
        <w:t>Total assets measured at fair value at December 31, 2020 includes approximately $52.0 million reported in cash and cash equivalents on the consolidated balance sheet.</w:t>
      </w:r>
    </w:p>
    <w:p>
      <w:pPr>
        <w:spacing w:after="0" w:line="191" w:lineRule="exact"/>
        <w:rPr>
          <w:sz w:val="20"/>
          <w:szCs w:val="20"/>
          <w:color w:val="auto"/>
        </w:rPr>
      </w:pPr>
    </w:p>
    <w:p>
      <w:pPr>
        <w:ind w:left="7" w:right="160" w:firstLine="439"/>
        <w:spacing w:after="0" w:line="330" w:lineRule="auto"/>
        <w:rPr>
          <w:sz w:val="20"/>
          <w:szCs w:val="20"/>
          <w:color w:val="auto"/>
        </w:rPr>
      </w:pPr>
      <w:r>
        <w:rPr>
          <w:rFonts w:ascii="Arial" w:cs="Arial" w:eastAsia="Arial" w:hAnsi="Arial"/>
          <w:sz w:val="11"/>
          <w:szCs w:val="11"/>
          <w:color w:val="auto"/>
        </w:rPr>
        <w:t xml:space="preserve">The fair value of Level 2 securities is determined from market pricing and other observable market inputs for similar securities obtained from various third-party data providers. These inputs either represent quoted prices for similar assets in active markets or have been derived from observable market data. </w:t>
      </w:r>
      <w:r>
        <w:rPr>
          <w:rFonts w:ascii="Arial" w:cs="Arial" w:eastAsia="Arial" w:hAnsi="Arial"/>
          <w:sz w:val="11"/>
          <w:szCs w:val="11"/>
          <w:color w:val="252525"/>
        </w:rPr>
        <w:t>There were no transfers between levels during the periods presented, and the Company has no Level 3 securities in its portfolio.</w:t>
      </w:r>
    </w:p>
    <w:p>
      <w:pPr>
        <w:spacing w:after="0" w:line="200" w:lineRule="exact"/>
        <w:rPr>
          <w:sz w:val="20"/>
          <w:szCs w:val="20"/>
          <w:color w:val="auto"/>
        </w:rPr>
      </w:pPr>
    </w:p>
    <w:p>
      <w:pPr>
        <w:spacing w:after="0" w:line="38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wp:posOffset>
            </wp:positionV>
            <wp:extent cx="720217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7"/>
          </w:cols>
          <w:pgMar w:left="293" w:top="679"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59"/>
        </w:trPr>
        <w:tc>
          <w:tcPr>
            <w:tcW w:w="4900" w:type="dxa"/>
            <w:vAlign w:val="bottom"/>
          </w:tcPr>
          <w:p>
            <w:pPr>
              <w:spacing w:after="0"/>
              <w:rPr>
                <w:sz w:val="20"/>
                <w:szCs w:val="20"/>
                <w:color w:val="auto"/>
              </w:rPr>
            </w:pPr>
            <w:r>
              <w:rPr>
                <w:rFonts w:ascii="Arial" w:cs="Arial" w:eastAsia="Arial" w:hAnsi="Arial"/>
                <w:sz w:val="12"/>
                <w:szCs w:val="12"/>
                <w:b w:val="1"/>
                <w:bCs w:val="1"/>
                <w:color w:val="auto"/>
              </w:rPr>
              <w:t>4. Marketable Securities</w:t>
            </w: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4900" w:type="dxa"/>
            <w:vAlign w:val="bottom"/>
          </w:tcPr>
          <w:p>
            <w:pPr>
              <w:ind w:left="440"/>
              <w:spacing w:after="0"/>
              <w:rPr>
                <w:sz w:val="20"/>
                <w:szCs w:val="20"/>
                <w:color w:val="auto"/>
              </w:rPr>
            </w:pPr>
            <w:r>
              <w:rPr>
                <w:rFonts w:ascii="Arial" w:cs="Arial" w:eastAsia="Arial" w:hAnsi="Arial"/>
                <w:sz w:val="12"/>
                <w:szCs w:val="12"/>
                <w:color w:val="auto"/>
                <w:w w:val="93"/>
              </w:rPr>
              <w:t>The following tables summarize the Company's marketable debt securities (in thousands):</w:t>
            </w: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49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7"/>
          </w:tcPr>
          <w:p>
            <w:pPr>
              <w:jc w:val="right"/>
              <w:ind w:right="900"/>
              <w:spacing w:after="0"/>
              <w:rPr>
                <w:sz w:val="20"/>
                <w:szCs w:val="20"/>
                <w:color w:val="auto"/>
              </w:rPr>
            </w:pPr>
            <w:r>
              <w:rPr>
                <w:rFonts w:ascii="Arial" w:cs="Arial" w:eastAsia="Arial" w:hAnsi="Arial"/>
                <w:sz w:val="12"/>
                <w:szCs w:val="12"/>
                <w:b w:val="1"/>
                <w:bCs w:val="1"/>
                <w:color w:val="auto"/>
              </w:rPr>
              <w:t>September 30, 2021</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40" w:type="dxa"/>
            <w:vAlign w:val="bottom"/>
            <w:gridSpan w:val="4"/>
            <w:vMerge w:val="restart"/>
          </w:tcPr>
          <w:p>
            <w:pPr>
              <w:ind w:left="140"/>
              <w:spacing w:after="0"/>
              <w:rPr>
                <w:sz w:val="20"/>
                <w:szCs w:val="20"/>
                <w:color w:val="auto"/>
              </w:rPr>
            </w:pPr>
            <w:r>
              <w:rPr>
                <w:rFonts w:ascii="Arial" w:cs="Arial" w:eastAsia="Arial" w:hAnsi="Arial"/>
                <w:sz w:val="12"/>
                <w:szCs w:val="12"/>
                <w:b w:val="1"/>
                <w:bCs w:val="1"/>
                <w:color w:val="auto"/>
              </w:rPr>
              <w:t>Amortized</w:t>
            </w:r>
          </w:p>
        </w:tc>
        <w:tc>
          <w:tcPr>
            <w:tcW w:w="420" w:type="dxa"/>
            <w:vAlign w:val="bottom"/>
          </w:tcPr>
          <w:p>
            <w:pPr>
              <w:spacing w:after="0"/>
              <w:rPr>
                <w:sz w:val="9"/>
                <w:szCs w:val="9"/>
                <w:color w:val="auto"/>
              </w:rPr>
            </w:pPr>
          </w:p>
        </w:tc>
        <w:tc>
          <w:tcPr>
            <w:tcW w:w="1100" w:type="dxa"/>
            <w:vAlign w:val="bottom"/>
            <w:gridSpan w:val="5"/>
          </w:tcPr>
          <w:p>
            <w:pPr>
              <w:ind w:left="20"/>
              <w:spacing w:after="0" w:line="109" w:lineRule="exact"/>
              <w:rPr>
                <w:sz w:val="20"/>
                <w:szCs w:val="20"/>
                <w:color w:val="auto"/>
              </w:rPr>
            </w:pPr>
            <w:r>
              <w:rPr>
                <w:rFonts w:ascii="Arial" w:cs="Arial" w:eastAsia="Arial" w:hAnsi="Arial"/>
                <w:sz w:val="12"/>
                <w:szCs w:val="12"/>
                <w:b w:val="1"/>
                <w:bCs w:val="1"/>
                <w:color w:val="auto"/>
              </w:rPr>
              <w:t>Gross</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ind w:left="180"/>
              <w:spacing w:after="0" w:line="109" w:lineRule="exact"/>
              <w:rPr>
                <w:sz w:val="20"/>
                <w:szCs w:val="20"/>
                <w:color w:val="auto"/>
              </w:rPr>
            </w:pPr>
            <w:r>
              <w:rPr>
                <w:rFonts w:ascii="Arial" w:cs="Arial" w:eastAsia="Arial" w:hAnsi="Arial"/>
                <w:sz w:val="12"/>
                <w:szCs w:val="12"/>
                <w:b w:val="1"/>
                <w:bCs w:val="1"/>
                <w:color w:val="auto"/>
              </w:rPr>
              <w:t>Gross</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vMerge w:val="restart"/>
          </w:tcPr>
          <w:p>
            <w:pPr>
              <w:jc w:val="right"/>
              <w:ind w:right="399"/>
              <w:spacing w:after="0"/>
              <w:rPr>
                <w:sz w:val="20"/>
                <w:szCs w:val="20"/>
                <w:color w:val="auto"/>
              </w:rPr>
            </w:pPr>
            <w:r>
              <w:rPr>
                <w:rFonts w:ascii="Arial" w:cs="Arial" w:eastAsia="Arial" w:hAnsi="Arial"/>
                <w:sz w:val="12"/>
                <w:szCs w:val="12"/>
                <w:b w:val="1"/>
                <w:bCs w:val="1"/>
                <w:color w:val="auto"/>
              </w:rPr>
              <w:t>Fair</w:t>
            </w: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40" w:type="dxa"/>
            <w:vAlign w:val="bottom"/>
            <w:gridSpan w:val="4"/>
            <w:vMerge w:val="continue"/>
          </w:tcPr>
          <w:p>
            <w:pPr>
              <w:spacing w:after="0"/>
              <w:rPr>
                <w:sz w:val="10"/>
                <w:szCs w:val="10"/>
                <w:color w:val="auto"/>
              </w:rPr>
            </w:pPr>
          </w:p>
        </w:tc>
        <w:tc>
          <w:tcPr>
            <w:tcW w:w="1520" w:type="dxa"/>
            <w:vAlign w:val="bottom"/>
            <w:gridSpan w:val="6"/>
          </w:tcPr>
          <w:p>
            <w:pPr>
              <w:jc w:val="center"/>
              <w:ind w:right="699"/>
              <w:spacing w:after="0" w:line="119" w:lineRule="exact"/>
              <w:rPr>
                <w:sz w:val="20"/>
                <w:szCs w:val="20"/>
                <w:color w:val="auto"/>
              </w:rPr>
            </w:pPr>
            <w:r>
              <w:rPr>
                <w:rFonts w:ascii="Arial" w:cs="Arial" w:eastAsia="Arial" w:hAnsi="Arial"/>
                <w:sz w:val="12"/>
                <w:szCs w:val="12"/>
                <w:b w:val="1"/>
                <w:bCs w:val="1"/>
                <w:color w:val="auto"/>
                <w:w w:val="92"/>
              </w:rPr>
              <w:t>Unrealized</w:t>
            </w:r>
          </w:p>
        </w:tc>
        <w:tc>
          <w:tcPr>
            <w:tcW w:w="1280" w:type="dxa"/>
            <w:vAlign w:val="bottom"/>
            <w:gridSpan w:val="4"/>
          </w:tcPr>
          <w:p>
            <w:pPr>
              <w:jc w:val="center"/>
              <w:ind w:right="400"/>
              <w:spacing w:after="0" w:line="119" w:lineRule="exact"/>
              <w:rPr>
                <w:sz w:val="20"/>
                <w:szCs w:val="20"/>
                <w:color w:val="auto"/>
              </w:rPr>
            </w:pPr>
            <w:r>
              <w:rPr>
                <w:rFonts w:ascii="Arial" w:cs="Arial" w:eastAsia="Arial" w:hAnsi="Arial"/>
                <w:sz w:val="12"/>
                <w:szCs w:val="12"/>
                <w:b w:val="1"/>
                <w:bCs w:val="1"/>
                <w:color w:val="auto"/>
                <w:w w:val="92"/>
              </w:rPr>
              <w:t>Unrealized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40" w:type="dxa"/>
            <w:vAlign w:val="bottom"/>
            <w:gridSpan w:val="4"/>
          </w:tcPr>
          <w:p>
            <w:pPr>
              <w:ind w:left="80"/>
              <w:spacing w:after="0"/>
              <w:rPr>
                <w:sz w:val="20"/>
                <w:szCs w:val="20"/>
                <w:color w:val="auto"/>
              </w:rPr>
            </w:pPr>
            <w:r>
              <w:rPr>
                <w:rFonts w:ascii="Arial" w:cs="Arial" w:eastAsia="Arial" w:hAnsi="Arial"/>
                <w:sz w:val="12"/>
                <w:szCs w:val="12"/>
                <w:b w:val="1"/>
                <w:bCs w:val="1"/>
                <w:color w:val="auto"/>
              </w:rPr>
              <w:t>Cost</w:t>
            </w:r>
          </w:p>
        </w:tc>
        <w:tc>
          <w:tcPr>
            <w:tcW w:w="1520" w:type="dxa"/>
            <w:vAlign w:val="bottom"/>
            <w:gridSpan w:val="6"/>
          </w:tcPr>
          <w:p>
            <w:pPr>
              <w:jc w:val="center"/>
              <w:ind w:right="719"/>
              <w:spacing w:after="0"/>
              <w:rPr>
                <w:sz w:val="20"/>
                <w:szCs w:val="20"/>
                <w:color w:val="auto"/>
              </w:rPr>
            </w:pPr>
            <w:r>
              <w:rPr>
                <w:rFonts w:ascii="Arial" w:cs="Arial" w:eastAsia="Arial" w:hAnsi="Arial"/>
                <w:sz w:val="12"/>
                <w:szCs w:val="12"/>
                <w:b w:val="1"/>
                <w:bCs w:val="1"/>
                <w:color w:val="auto"/>
                <w:w w:val="89"/>
              </w:rPr>
              <w:t>Gains</w:t>
            </w:r>
          </w:p>
        </w:tc>
        <w:tc>
          <w:tcPr>
            <w:tcW w:w="220" w:type="dxa"/>
            <w:vAlign w:val="bottom"/>
          </w:tcPr>
          <w:p>
            <w:pPr>
              <w:spacing w:after="0"/>
              <w:rPr>
                <w:sz w:val="13"/>
                <w:szCs w:val="13"/>
                <w:color w:val="auto"/>
              </w:rPr>
            </w:pPr>
          </w:p>
        </w:tc>
        <w:tc>
          <w:tcPr>
            <w:tcW w:w="1060" w:type="dxa"/>
            <w:vAlign w:val="bottom"/>
            <w:gridSpan w:val="3"/>
          </w:tcPr>
          <w:p>
            <w:pPr>
              <w:jc w:val="center"/>
              <w:ind w:right="640"/>
              <w:spacing w:after="0"/>
              <w:rPr>
                <w:sz w:val="20"/>
                <w:szCs w:val="20"/>
                <w:color w:val="auto"/>
              </w:rPr>
            </w:pPr>
            <w:r>
              <w:rPr>
                <w:rFonts w:ascii="Arial" w:cs="Arial" w:eastAsia="Arial" w:hAnsi="Arial"/>
                <w:sz w:val="12"/>
                <w:szCs w:val="12"/>
                <w:b w:val="1"/>
                <w:bCs w:val="1"/>
                <w:color w:val="auto"/>
                <w:w w:val="82"/>
              </w:rPr>
              <w:t>Losses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579"/>
              <w:spacing w:after="0"/>
              <w:rPr>
                <w:sz w:val="20"/>
                <w:szCs w:val="20"/>
                <w:color w:val="auto"/>
              </w:rPr>
            </w:pPr>
            <w:r>
              <w:rPr>
                <w:rFonts w:ascii="Arial" w:cs="Arial" w:eastAsia="Arial" w:hAnsi="Arial"/>
                <w:sz w:val="12"/>
                <w:szCs w:val="12"/>
                <w:b w:val="1"/>
                <w:bCs w:val="1"/>
                <w:color w:val="auto"/>
              </w:rPr>
              <w:t>Value</w:t>
            </w:r>
          </w:p>
        </w:tc>
        <w:tc>
          <w:tcPr>
            <w:tcW w:w="0" w:type="dxa"/>
            <w:vAlign w:val="bottom"/>
          </w:tcPr>
          <w:p>
            <w:pPr>
              <w:spacing w:after="0"/>
              <w:rPr>
                <w:sz w:val="1"/>
                <w:szCs w:val="1"/>
                <w:color w:val="auto"/>
              </w:rPr>
            </w:pPr>
          </w:p>
        </w:tc>
      </w:tr>
      <w:tr>
        <w:trPr>
          <w:trHeight w:val="144"/>
        </w:trPr>
        <w:tc>
          <w:tcPr>
            <w:tcW w:w="4900" w:type="dxa"/>
            <w:vAlign w:val="bottom"/>
          </w:tcPr>
          <w:p>
            <w:pPr>
              <w:ind w:left="440"/>
              <w:spacing w:after="0"/>
              <w:rPr>
                <w:sz w:val="20"/>
                <w:szCs w:val="20"/>
                <w:color w:val="auto"/>
              </w:rPr>
            </w:pPr>
            <w:r>
              <w:rPr>
                <w:rFonts w:ascii="Arial" w:cs="Arial" w:eastAsia="Arial" w:hAnsi="Arial"/>
                <w:sz w:val="12"/>
                <w:szCs w:val="12"/>
                <w:color w:val="auto"/>
              </w:rPr>
              <w:t>U.S. Treasury securities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68,019</w:t>
            </w:r>
          </w:p>
        </w:tc>
        <w:tc>
          <w:tcPr>
            <w:tcW w:w="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tcBorders>
            <w:gridSpan w:val="2"/>
          </w:tcPr>
          <w:p>
            <w:pPr>
              <w:ind w:left="820"/>
              <w:spacing w:after="0"/>
              <w:rPr>
                <w:sz w:val="20"/>
                <w:szCs w:val="20"/>
                <w:color w:val="auto"/>
              </w:rPr>
            </w:pPr>
            <w:r>
              <w:rPr>
                <w:rFonts w:ascii="Arial" w:cs="Arial" w:eastAsia="Arial" w:hAnsi="Arial"/>
                <w:sz w:val="12"/>
                <w:szCs w:val="12"/>
                <w:color w:val="auto"/>
                <w:w w:val="95"/>
              </w:rPr>
              <w:t>(4)</w:t>
            </w: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ind w:right="4"/>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68,017</w:t>
            </w:r>
          </w:p>
        </w:tc>
        <w:tc>
          <w:tcPr>
            <w:tcW w:w="0" w:type="dxa"/>
            <w:vAlign w:val="bottom"/>
          </w:tcPr>
          <w:p>
            <w:pPr>
              <w:spacing w:after="0"/>
              <w:rPr>
                <w:sz w:val="1"/>
                <w:szCs w:val="1"/>
                <w:color w:val="auto"/>
              </w:rPr>
            </w:pPr>
          </w:p>
        </w:tc>
      </w:tr>
      <w:tr>
        <w:trPr>
          <w:trHeight w:val="156"/>
        </w:trPr>
        <w:tc>
          <w:tcPr>
            <w:tcW w:w="4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Government-sponsored enterprises</w:t>
            </w:r>
          </w:p>
        </w:tc>
        <w:tc>
          <w:tcPr>
            <w:tcW w:w="5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12,278</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12,279</w:t>
            </w:r>
          </w:p>
        </w:tc>
        <w:tc>
          <w:tcPr>
            <w:tcW w:w="0" w:type="dxa"/>
            <w:vAlign w:val="bottom"/>
          </w:tcPr>
          <w:p>
            <w:pPr>
              <w:spacing w:after="0"/>
              <w:rPr>
                <w:sz w:val="1"/>
                <w:szCs w:val="1"/>
                <w:color w:val="auto"/>
              </w:rPr>
            </w:pPr>
          </w:p>
        </w:tc>
      </w:tr>
      <w:tr>
        <w:trPr>
          <w:trHeight w:val="155"/>
        </w:trPr>
        <w:tc>
          <w:tcPr>
            <w:tcW w:w="4900" w:type="dxa"/>
            <w:vAlign w:val="bottom"/>
          </w:tcPr>
          <w:p>
            <w:pPr>
              <w:ind w:left="440"/>
              <w:spacing w:after="0"/>
              <w:rPr>
                <w:sz w:val="20"/>
                <w:szCs w:val="20"/>
                <w:color w:val="auto"/>
              </w:rPr>
            </w:pPr>
            <w:r>
              <w:rPr>
                <w:rFonts w:ascii="Arial" w:cs="Arial" w:eastAsia="Arial" w:hAnsi="Arial"/>
                <w:sz w:val="12"/>
                <w:szCs w:val="12"/>
                <w:color w:val="auto"/>
              </w:rPr>
              <w:t>Corporate debt securities</w:t>
            </w:r>
          </w:p>
        </w:tc>
        <w:tc>
          <w:tcPr>
            <w:tcW w:w="58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2"/>
                <w:szCs w:val="12"/>
                <w:color w:val="auto"/>
              </w:rPr>
              <w:t>28,074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ind w:right="399"/>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80" w:type="dxa"/>
            <w:vAlign w:val="bottom"/>
            <w:gridSpan w:val="2"/>
          </w:tcPr>
          <w:p>
            <w:pPr>
              <w:ind w:left="820"/>
              <w:spacing w:after="0"/>
              <w:rPr>
                <w:sz w:val="20"/>
                <w:szCs w:val="20"/>
                <w:color w:val="auto"/>
              </w:rPr>
            </w:pPr>
            <w:r>
              <w:rPr>
                <w:rFonts w:ascii="Arial" w:cs="Arial" w:eastAsia="Arial" w:hAnsi="Arial"/>
                <w:sz w:val="12"/>
                <w:szCs w:val="12"/>
                <w:color w:val="auto"/>
                <w:w w:val="95"/>
              </w:rPr>
              <w:t>(3)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28,071</w:t>
            </w:r>
          </w:p>
        </w:tc>
        <w:tc>
          <w:tcPr>
            <w:tcW w:w="0" w:type="dxa"/>
            <w:vAlign w:val="bottom"/>
          </w:tcPr>
          <w:p>
            <w:pPr>
              <w:spacing w:after="0"/>
              <w:rPr>
                <w:sz w:val="1"/>
                <w:szCs w:val="1"/>
                <w:color w:val="auto"/>
              </w:rPr>
            </w:pPr>
          </w:p>
        </w:tc>
      </w:tr>
      <w:tr>
        <w:trPr>
          <w:trHeight w:val="161"/>
        </w:trPr>
        <w:tc>
          <w:tcPr>
            <w:tcW w:w="490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2"/>
                <w:szCs w:val="12"/>
                <w:color w:val="auto"/>
              </w:rPr>
              <w:t>Total</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108,371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gridSpan w:val="2"/>
            <w:shd w:val="clear" w:color="auto" w:fill="CCEEFF"/>
          </w:tcPr>
          <w:p>
            <w:pPr>
              <w:ind w:left="820"/>
              <w:spacing w:after="0"/>
              <w:rPr>
                <w:sz w:val="20"/>
                <w:szCs w:val="20"/>
                <w:color w:val="auto"/>
              </w:rPr>
            </w:pPr>
            <w:r>
              <w:rPr>
                <w:rFonts w:ascii="Arial" w:cs="Arial" w:eastAsia="Arial" w:hAnsi="Arial"/>
                <w:sz w:val="12"/>
                <w:szCs w:val="12"/>
                <w:color w:val="auto"/>
                <w:w w:val="95"/>
              </w:rPr>
              <w:t>(7)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108,367</w:t>
            </w:r>
          </w:p>
        </w:tc>
        <w:tc>
          <w:tcPr>
            <w:tcW w:w="0" w:type="dxa"/>
            <w:vAlign w:val="bottom"/>
          </w:tcPr>
          <w:p>
            <w:pPr>
              <w:spacing w:after="0"/>
              <w:rPr>
                <w:sz w:val="1"/>
                <w:szCs w:val="1"/>
                <w:color w:val="auto"/>
              </w:rPr>
            </w:pPr>
          </w:p>
        </w:tc>
      </w:tr>
      <w:tr>
        <w:trPr>
          <w:trHeight w:val="347"/>
        </w:trPr>
        <w:tc>
          <w:tcPr>
            <w:tcW w:w="4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ind w:left="100"/>
              <w:spacing w:after="0"/>
              <w:rPr>
                <w:sz w:val="20"/>
                <w:szCs w:val="20"/>
                <w:color w:val="auto"/>
              </w:rPr>
            </w:pPr>
            <w:r>
              <w:rPr>
                <w:rFonts w:ascii="Arial" w:cs="Arial" w:eastAsia="Arial" w:hAnsi="Arial"/>
                <w:sz w:val="12"/>
                <w:szCs w:val="12"/>
                <w:b w:val="1"/>
                <w:bCs w:val="1"/>
                <w:color w:val="auto"/>
              </w:rPr>
              <w:t>December 31, 2020</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gridSpan w:val="3"/>
            <w:vMerge w:val="restart"/>
          </w:tcPr>
          <w:p>
            <w:pPr>
              <w:jc w:val="center"/>
              <w:ind w:right="239"/>
              <w:spacing w:after="0"/>
              <w:rPr>
                <w:sz w:val="20"/>
                <w:szCs w:val="20"/>
                <w:color w:val="auto"/>
              </w:rPr>
            </w:pPr>
            <w:r>
              <w:rPr>
                <w:rFonts w:ascii="Arial" w:cs="Arial" w:eastAsia="Arial" w:hAnsi="Arial"/>
                <w:sz w:val="12"/>
                <w:szCs w:val="12"/>
                <w:b w:val="1"/>
                <w:bCs w:val="1"/>
                <w:color w:val="auto"/>
                <w:w w:val="95"/>
              </w:rPr>
              <w:t>Amortized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tcPr>
          <w:p>
            <w:pPr>
              <w:jc w:val="center"/>
              <w:ind w:left="159"/>
              <w:spacing w:after="0" w:line="109" w:lineRule="exact"/>
              <w:rPr>
                <w:sz w:val="20"/>
                <w:szCs w:val="20"/>
                <w:color w:val="auto"/>
              </w:rPr>
            </w:pPr>
            <w:r>
              <w:rPr>
                <w:rFonts w:ascii="Arial" w:cs="Arial" w:eastAsia="Arial" w:hAnsi="Arial"/>
                <w:sz w:val="12"/>
                <w:szCs w:val="12"/>
                <w:b w:val="1"/>
                <w:bCs w:val="1"/>
                <w:color w:val="auto"/>
                <w:w w:val="92"/>
              </w:rPr>
              <w:t>Gross</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center"/>
              <w:ind w:left="199"/>
              <w:spacing w:after="0" w:line="109" w:lineRule="exact"/>
              <w:rPr>
                <w:sz w:val="20"/>
                <w:szCs w:val="20"/>
                <w:color w:val="auto"/>
              </w:rPr>
            </w:pPr>
            <w:r>
              <w:rPr>
                <w:rFonts w:ascii="Arial" w:cs="Arial" w:eastAsia="Arial" w:hAnsi="Arial"/>
                <w:sz w:val="12"/>
                <w:szCs w:val="12"/>
                <w:b w:val="1"/>
                <w:bCs w:val="1"/>
                <w:color w:val="auto"/>
                <w:w w:val="86"/>
              </w:rPr>
              <w:t>Gross</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vMerge w:val="restart"/>
          </w:tcPr>
          <w:p>
            <w:pPr>
              <w:jc w:val="right"/>
              <w:ind w:right="439"/>
              <w:spacing w:after="0"/>
              <w:rPr>
                <w:sz w:val="20"/>
                <w:szCs w:val="20"/>
                <w:color w:val="auto"/>
              </w:rPr>
            </w:pPr>
            <w:r>
              <w:rPr>
                <w:rFonts w:ascii="Arial" w:cs="Arial" w:eastAsia="Arial" w:hAnsi="Arial"/>
                <w:sz w:val="12"/>
                <w:szCs w:val="12"/>
                <w:b w:val="1"/>
                <w:bCs w:val="1"/>
                <w:color w:val="auto"/>
              </w:rPr>
              <w:t>Fair</w:t>
            </w: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left="159"/>
              <w:spacing w:after="0" w:line="119" w:lineRule="exact"/>
              <w:rPr>
                <w:sz w:val="20"/>
                <w:szCs w:val="20"/>
                <w:color w:val="auto"/>
              </w:rPr>
            </w:pPr>
            <w:r>
              <w:rPr>
                <w:rFonts w:ascii="Arial" w:cs="Arial" w:eastAsia="Arial" w:hAnsi="Arial"/>
                <w:sz w:val="12"/>
                <w:szCs w:val="12"/>
                <w:b w:val="1"/>
                <w:bCs w:val="1"/>
                <w:color w:val="auto"/>
                <w:w w:val="92"/>
              </w:rPr>
              <w:t>Unrealized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left="199"/>
              <w:spacing w:after="0" w:line="119" w:lineRule="exact"/>
              <w:rPr>
                <w:sz w:val="20"/>
                <w:szCs w:val="20"/>
                <w:color w:val="auto"/>
              </w:rPr>
            </w:pPr>
            <w:r>
              <w:rPr>
                <w:rFonts w:ascii="Arial" w:cs="Arial" w:eastAsia="Arial" w:hAnsi="Arial"/>
                <w:sz w:val="12"/>
                <w:szCs w:val="12"/>
                <w:b w:val="1"/>
                <w:bCs w:val="1"/>
                <w:color w:val="auto"/>
                <w:w w:val="95"/>
              </w:rPr>
              <w:t>Unrealized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Cost</w:t>
            </w: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bottom w:val="single" w:sz="8" w:color="auto"/>
            </w:tcBorders>
            <w:gridSpan w:val="3"/>
          </w:tcPr>
          <w:p>
            <w:pPr>
              <w:jc w:val="center"/>
              <w:ind w:left="159"/>
              <w:spacing w:after="0"/>
              <w:rPr>
                <w:sz w:val="20"/>
                <w:szCs w:val="20"/>
                <w:color w:val="auto"/>
              </w:rPr>
            </w:pPr>
            <w:r>
              <w:rPr>
                <w:rFonts w:ascii="Arial" w:cs="Arial" w:eastAsia="Arial" w:hAnsi="Arial"/>
                <w:sz w:val="12"/>
                <w:szCs w:val="12"/>
                <w:b w:val="1"/>
                <w:bCs w:val="1"/>
                <w:color w:val="auto"/>
                <w:w w:val="95"/>
              </w:rPr>
              <w:t>Gains</w:t>
            </w: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bottom w:val="single" w:sz="8" w:color="auto"/>
            </w:tcBorders>
            <w:gridSpan w:val="2"/>
          </w:tcPr>
          <w:p>
            <w:pPr>
              <w:jc w:val="center"/>
              <w:ind w:left="199"/>
              <w:spacing w:after="0"/>
              <w:rPr>
                <w:sz w:val="20"/>
                <w:szCs w:val="20"/>
                <w:color w:val="auto"/>
              </w:rPr>
            </w:pPr>
            <w:r>
              <w:rPr>
                <w:rFonts w:ascii="Arial" w:cs="Arial" w:eastAsia="Arial" w:hAnsi="Arial"/>
                <w:sz w:val="12"/>
                <w:szCs w:val="12"/>
                <w:b w:val="1"/>
                <w:bCs w:val="1"/>
                <w:color w:val="auto"/>
                <w:w w:val="82"/>
              </w:rPr>
              <w:t>Losses</w:t>
            </w:r>
          </w:p>
        </w:tc>
        <w:tc>
          <w:tcPr>
            <w:tcW w:w="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b w:val="1"/>
                <w:bCs w:val="1"/>
                <w:color w:val="auto"/>
              </w:rPr>
              <w:t>Value</w:t>
            </w:r>
          </w:p>
        </w:tc>
        <w:tc>
          <w:tcPr>
            <w:tcW w:w="0" w:type="dxa"/>
            <w:vAlign w:val="bottom"/>
          </w:tcPr>
          <w:p>
            <w:pPr>
              <w:spacing w:after="0"/>
              <w:rPr>
                <w:sz w:val="1"/>
                <w:szCs w:val="1"/>
                <w:color w:val="auto"/>
              </w:rPr>
            </w:pPr>
          </w:p>
        </w:tc>
      </w:tr>
      <w:tr>
        <w:trPr>
          <w:trHeight w:val="144"/>
        </w:trPr>
        <w:tc>
          <w:tcPr>
            <w:tcW w:w="4900" w:type="dxa"/>
            <w:vAlign w:val="bottom"/>
          </w:tcPr>
          <w:p>
            <w:pPr>
              <w:spacing w:after="0"/>
              <w:rPr>
                <w:sz w:val="20"/>
                <w:szCs w:val="20"/>
                <w:color w:val="auto"/>
              </w:rPr>
            </w:pPr>
            <w:r>
              <w:rPr>
                <w:rFonts w:ascii="Arial" w:cs="Arial" w:eastAsia="Arial" w:hAnsi="Arial"/>
                <w:sz w:val="12"/>
                <w:szCs w:val="12"/>
                <w:color w:val="auto"/>
              </w:rPr>
              <w:t>U.S. Treasury securities</w:t>
            </w:r>
          </w:p>
        </w:tc>
        <w:tc>
          <w:tcPr>
            <w:tcW w:w="5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60,630</w:t>
            </w:r>
          </w:p>
        </w:tc>
        <w:tc>
          <w:tcPr>
            <w:tcW w:w="700" w:type="dxa"/>
            <w:vAlign w:val="bottom"/>
            <w:gridSpan w:val="3"/>
          </w:tcPr>
          <w:p>
            <w:pPr>
              <w:jc w:val="right"/>
              <w:ind w:right="43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1</w:t>
            </w:r>
          </w:p>
        </w:tc>
        <w:tc>
          <w:tcPr>
            <w:tcW w:w="980" w:type="dxa"/>
            <w:vAlign w:val="bottom"/>
            <w:gridSpan w:val="2"/>
          </w:tcPr>
          <w:p>
            <w:pPr>
              <w:jc w:val="right"/>
              <w:ind w:right="75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2"/>
                <w:szCs w:val="12"/>
                <w:color w:val="auto"/>
              </w:rPr>
            </w:pPr>
          </w:p>
        </w:tc>
        <w:tc>
          <w:tcPr>
            <w:tcW w:w="220" w:type="dxa"/>
            <w:vAlign w:val="bottom"/>
          </w:tcPr>
          <w:p>
            <w:pPr>
              <w:jc w:val="right"/>
              <w:ind w:right="104"/>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60,624</w:t>
            </w:r>
          </w:p>
        </w:tc>
        <w:tc>
          <w:tcPr>
            <w:tcW w:w="0" w:type="dxa"/>
            <w:vAlign w:val="bottom"/>
          </w:tcPr>
          <w:p>
            <w:pPr>
              <w:spacing w:after="0"/>
              <w:rPr>
                <w:sz w:val="1"/>
                <w:szCs w:val="1"/>
                <w:color w:val="auto"/>
              </w:rPr>
            </w:pPr>
          </w:p>
        </w:tc>
      </w:tr>
      <w:tr>
        <w:trPr>
          <w:trHeight w:val="155"/>
        </w:trPr>
        <w:tc>
          <w:tcPr>
            <w:tcW w:w="4900" w:type="dxa"/>
            <w:vAlign w:val="bottom"/>
            <w:shd w:val="clear" w:color="auto" w:fill="CCEEFF"/>
          </w:tcPr>
          <w:p>
            <w:pPr>
              <w:spacing w:after="0"/>
              <w:rPr>
                <w:sz w:val="20"/>
                <w:szCs w:val="20"/>
                <w:color w:val="auto"/>
              </w:rPr>
            </w:pPr>
            <w:r>
              <w:rPr>
                <w:rFonts w:ascii="Arial" w:cs="Arial" w:eastAsia="Arial" w:hAnsi="Arial"/>
                <w:sz w:val="12"/>
                <w:szCs w:val="12"/>
                <w:color w:val="auto"/>
              </w:rPr>
              <w:t>Corporate debt securities</w:t>
            </w:r>
          </w:p>
        </w:tc>
        <w:tc>
          <w:tcPr>
            <w:tcW w:w="5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30,777</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30,776</w:t>
            </w:r>
          </w:p>
        </w:tc>
        <w:tc>
          <w:tcPr>
            <w:tcW w:w="0" w:type="dxa"/>
            <w:vAlign w:val="bottom"/>
          </w:tcPr>
          <w:p>
            <w:pPr>
              <w:spacing w:after="0"/>
              <w:rPr>
                <w:sz w:val="1"/>
                <w:szCs w:val="1"/>
                <w:color w:val="auto"/>
              </w:rPr>
            </w:pPr>
          </w:p>
        </w:tc>
      </w:tr>
      <w:tr>
        <w:trPr>
          <w:trHeight w:val="145"/>
        </w:trPr>
        <w:tc>
          <w:tcPr>
            <w:tcW w:w="4900" w:type="dxa"/>
            <w:vAlign w:val="bottom"/>
          </w:tcPr>
          <w:p>
            <w:pPr>
              <w:spacing w:after="0"/>
              <w:rPr>
                <w:sz w:val="20"/>
                <w:szCs w:val="20"/>
                <w:color w:val="auto"/>
              </w:rPr>
            </w:pPr>
            <w:r>
              <w:rPr>
                <w:rFonts w:ascii="Arial" w:cs="Arial" w:eastAsia="Arial" w:hAnsi="Arial"/>
                <w:sz w:val="12"/>
                <w:szCs w:val="12"/>
                <w:color w:val="auto"/>
              </w:rPr>
              <w:t>Total</w:t>
            </w:r>
          </w:p>
        </w:tc>
        <w:tc>
          <w:tcPr>
            <w:tcW w:w="5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91,407</w:t>
            </w:r>
          </w:p>
        </w:tc>
        <w:tc>
          <w:tcPr>
            <w:tcW w:w="700" w:type="dxa"/>
            <w:vAlign w:val="bottom"/>
            <w:gridSpan w:val="3"/>
          </w:tcPr>
          <w:p>
            <w:pPr>
              <w:jc w:val="right"/>
              <w:ind w:right="43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3</w:t>
            </w:r>
          </w:p>
        </w:tc>
        <w:tc>
          <w:tcPr>
            <w:tcW w:w="980" w:type="dxa"/>
            <w:vAlign w:val="bottom"/>
            <w:gridSpan w:val="2"/>
          </w:tcPr>
          <w:p>
            <w:pPr>
              <w:jc w:val="right"/>
              <w:ind w:right="75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2"/>
                <w:szCs w:val="12"/>
                <w:color w:val="auto"/>
              </w:rPr>
            </w:pPr>
          </w:p>
        </w:tc>
        <w:tc>
          <w:tcPr>
            <w:tcW w:w="220" w:type="dxa"/>
            <w:vAlign w:val="bottom"/>
          </w:tcPr>
          <w:p>
            <w:pPr>
              <w:jc w:val="right"/>
              <w:ind w:right="104"/>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91,400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right="80" w:firstLine="439"/>
        <w:spacing w:after="0" w:line="245" w:lineRule="auto"/>
        <w:rPr>
          <w:sz w:val="20"/>
          <w:szCs w:val="20"/>
          <w:color w:val="auto"/>
        </w:rPr>
      </w:pPr>
      <w:r>
        <w:rPr>
          <w:rFonts w:ascii="Arial" w:cs="Arial" w:eastAsia="Arial" w:hAnsi="Arial"/>
          <w:sz w:val="12"/>
          <w:szCs w:val="12"/>
          <w:color w:val="auto"/>
        </w:rPr>
        <w:t>All available-for-sale marketable debt securities held as of September 30, 2021 and December 31, 2020 had contractual maturities of less than one year. All of the Company's available-for-sale marketable debt securities in an unrealized loss position as of September 30, 2021 and December 31, 2020 were in a loss position for less than 12 months. Unrealized losses on available-for-sale debt securities as of September 30, 2021 and December 31, 2020 were not significant and were primarily due to changes in interest rates, including market credit spreads, and not due to increased credit risks associated with specific securities. Accordingly, no allowance for credit losses related to the Company's available-for-sale debt securities was recorded for any periods presented. The Company does not intend to sell these investments and it is not more likely than not that the Company will be required to sell the investments before recovery of their amortized cost bases, which may be at maturity.</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100" w:type="dxa"/>
            <w:vAlign w:val="bottom"/>
          </w:tcPr>
          <w:p>
            <w:pPr>
              <w:spacing w:after="0"/>
              <w:rPr>
                <w:sz w:val="20"/>
                <w:szCs w:val="20"/>
                <w:color w:val="auto"/>
              </w:rPr>
            </w:pPr>
            <w:r>
              <w:rPr>
                <w:rFonts w:ascii="Arial" w:cs="Arial" w:eastAsia="Arial" w:hAnsi="Arial"/>
                <w:sz w:val="12"/>
                <w:szCs w:val="12"/>
                <w:b w:val="1"/>
                <w:bCs w:val="1"/>
                <w:color w:val="auto"/>
              </w:rPr>
              <w:t>5. Inventory, Net</w:t>
            </w:r>
          </w:p>
        </w:tc>
        <w:tc>
          <w:tcPr>
            <w:tcW w:w="3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56"/>
        </w:trPr>
        <w:tc>
          <w:tcPr>
            <w:tcW w:w="9100" w:type="dxa"/>
            <w:vAlign w:val="bottom"/>
          </w:tcPr>
          <w:p>
            <w:pPr>
              <w:ind w:left="380"/>
              <w:spacing w:after="0"/>
              <w:rPr>
                <w:sz w:val="20"/>
                <w:szCs w:val="20"/>
                <w:color w:val="auto"/>
              </w:rPr>
            </w:pPr>
            <w:r>
              <w:rPr>
                <w:rFonts w:ascii="Arial" w:cs="Arial" w:eastAsia="Arial" w:hAnsi="Arial"/>
                <w:sz w:val="12"/>
                <w:szCs w:val="12"/>
                <w:color w:val="auto"/>
              </w:rPr>
              <w:t>All of the Company's inventory relates to the manufacturing of MARGENZA. The following table sets forth the Company's net inventory (in thousands):</w:t>
            </w:r>
          </w:p>
        </w:tc>
        <w:tc>
          <w:tcPr>
            <w:tcW w:w="34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84"/>
        </w:trPr>
        <w:tc>
          <w:tcPr>
            <w:tcW w:w="9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b w:val="1"/>
                <w:bCs w:val="1"/>
                <w:color w:val="auto"/>
              </w:rPr>
              <w:t>September 30, 2021</w:t>
            </w:r>
          </w:p>
        </w:tc>
      </w:tr>
      <w:tr>
        <w:trPr>
          <w:trHeight w:val="145"/>
        </w:trPr>
        <w:tc>
          <w:tcPr>
            <w:tcW w:w="9100" w:type="dxa"/>
            <w:vAlign w:val="bottom"/>
            <w:shd w:val="clear" w:color="auto" w:fill="CCEEFF"/>
          </w:tcPr>
          <w:p>
            <w:pPr>
              <w:spacing w:after="0"/>
              <w:rPr>
                <w:sz w:val="20"/>
                <w:szCs w:val="20"/>
                <w:color w:val="auto"/>
              </w:rPr>
            </w:pPr>
            <w:r>
              <w:rPr>
                <w:rFonts w:ascii="Arial" w:cs="Arial" w:eastAsia="Arial" w:hAnsi="Arial"/>
                <w:sz w:val="12"/>
                <w:szCs w:val="12"/>
                <w:color w:val="auto"/>
              </w:rPr>
              <w:t>Raw materials</w:t>
            </w:r>
          </w:p>
        </w:tc>
        <w:tc>
          <w:tcPr>
            <w:tcW w:w="3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608</w:t>
            </w:r>
          </w:p>
        </w:tc>
      </w:tr>
      <w:tr>
        <w:trPr>
          <w:trHeight w:val="155"/>
        </w:trPr>
        <w:tc>
          <w:tcPr>
            <w:tcW w:w="9100" w:type="dxa"/>
            <w:vAlign w:val="bottom"/>
          </w:tcPr>
          <w:p>
            <w:pPr>
              <w:spacing w:after="0"/>
              <w:rPr>
                <w:sz w:val="20"/>
                <w:szCs w:val="20"/>
                <w:color w:val="auto"/>
              </w:rPr>
            </w:pPr>
            <w:r>
              <w:rPr>
                <w:rFonts w:ascii="Arial" w:cs="Arial" w:eastAsia="Arial" w:hAnsi="Arial"/>
                <w:sz w:val="12"/>
                <w:szCs w:val="12"/>
                <w:color w:val="auto"/>
              </w:rPr>
              <w:t>Work in process</w:t>
            </w:r>
          </w:p>
        </w:tc>
        <w:tc>
          <w:tcPr>
            <w:tcW w:w="34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3,095</w:t>
            </w:r>
          </w:p>
        </w:tc>
      </w:tr>
      <w:tr>
        <w:trPr>
          <w:trHeight w:val="155"/>
        </w:trPr>
        <w:tc>
          <w:tcPr>
            <w:tcW w:w="9100" w:type="dxa"/>
            <w:vAlign w:val="bottom"/>
            <w:shd w:val="clear" w:color="auto" w:fill="CCEEFF"/>
          </w:tcPr>
          <w:p>
            <w:pPr>
              <w:spacing w:after="0"/>
              <w:rPr>
                <w:sz w:val="20"/>
                <w:szCs w:val="20"/>
                <w:color w:val="auto"/>
              </w:rPr>
            </w:pPr>
            <w:r>
              <w:rPr>
                <w:rFonts w:ascii="Arial" w:cs="Arial" w:eastAsia="Arial" w:hAnsi="Arial"/>
                <w:sz w:val="12"/>
                <w:szCs w:val="12"/>
                <w:color w:val="auto"/>
              </w:rPr>
              <w:t>Finished goods</w:t>
            </w:r>
          </w:p>
        </w:tc>
        <w:tc>
          <w:tcPr>
            <w:tcW w:w="340" w:type="dxa"/>
            <w:vAlign w:val="bottom"/>
            <w:tcBorders>
              <w:bottom w:val="single" w:sz="8" w:color="auto"/>
            </w:tcBorders>
            <w:shd w:val="clear" w:color="auto" w:fill="CCEEFF"/>
          </w:tcPr>
          <w:p>
            <w:pPr>
              <w:spacing w:after="0"/>
              <w:rPr>
                <w:sz w:val="13"/>
                <w:szCs w:val="1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276</w:t>
            </w:r>
          </w:p>
        </w:tc>
      </w:tr>
      <w:tr>
        <w:trPr>
          <w:trHeight w:val="145"/>
        </w:trPr>
        <w:tc>
          <w:tcPr>
            <w:tcW w:w="9100" w:type="dxa"/>
            <w:vAlign w:val="bottom"/>
          </w:tcPr>
          <w:p>
            <w:pPr>
              <w:spacing w:after="0"/>
              <w:rPr>
                <w:sz w:val="20"/>
                <w:szCs w:val="20"/>
                <w:color w:val="auto"/>
              </w:rPr>
            </w:pPr>
            <w:r>
              <w:rPr>
                <w:rFonts w:ascii="Arial" w:cs="Arial" w:eastAsia="Arial" w:hAnsi="Arial"/>
                <w:sz w:val="12"/>
                <w:szCs w:val="12"/>
                <w:color w:val="auto"/>
              </w:rPr>
              <w:t>Total inventory, net</w:t>
            </w:r>
          </w:p>
        </w:tc>
        <w:tc>
          <w:tcPr>
            <w:tcW w:w="34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3,979</w:t>
            </w:r>
          </w:p>
        </w:tc>
      </w:tr>
      <w:tr>
        <w:trPr>
          <w:trHeight w:val="20"/>
        </w:trPr>
        <w:tc>
          <w:tcPr>
            <w:tcW w:w="9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120" w:firstLine="439"/>
        <w:spacing w:after="0" w:line="268" w:lineRule="auto"/>
        <w:rPr>
          <w:sz w:val="20"/>
          <w:szCs w:val="20"/>
          <w:color w:val="auto"/>
        </w:rPr>
      </w:pPr>
      <w:r>
        <w:rPr>
          <w:rFonts w:ascii="Arial" w:cs="Arial" w:eastAsia="Arial" w:hAnsi="Arial"/>
          <w:sz w:val="12"/>
          <w:szCs w:val="12"/>
          <w:color w:val="auto"/>
        </w:rPr>
        <w:t>Prior to FDA approval of MARGENZA in December 2020, the cost of materials and expenses associated with the manufacturing of MARGENZA were recorded as research and development expense. Subsequent to FDA approval, the Company began capitalizing inventory costs related to the manufacture of MARGENZA. The inventory balance as of September 30, 2021, is net of a reserve of $1.6 million for unsaleable inventory which is reflected in cost of product sales for the three and nine months ended September 30, 2021.</w:t>
      </w: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Stockholders' Equity</w:t>
      </w:r>
    </w:p>
    <w:p>
      <w:pPr>
        <w:spacing w:after="0" w:line="122" w:lineRule="exact"/>
        <w:rPr>
          <w:sz w:val="20"/>
          <w:szCs w:val="20"/>
          <w:color w:val="auto"/>
        </w:rPr>
      </w:pPr>
    </w:p>
    <w:p>
      <w:pPr>
        <w:ind w:right="40" w:firstLine="439"/>
        <w:spacing w:after="0" w:line="268" w:lineRule="auto"/>
        <w:rPr>
          <w:sz w:val="20"/>
          <w:szCs w:val="20"/>
          <w:color w:val="auto"/>
        </w:rPr>
      </w:pPr>
      <w:r>
        <w:rPr>
          <w:rFonts w:ascii="Arial" w:cs="Arial" w:eastAsia="Arial" w:hAnsi="Arial"/>
          <w:sz w:val="12"/>
          <w:szCs w:val="12"/>
          <w:color w:val="auto"/>
        </w:rPr>
        <w:t>In November 2020, the Company entered into a sales agreement (Sales Agreement) with an agent to sell, from time to time, shares of its common stock having an aggregate sales price of up to $100.0 million through an “at the market offering” (ATM Offering) as defined in Rule 415 under the Securities Act of 1933, as amended. The shares that were sold under the Sales Agreement were issued and sold pursuant to the Company's shelf registration statement on Form S-3 that was filed with the SEC on November 4, 2020. During the three months ended March 31, 2021, the Company sold 3,622,186 shares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784" w:right="299" w:bottom="1440" w:gutter="0" w:footer="0" w:header="0"/>
        </w:sectPr>
      </w:pPr>
    </w:p>
    <w:bookmarkStart w:id="14" w:name="page15"/>
    <w:bookmarkEnd w:id="14"/>
    <w:p>
      <w:pPr>
        <w:spacing w:after="0"/>
        <w:rPr>
          <w:sz w:val="20"/>
          <w:szCs w:val="20"/>
          <w:color w:val="auto"/>
        </w:rPr>
      </w:pPr>
      <w:r>
        <w:rPr>
          <w:rFonts w:ascii="Arial" w:cs="Arial" w:eastAsia="Arial" w:hAnsi="Arial"/>
          <w:sz w:val="12"/>
          <w:szCs w:val="12"/>
          <w:color w:val="auto"/>
        </w:rPr>
        <w:t>of common stock at a weighted average price per share of $27.60, resulting in net proceeds of approximately $98.2 million, net of underwriting discounts and commissions and other offering expenses.</w:t>
      </w:r>
    </w:p>
    <w:p>
      <w:pPr>
        <w:spacing w:after="0" w:line="118" w:lineRule="exact"/>
        <w:rPr>
          <w:sz w:val="20"/>
          <w:szCs w:val="20"/>
          <w:color w:val="auto"/>
        </w:rPr>
      </w:pPr>
    </w:p>
    <w:p>
      <w:pPr>
        <w:ind w:right="20" w:firstLine="439"/>
        <w:spacing w:after="0" w:line="268" w:lineRule="auto"/>
        <w:rPr>
          <w:sz w:val="20"/>
          <w:szCs w:val="20"/>
          <w:color w:val="auto"/>
        </w:rPr>
      </w:pPr>
      <w:r>
        <w:rPr>
          <w:rFonts w:ascii="Arial" w:cs="Arial" w:eastAsia="Arial" w:hAnsi="Arial"/>
          <w:sz w:val="12"/>
          <w:szCs w:val="12"/>
          <w:color w:val="auto"/>
        </w:rPr>
        <w:t>In April 2021, the Company entered into Amendment No. 1 to the Sales Agreement which increases the amount of the Company’s common stock that can be sold by the Company through its agent under the ATM Offering, from an aggregate offering price of up to $100.0 million to an aggregate offering price of up to $300.0 million. During the three and nine months ended September 30, 2021, the Company did not sell any shares of common stock related to the ATM Offering.</w:t>
      </w:r>
    </w:p>
    <w:p>
      <w:pPr>
        <w:spacing w:after="0" w:line="86" w:lineRule="exact"/>
        <w:rPr>
          <w:sz w:val="20"/>
          <w:szCs w:val="20"/>
          <w:color w:val="auto"/>
        </w:rPr>
      </w:pPr>
    </w:p>
    <w:p>
      <w:pPr>
        <w:jc w:val="both"/>
        <w:ind w:firstLine="439"/>
        <w:spacing w:after="0" w:line="303" w:lineRule="auto"/>
        <w:rPr>
          <w:sz w:val="20"/>
          <w:szCs w:val="20"/>
          <w:color w:val="auto"/>
        </w:rPr>
      </w:pPr>
      <w:r>
        <w:rPr>
          <w:rFonts w:ascii="Arial" w:cs="Arial" w:eastAsia="Arial" w:hAnsi="Arial"/>
          <w:sz w:val="11"/>
          <w:szCs w:val="11"/>
          <w:color w:val="auto"/>
        </w:rPr>
        <w:t>As part of the consideration for the rights granted to Zai Lab US LLC under the collaboration and license agreement described more fully in Note 7, Collaboration and Other Agreements, the Company and Zai Lab US LLC entered into a separate stock purchase agreement (Stock Purchase Agreement). Under this Stock Purchase Agreement, Zai Lab US LLC paid the Company approximately $30.0 million to purchase 958,467 newly issued shares of the Company's common stock, par value $0.01, at a fixed price of $31.30 (Offering) which represented a $10.4 million premium over the share price on the Stock Purchase Agreement date. The Offering closed in July 2021.</w:t>
      </w: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Collaboration and Other Agreements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Incyte Corporation</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2"/>
          <w:szCs w:val="12"/>
          <w:u w:val="single" w:color="auto"/>
          <w:color w:val="auto"/>
        </w:rPr>
        <w:t>Incyte License Agreement</w:t>
      </w:r>
    </w:p>
    <w:p>
      <w:pPr>
        <w:spacing w:after="0" w:line="109" w:lineRule="exact"/>
        <w:rPr>
          <w:sz w:val="20"/>
          <w:szCs w:val="20"/>
          <w:color w:val="auto"/>
        </w:rPr>
      </w:pPr>
    </w:p>
    <w:p>
      <w:pPr>
        <w:ind w:right="60" w:firstLine="439"/>
        <w:spacing w:after="0" w:line="253" w:lineRule="auto"/>
        <w:rPr>
          <w:sz w:val="20"/>
          <w:szCs w:val="20"/>
          <w:color w:val="auto"/>
        </w:rPr>
      </w:pPr>
      <w:r>
        <w:rPr>
          <w:rFonts w:ascii="Arial" w:cs="Arial" w:eastAsia="Arial" w:hAnsi="Arial"/>
          <w:sz w:val="11"/>
          <w:szCs w:val="11"/>
          <w:color w:val="auto"/>
        </w:rPr>
        <w:t>In 2017, the Company entered into an exclusive global collaboration and license agreement with Incyte Corporation (Incyte) for retifanlimab (formerly known as MGA012 and INCMGA0012), an investigational monoclonal antibody that inhibits programmed cell death protein 1 (PD-1) (Incyte License Agreement). Incyte has obtained exclusive worldwide rights for the development and commercialization of retifanlimab in all indications, while the Company retains the right to develop its pipeline assets in combination with retifanlimab. Under the terms of the Incyte License Agreement, Incyte paid the Company an upfront payment of $150.0 million in 2017. In July 2021, Incyte announced that the FDA had issued a Complete Response Letter (CRL) regarding its Biologics License Application (BLA) for retifanlimab as a potential treatment for adult patients with locally advanced or metastatic squamous cell carcinoma of the anal canal. Incyte’s announcement indicated that the FDA determined that additional data are needed to demonstrate the clinical benefit of retifanlimab for the submitted indication, and that Incyte is reviewing the CRL and will discuss next steps with the FDA. More recently, Incyte withdrew its European application for marketing authorization of retifanlimab for the treatment of squamous carcinoma of the anal canal.</w:t>
      </w:r>
    </w:p>
    <w:p>
      <w:pPr>
        <w:spacing w:after="0" w:line="86" w:lineRule="exact"/>
        <w:rPr>
          <w:sz w:val="20"/>
          <w:szCs w:val="20"/>
          <w:color w:val="auto"/>
        </w:rPr>
      </w:pPr>
    </w:p>
    <w:p>
      <w:pPr>
        <w:ind w:right="60" w:firstLine="439"/>
        <w:spacing w:after="0" w:line="290" w:lineRule="auto"/>
        <w:rPr>
          <w:sz w:val="20"/>
          <w:szCs w:val="20"/>
          <w:color w:val="auto"/>
        </w:rPr>
      </w:pPr>
      <w:r>
        <w:rPr>
          <w:rFonts w:ascii="Arial" w:cs="Arial" w:eastAsia="Arial" w:hAnsi="Arial"/>
          <w:sz w:val="11"/>
          <w:szCs w:val="11"/>
          <w:color w:val="auto"/>
        </w:rPr>
        <w:t xml:space="preserve">Under the terms of the Incyte License Agreement, Incyte will lead global development of retifanlimab. Assuming successful development and commercialization of retifanlimab by Incyte, the Company could receive up to approximately $420.0 million in development and regulatory milestones and up to $330.0 million in commercial milestones. From the inception of the Incyte License Agreement through </w:t>
      </w:r>
      <w:r>
        <w:rPr>
          <w:rFonts w:ascii="Arial" w:cs="Arial" w:eastAsia="Arial" w:hAnsi="Arial"/>
          <w:sz w:val="11"/>
          <w:szCs w:val="11"/>
          <w:color w:val="252525"/>
        </w:rPr>
        <w:t>September 30, 2021</w:t>
      </w:r>
      <w:r>
        <w:rPr>
          <w:rFonts w:ascii="Arial" w:cs="Arial" w:eastAsia="Arial" w:hAnsi="Arial"/>
          <w:sz w:val="11"/>
          <w:szCs w:val="11"/>
          <w:color w:val="auto"/>
        </w:rPr>
        <w:t>, the Company has recognized $70.0 million in development milestones under the Incyte License Agreement. If retifanlimab is approved and commercialized, the Company would be eligible to receive tiered royalties of 15% to 24% on any global net sales. The Company retains the right to develop its pipeline assets in combination with retifanlimab, with Incyte commercializing retifanlimab and the Company commercializing its asset(s), if any such potential combinations are approved. In addition, the Company retains the right to manufacture a portion of both companies' global commercial supply needs of retifanlimab, subject to the separate commercial supply agreement.</w:t>
      </w:r>
    </w:p>
    <w:p>
      <w:pPr>
        <w:spacing w:after="0" w:line="76" w:lineRule="exact"/>
        <w:rPr>
          <w:sz w:val="20"/>
          <w:szCs w:val="20"/>
          <w:color w:val="auto"/>
        </w:rPr>
      </w:pPr>
    </w:p>
    <w:p>
      <w:pPr>
        <w:ind w:right="200" w:firstLine="439"/>
        <w:spacing w:after="0" w:line="265" w:lineRule="auto"/>
        <w:rPr>
          <w:sz w:val="20"/>
          <w:szCs w:val="20"/>
          <w:color w:val="auto"/>
        </w:rPr>
      </w:pPr>
      <w:r>
        <w:rPr>
          <w:rFonts w:ascii="Arial" w:cs="Arial" w:eastAsia="Arial" w:hAnsi="Arial"/>
          <w:sz w:val="11"/>
          <w:szCs w:val="11"/>
          <w:color w:val="auto"/>
        </w:rPr>
        <w:t>The Company evaluated the Incyte License Agreement under ASC 606 and identified the following two performance obligations under the agreement: (i) the license of retifanlimab and (ii) the performance of certain clinical activities through a brief technology transfer period. The Company determined that the license and clinical activities are separate performance obligations because they are capable of being distinct, and are distinct in the context of the contract. The license has standalone functionality as it is sublicensable, Incyte has significant capabilities in performing clinical trials, and Incyte is capable of performing these activities without the Company's involvement; the Company performed the activities during the transfer period as a matter of convenience. The Company determined that the transaction price of the Incyte License Agreement at inception was $154.0 million, consisting of the consideration to which the Company was entitled in exchange for the license and an estimate of the consideration for clinical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The standalone selling price for the agreed-upon clinical activities to be performed was determined using the expected cost approach based on similar arrangements the Company has with other parties.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sales-based milestones and royalties will be recognized when the related sales occur, as they were determined to relate predominantly to the license granted to Incyte and, therefore, have also been excluded from the transaction price. The Company re-assesses the transaction price in each reporting</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15" w:name="page16"/>
    <w:bookmarkEnd w:id="15"/>
    <w:p>
      <w:pPr>
        <w:ind w:right="300"/>
        <w:spacing w:after="0" w:line="252" w:lineRule="auto"/>
        <w:rPr>
          <w:sz w:val="20"/>
          <w:szCs w:val="20"/>
          <w:color w:val="auto"/>
        </w:rPr>
      </w:pPr>
      <w:r>
        <w:rPr>
          <w:rFonts w:ascii="Arial" w:cs="Arial" w:eastAsia="Arial" w:hAnsi="Arial"/>
          <w:sz w:val="12"/>
          <w:szCs w:val="12"/>
          <w:color w:val="auto"/>
        </w:rPr>
        <w:t xml:space="preserve">period and when events whose outcomes are resolved or other changes in circumstances occur. From 2018 through </w:t>
      </w:r>
      <w:r>
        <w:rPr>
          <w:rFonts w:ascii="Arial" w:cs="Arial" w:eastAsia="Arial" w:hAnsi="Arial"/>
          <w:sz w:val="12"/>
          <w:szCs w:val="12"/>
          <w:color w:val="252525"/>
        </w:rPr>
        <w:t>September 30, 2021</w:t>
      </w:r>
      <w:r>
        <w:rPr>
          <w:rFonts w:ascii="Arial" w:cs="Arial" w:eastAsia="Arial" w:hAnsi="Arial"/>
          <w:sz w:val="12"/>
          <w:szCs w:val="12"/>
          <w:color w:val="auto"/>
        </w:rPr>
        <w:t xml:space="preserve">, it became probable that a significant reversal of cumulative revenue would not occur for development milestones totaling $70.0 million related to </w:t>
      </w:r>
      <w:r>
        <w:rPr>
          <w:rFonts w:ascii="Arial" w:cs="Arial" w:eastAsia="Arial" w:hAnsi="Arial"/>
          <w:sz w:val="12"/>
          <w:szCs w:val="12"/>
          <w:color w:val="252525"/>
        </w:rPr>
        <w:t>clinical and regulatory activities related to the further advancement of retifanlimab, including Incyte’s initiation of a Phase 3 clinical trial</w:t>
      </w:r>
      <w:r>
        <w:rPr>
          <w:rFonts w:ascii="Arial" w:cs="Arial" w:eastAsia="Arial" w:hAnsi="Arial"/>
          <w:sz w:val="12"/>
          <w:szCs w:val="12"/>
          <w:color w:val="auto"/>
        </w:rPr>
        <w:t>. Therefore the associated consideration was added to the estimated transaction price.</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1"/>
          <w:szCs w:val="11"/>
          <w:color w:val="auto"/>
        </w:rPr>
        <w:t>The Company recognized the $150.0 million allocated to the license when it satisfied its performance obligation and transferred the license to Incyte in 2017. The $4.0 million allocated to the clinical activities was</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recognized ratably as services were performed over a period spanning 2017 and 2018. During the nine months ended September 30, 2021, it became probable that a significant reversal of cumulative revenue would not occur for</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$15.0 million in milestones related to development progress of retifanlimab, therefore the associated consideration was added to the estimated transaction price and was recognized as revenue. No revenue was recognized under the</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Incyte License Agreement during the three and nine months ended September 30, 2021. During the three and nine months ended September 30, 2020, $15.0 million in milestone revenue was recognized under the Incyte License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Agreement.</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2"/>
          <w:szCs w:val="12"/>
          <w:u w:val="single" w:color="auto"/>
          <w:color w:val="auto"/>
        </w:rPr>
        <w:t>Incyte Clinical Supply Agreement</w:t>
      </w:r>
    </w:p>
    <w:p>
      <w:pPr>
        <w:spacing w:after="0" w:line="118" w:lineRule="exact"/>
        <w:rPr>
          <w:sz w:val="20"/>
          <w:szCs w:val="20"/>
          <w:color w:val="auto"/>
        </w:rPr>
      </w:pPr>
    </w:p>
    <w:p>
      <w:pPr>
        <w:ind w:right="20" w:firstLine="512"/>
        <w:spacing w:after="0" w:line="259" w:lineRule="auto"/>
        <w:rPr>
          <w:sz w:val="20"/>
          <w:szCs w:val="20"/>
          <w:color w:val="auto"/>
        </w:rPr>
      </w:pPr>
      <w:r>
        <w:rPr>
          <w:rFonts w:ascii="Arial" w:cs="Arial" w:eastAsia="Arial" w:hAnsi="Arial"/>
          <w:sz w:val="12"/>
          <w:szCs w:val="12"/>
          <w:color w:val="auto"/>
        </w:rPr>
        <w:t>The Company also has an agreement with Incyte, which was entered into in 2018, under which the Company is to perform development and manufacturing services for Incyte’s clinical needs of retifanlimab (Incyte Clinical Supply Agreement). The Company evaluated the agreement under ASC 606 and identified one performance obligation under the agreement: to perform services related to the development and manufacturing of the clinical supply of retifanlimab. The transaction price is based on the costs incurred to develop and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will be recognized using the input method reflecting the costs incurred (including resources consumed and labor hours expended) related to the manufacturing services. During the three months ended September 30, 2021 and 2020, the Company recognized revenue of $0.2 million and $0.7 million, respectively, for services performed under the Incyte Clinical Supply Agreement. During the nine months ended September 30, 2021 and 2020, the Company recognized revenue of $1.0 million and $8.1 million, respectively, for services performed under the Incyte Clinical Supply Agreement.</w:t>
      </w:r>
    </w:p>
    <w:p>
      <w:pPr>
        <w:spacing w:after="0" w:line="91" w:lineRule="exact"/>
        <w:rPr>
          <w:sz w:val="20"/>
          <w:szCs w:val="20"/>
          <w:color w:val="auto"/>
        </w:rPr>
      </w:pPr>
    </w:p>
    <w:p>
      <w:pPr>
        <w:ind w:left="500"/>
        <w:spacing w:after="0"/>
        <w:rPr>
          <w:sz w:val="20"/>
          <w:szCs w:val="20"/>
          <w:color w:val="auto"/>
        </w:rPr>
      </w:pPr>
      <w:r>
        <w:rPr>
          <w:rFonts w:ascii="Arial" w:cs="Arial" w:eastAsia="Arial" w:hAnsi="Arial"/>
          <w:sz w:val="12"/>
          <w:szCs w:val="12"/>
          <w:u w:val="single" w:color="auto"/>
          <w:color w:val="auto"/>
        </w:rPr>
        <w:t>Incyte Commercial Supply Agreement</w:t>
      </w:r>
    </w:p>
    <w:p>
      <w:pPr>
        <w:spacing w:after="0" w:line="118" w:lineRule="exact"/>
        <w:rPr>
          <w:sz w:val="20"/>
          <w:szCs w:val="20"/>
          <w:color w:val="auto"/>
        </w:rPr>
      </w:pPr>
    </w:p>
    <w:p>
      <w:pPr>
        <w:ind w:right="20" w:firstLine="512"/>
        <w:spacing w:after="0" w:line="259" w:lineRule="auto"/>
        <w:rPr>
          <w:sz w:val="20"/>
          <w:szCs w:val="20"/>
          <w:color w:val="auto"/>
        </w:rPr>
      </w:pPr>
      <w:r>
        <w:rPr>
          <w:rFonts w:ascii="Arial" w:cs="Arial" w:eastAsia="Arial" w:hAnsi="Arial"/>
          <w:sz w:val="12"/>
          <w:szCs w:val="12"/>
          <w:color w:val="auto"/>
        </w:rPr>
        <w:t>In October 2020, the Company entered into an agreement with Incyte pursuant to which the Company is entitled to manufacture a portion of the global commercial supply needs for retifanlimab (Incyte Commercial Supply Agreement). Unless terminated earlier, the term of the Incyte Commercial Supply Agreement will expire upon the expiration of Incyte’s obligation to pay royalties under the Incyte License Agreement. The Company evaluated this agreement under ASC 606 and identified one performance obligation under the agreement: to perform services related to manufacturing the commercial supply of retifanlimab. The transaction price is based on a fixed price per batch of bulk drug substance to be manufactured and is recognized over time as the services are provided, as the performance by the Company does not create an asset with an alternative use and the Company has an enforceable right to payment for the performance completed to date. The transaction price will be recognized using the input method reflecting the costs incurred (including resources consumed and labor hours expended) related to the manufacturing services. During the three and nine months ended September 30, 2021, the Company recognized revenue of $1.4 million and $7.4 million, respectively, for services performed under the Incyte Commercial Supply Agreement.</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Zai Lab Limited</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2"/>
          <w:szCs w:val="12"/>
          <w:u w:val="single" w:color="auto"/>
          <w:color w:val="auto"/>
        </w:rPr>
        <w:t>2018 Zai Lab Agreement</w:t>
      </w:r>
    </w:p>
    <w:p>
      <w:pPr>
        <w:spacing w:after="0" w:line="118" w:lineRule="exact"/>
        <w:rPr>
          <w:sz w:val="20"/>
          <w:szCs w:val="20"/>
          <w:color w:val="auto"/>
        </w:rPr>
      </w:pPr>
    </w:p>
    <w:p>
      <w:pPr>
        <w:ind w:firstLine="439"/>
        <w:spacing w:after="0" w:line="263" w:lineRule="auto"/>
        <w:rPr>
          <w:sz w:val="20"/>
          <w:szCs w:val="20"/>
          <w:color w:val="auto"/>
        </w:rPr>
      </w:pPr>
      <w:r>
        <w:rPr>
          <w:rFonts w:ascii="Arial" w:cs="Arial" w:eastAsia="Arial" w:hAnsi="Arial"/>
          <w:sz w:val="12"/>
          <w:szCs w:val="12"/>
          <w:color w:val="auto"/>
        </w:rPr>
        <w:t>In 2018, the Company entered into a collaboration and license agreement with Zai Lab Limited (Zai Lab) under which Zai Lab obtained regional development and commercialization rights in mainland China, Hong Kong, Macau and Taiwan (Zai Lab’s territory) for (i) margetuximab, an immune-optimized anti-HER2 monoclonal antibody, (ii) tebotelimab (formerly known as MGD013), a bispecific DART molecule designed to provide coordinate blockade of PD-1 and LAG-3 for the potential treatment of a range of solid tumors and hematological malignancies, and (iii) an undisclosed multi-specific TRIDENT molecule in preclinical development (2018 Zai Lab Agreement). Zai Lab will lead clinical development of these molecules in its territory.</w:t>
      </w:r>
    </w:p>
    <w:p>
      <w:pPr>
        <w:spacing w:after="0" w:line="90" w:lineRule="exact"/>
        <w:rPr>
          <w:sz w:val="20"/>
          <w:szCs w:val="20"/>
          <w:color w:val="auto"/>
        </w:rPr>
      </w:pPr>
    </w:p>
    <w:p>
      <w:pPr>
        <w:ind w:right="60" w:firstLine="439"/>
        <w:spacing w:after="0" w:line="268" w:lineRule="auto"/>
        <w:rPr>
          <w:sz w:val="20"/>
          <w:szCs w:val="20"/>
          <w:color w:val="auto"/>
        </w:rPr>
      </w:pPr>
      <w:r>
        <w:rPr>
          <w:rFonts w:ascii="Arial" w:cs="Arial" w:eastAsia="Arial" w:hAnsi="Arial"/>
          <w:sz w:val="12"/>
          <w:szCs w:val="12"/>
          <w:color w:val="auto"/>
        </w:rPr>
        <w:t>Under the terms of the 2018 Zai Lab Agreement, Zai Lab paid the Company an upfront payment of $25.0 million ($22.5 million after netting value-added tax withholdings of $2.5 million). Assuming successful development and commercialization of margetuximab, tebotelimab and the TRIDENT molecule, the Company could receive up to $140.0 million in development and regulatory milestones, $4.0 million of which ($3.6 million after netting value-added tax withholdings of</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60"/>
          </w:cols>
          <w:pgMar w:left="300" w:top="679" w:right="339" w:bottom="1440" w:gutter="0" w:footer="0" w:header="0"/>
        </w:sectPr>
      </w:pPr>
    </w:p>
    <w:bookmarkStart w:id="16" w:name="page17"/>
    <w:bookmarkEnd w:id="16"/>
    <w:p>
      <w:pPr>
        <w:ind w:right="220"/>
        <w:spacing w:after="0" w:line="330" w:lineRule="auto"/>
        <w:rPr>
          <w:sz w:val="20"/>
          <w:szCs w:val="20"/>
          <w:color w:val="auto"/>
        </w:rPr>
      </w:pPr>
      <w:r>
        <w:rPr>
          <w:rFonts w:ascii="Arial" w:cs="Arial" w:eastAsia="Arial" w:hAnsi="Arial"/>
          <w:sz w:val="11"/>
          <w:szCs w:val="11"/>
          <w:color w:val="auto"/>
        </w:rPr>
        <w:t>$0.4 million) was earned during the three months ended March 31, 2020. In addition, Zai Lab would pay the Company tiered royalties at percentage rates of mid-teens to 20% for net sales of margetuximab in Zai Lab’s territory, mid-teens for net sales of tebotelimab in Zai Lab’s territory and 10% for net sales of the TRIDENT molecule in Zai Lab’s territory, which may be subject to adjustment in specified circumstances.</w:t>
      </w:r>
    </w:p>
    <w:p>
      <w:pPr>
        <w:spacing w:after="0" w:line="54" w:lineRule="exact"/>
        <w:rPr>
          <w:sz w:val="20"/>
          <w:szCs w:val="20"/>
          <w:color w:val="auto"/>
        </w:rPr>
      </w:pPr>
    </w:p>
    <w:p>
      <w:pPr>
        <w:ind w:firstLine="439"/>
        <w:spacing w:after="0" w:line="282" w:lineRule="auto"/>
        <w:rPr>
          <w:sz w:val="20"/>
          <w:szCs w:val="20"/>
          <w:color w:val="auto"/>
        </w:rPr>
      </w:pPr>
      <w:r>
        <w:rPr>
          <w:rFonts w:ascii="Arial" w:cs="Arial" w:eastAsia="Arial" w:hAnsi="Arial"/>
          <w:sz w:val="11"/>
          <w:szCs w:val="11"/>
          <w:color w:val="auto"/>
        </w:rPr>
        <w:t>The Company evaluated the 2018 Zai Lab Agreement under the provisions of ASC 606 and identified the following material promises under the arrangement for each of the two product candidates, margetuximab and tebotelimab: (i) an exclusive license to develop and commercialize the product candidate in Zai Lab’s territory and (ii) certain research and development activities. The Company determined that each license and the related research and development activities were not distinct from one another, as the license has limited value without the performance of the research and development activities. As such, the Company determined that these promises should be combined into a single performance obligation for each product candidate. Activities related to margetuximab and tebotelimab are separate performance obligations from each other because they are capable of being distinct, and are distinct in the context of the contract. The Company evaluated the promises related to the TRIDENT molecule and determined they were immaterial in context of the contract, therefore there is no performance obligation related to that molecule. The Company determined that the net $22.5 million upfront payment from Zai Lab constituted the entirety of the consideration to be included in the transaction price as of the outset of the arrangement, and the transaction price was allocated to the two performance obligations based on their relative standalone selling price. The standalone selling price of the performance obligations was determined using the adjusted market assessment approach considering similar collaboration and license agreements.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Zai Lab and, therefore, have also been excluded from the transaction price. The Company re-assesses the transaction price in each reporting period and when events whose outcomes are resolved or other changes in circumstances occur.</w:t>
      </w:r>
    </w:p>
    <w:p>
      <w:pPr>
        <w:spacing w:after="0" w:line="83" w:lineRule="exact"/>
        <w:rPr>
          <w:sz w:val="20"/>
          <w:szCs w:val="20"/>
          <w:color w:val="auto"/>
        </w:rPr>
      </w:pPr>
    </w:p>
    <w:p>
      <w:pPr>
        <w:ind w:right="80" w:firstLine="122"/>
        <w:spacing w:after="0" w:line="290" w:lineRule="auto"/>
        <w:rPr>
          <w:sz w:val="20"/>
          <w:szCs w:val="20"/>
          <w:color w:val="auto"/>
        </w:rPr>
      </w:pPr>
      <w:r>
        <w:rPr>
          <w:rFonts w:ascii="Arial" w:cs="Arial" w:eastAsia="Arial" w:hAnsi="Arial"/>
          <w:sz w:val="11"/>
          <w:szCs w:val="11"/>
          <w:color w:val="auto"/>
        </w:rPr>
        <w:t xml:space="preserve">Due to the relatively short-term nature of the recognition period, the revenue associated with the tebotelimab performance obligation was recognized on a straight-line basis as the Company performed research and development activities under the agreement. The fixed consideration related to the margetuximab performance obligation was also recognized on a straight-line basis as the Company performed research and development activities under the agreement due to the short-term nature of the recognition period. Straight-line recognition is materially consistent with the pattern of performance of the research and development activities of each product candidate. The variable consideration related to the margetuximab performance obligation was recognized upon certain regulatory achievements during 2020. The Company recognized revenue of $3.6 million during the nine months ended September 30, 2020 under the 2018 Zai Lab Agreement. There was no revenue deferred under this agreement as of </w:t>
      </w:r>
      <w:r>
        <w:rPr>
          <w:rFonts w:ascii="Arial" w:cs="Arial" w:eastAsia="Arial" w:hAnsi="Arial"/>
          <w:sz w:val="11"/>
          <w:szCs w:val="11"/>
          <w:color w:val="252525"/>
        </w:rPr>
        <w:t>September 30, 2021 or</w:t>
      </w:r>
      <w:r>
        <w:rPr>
          <w:rFonts w:ascii="Arial" w:cs="Arial" w:eastAsia="Arial" w:hAnsi="Arial"/>
          <w:sz w:val="11"/>
          <w:szCs w:val="11"/>
          <w:color w:val="auto"/>
        </w:rPr>
        <w:t xml:space="preserve"> December 31, 2020.</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2"/>
          <w:szCs w:val="12"/>
          <w:u w:val="single" w:color="auto"/>
          <w:color w:val="auto"/>
        </w:rPr>
        <w:t>Zai Lab Clinical Supply Agreements</w:t>
      </w:r>
    </w:p>
    <w:p>
      <w:pPr>
        <w:spacing w:after="0" w:line="118" w:lineRule="exact"/>
        <w:rPr>
          <w:sz w:val="20"/>
          <w:szCs w:val="20"/>
          <w:color w:val="auto"/>
        </w:rPr>
      </w:pPr>
    </w:p>
    <w:p>
      <w:pPr>
        <w:ind w:right="40" w:firstLine="384"/>
        <w:spacing w:after="0" w:line="288" w:lineRule="auto"/>
        <w:rPr>
          <w:sz w:val="20"/>
          <w:szCs w:val="20"/>
          <w:color w:val="auto"/>
        </w:rPr>
      </w:pPr>
      <w:r>
        <w:rPr>
          <w:rFonts w:ascii="Arial" w:cs="Arial" w:eastAsia="Arial" w:hAnsi="Arial"/>
          <w:sz w:val="11"/>
          <w:szCs w:val="11"/>
          <w:color w:val="auto"/>
        </w:rPr>
        <w:t>During 2019, the Company entered into two agreements under which the Company is to perform manufacturing services for Zai Lab’s clinical needs of margetuximab and tebotelimab (Zai Lab Clinical Supply Agreements). The Company evaluated the agreements under ASC 606 and determined that they should be accounted for as a single contract and identified two performance obligations within that contract: to perform services related to manufacturing the clinical supply of each of margetuximab and tebotelimab. The transaction price is based on the costs incurred to manufacture drug product and drug substance, and is recognized over time as the services are provided, as the performance by the Company does not create an asset with an alternative use and the Company has an enforceable right to payment for the performance completed to date. During the three months ended September 30, 2021 and 2020, the Company recognized revenue of $0.6 million and $0.5 million, respectively, related to the Zai Lab Clinical Supply Agreements. During the nine months ended September 30, 2021 and 2020, the Company recognized revenue of $2.3 million and $1.9 million, respectively, related to the Zai Lab Clinical Supply Agreements.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2"/>
          <w:szCs w:val="12"/>
          <w:u w:val="single" w:color="auto"/>
          <w:color w:val="auto"/>
        </w:rPr>
        <w:t>2021 Zai Lab Agreement</w:t>
      </w:r>
    </w:p>
    <w:p>
      <w:pPr>
        <w:spacing w:after="0" w:line="173" w:lineRule="exact"/>
        <w:rPr>
          <w:sz w:val="20"/>
          <w:szCs w:val="20"/>
          <w:color w:val="auto"/>
        </w:rPr>
      </w:pPr>
    </w:p>
    <w:p>
      <w:pPr>
        <w:ind w:right="140" w:firstLine="439"/>
        <w:spacing w:after="0" w:line="295" w:lineRule="auto"/>
        <w:rPr>
          <w:sz w:val="20"/>
          <w:szCs w:val="20"/>
          <w:color w:val="auto"/>
        </w:rPr>
      </w:pPr>
      <w:r>
        <w:rPr>
          <w:rFonts w:ascii="Arial" w:cs="Arial" w:eastAsia="Arial" w:hAnsi="Arial"/>
          <w:sz w:val="11"/>
          <w:szCs w:val="11"/>
          <w:color w:val="auto"/>
        </w:rPr>
        <w:t>In June 2021, the Company entered into a collaboration and license agreement with Zai Lab US LLC (collectively with Zai Lab Limited referred herein as Zai Lab) involving collaboration programs and license-only programs (collectively, the Programs) encompassing four separate immuno-oncology molecules (2021 Zai Lab Agreement). The first program covers a lead research molecule that incorporates the Company’s DART platform and binds CD3 and an undisclosed target that is expressed in multiple solid tumors (Lead Program). The second program covers a target to be designated by the Company. For these programs, Zai Lab receives commercial rights in Greater China, Japan, and Korea while the Company receives commercial rights in all other territories. Under the Lead Program, Zai Lab received an option upon reaching a predefined</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60"/>
          </w:cols>
          <w:pgMar w:left="300" w:top="788" w:right="339" w:bottom="1440" w:gutter="0" w:footer="0" w:header="0"/>
        </w:sectPr>
      </w:pPr>
    </w:p>
    <w:bookmarkStart w:id="17" w:name="page18"/>
    <w:bookmarkEnd w:id="17"/>
    <w:p>
      <w:pPr>
        <w:ind w:right="100"/>
        <w:spacing w:after="0" w:line="268" w:lineRule="auto"/>
        <w:rPr>
          <w:sz w:val="20"/>
          <w:szCs w:val="20"/>
          <w:color w:val="auto"/>
        </w:rPr>
      </w:pPr>
      <w:r>
        <w:rPr>
          <w:rFonts w:ascii="Arial" w:cs="Arial" w:eastAsia="Arial" w:hAnsi="Arial"/>
          <w:sz w:val="12"/>
          <w:szCs w:val="12"/>
          <w:color w:val="auto"/>
        </w:rPr>
        <w:t>clinical milestone to convert the regional arrangement into a global 50/50 profit share. If Zai Lab elects such option, Zai Lab is to pay the Company $85.0 million plus any research costs incurred by both parties as of the option election date. Zai Lab also obtained exclusive, global licenses from the Company to develop, manufacture and commercialize two additional molecules. Zai Lab granted the Company a worldwide, royalty-free, co-exclusive license to conduct the development activities allocated to the Company.</w:t>
      </w:r>
    </w:p>
    <w:p>
      <w:pPr>
        <w:spacing w:after="0" w:line="86" w:lineRule="exact"/>
        <w:rPr>
          <w:sz w:val="20"/>
          <w:szCs w:val="20"/>
          <w:color w:val="auto"/>
        </w:rPr>
      </w:pPr>
    </w:p>
    <w:p>
      <w:pPr>
        <w:ind w:right="140" w:firstLine="439"/>
        <w:spacing w:after="0" w:line="282" w:lineRule="auto"/>
        <w:rPr>
          <w:sz w:val="20"/>
          <w:szCs w:val="20"/>
          <w:color w:val="auto"/>
        </w:rPr>
      </w:pPr>
      <w:r>
        <w:rPr>
          <w:rFonts w:ascii="Arial" w:cs="Arial" w:eastAsia="Arial" w:hAnsi="Arial"/>
          <w:sz w:val="12"/>
          <w:szCs w:val="12"/>
          <w:color w:val="auto"/>
        </w:rPr>
        <w:t>Under the terms of the 2021 Zai Lab Agreement, the Lead Program includes joint research and development services by both the Company and Zai Lab. For the other programs, Zai Lab can separately negotiate and agree with the Company to perform research and development services in the future.</w:t>
      </w:r>
    </w:p>
    <w:p>
      <w:pPr>
        <w:spacing w:after="0" w:line="78" w:lineRule="exact"/>
        <w:rPr>
          <w:sz w:val="20"/>
          <w:szCs w:val="20"/>
          <w:color w:val="auto"/>
        </w:rPr>
      </w:pPr>
    </w:p>
    <w:p>
      <w:pPr>
        <w:ind w:right="60" w:firstLine="439"/>
        <w:spacing w:after="0" w:line="268" w:lineRule="auto"/>
        <w:rPr>
          <w:sz w:val="20"/>
          <w:szCs w:val="20"/>
          <w:color w:val="auto"/>
        </w:rPr>
      </w:pPr>
      <w:r>
        <w:rPr>
          <w:rFonts w:ascii="Arial" w:cs="Arial" w:eastAsia="Arial" w:hAnsi="Arial"/>
          <w:sz w:val="12"/>
          <w:szCs w:val="12"/>
          <w:color w:val="auto"/>
        </w:rPr>
        <w:t>In connection with the execution of the 2021 Zai Lab Agreement, Zai Lab paid the Company an upfront payment of $25.0 million. Additionally, as part of the consideration for the rights granted to Zai Lab under the 2021 Zai Lab Agreement, the Company and Zai Lab entered into the Stock Purchase Agreement whereby Zai Lab paid the Company approximately $30.0 million to purchase shares of the Company’s common stock, par value $0.01, at a fixed price of $31.30 which represented a $10.4 million premium over the share price on the Stock Purchase Agreement date.</w:t>
      </w:r>
    </w:p>
    <w:p>
      <w:pPr>
        <w:spacing w:after="0" w:line="86" w:lineRule="exact"/>
        <w:rPr>
          <w:sz w:val="20"/>
          <w:szCs w:val="20"/>
          <w:color w:val="auto"/>
        </w:rPr>
      </w:pPr>
    </w:p>
    <w:p>
      <w:pPr>
        <w:ind w:right="120" w:firstLine="439"/>
        <w:spacing w:after="0" w:line="263" w:lineRule="auto"/>
        <w:rPr>
          <w:sz w:val="20"/>
          <w:szCs w:val="20"/>
          <w:color w:val="auto"/>
        </w:rPr>
      </w:pPr>
      <w:r>
        <w:rPr>
          <w:rFonts w:ascii="Arial" w:cs="Arial" w:eastAsia="Arial" w:hAnsi="Arial"/>
          <w:sz w:val="12"/>
          <w:szCs w:val="12"/>
          <w:color w:val="auto"/>
        </w:rPr>
        <w:t>Assuming successful development and commercialization of the Programs, the Company could receive up to approximately $800.0 million in development and regulatory milestones and $600.0 million in commercial milestones. In addition, Zai Lab would pay the Company tiered royalties at percentage rates of low double digit teens on annual net sales of certain specified products and of mid-single digits to low double digit teens on annual net sales of other specified products in Zai Lab’s territory, which may be subject to specified royalty reduction pursuant to the 2021 Zai Lab Agreement. Per the terms of the 2021 Zai Lab Agreement, the Company may also receive reimbursements from Zai Lab for certain research and development costs incurred by the Company.</w:t>
      </w:r>
    </w:p>
    <w:p>
      <w:pPr>
        <w:spacing w:after="0" w:line="90" w:lineRule="exact"/>
        <w:rPr>
          <w:sz w:val="20"/>
          <w:szCs w:val="20"/>
          <w:color w:val="auto"/>
        </w:rPr>
      </w:pPr>
    </w:p>
    <w:p>
      <w:pPr>
        <w:ind w:right="120" w:firstLine="439"/>
        <w:spacing w:after="0" w:line="290" w:lineRule="auto"/>
        <w:rPr>
          <w:sz w:val="20"/>
          <w:szCs w:val="20"/>
          <w:color w:val="auto"/>
        </w:rPr>
      </w:pPr>
      <w:r>
        <w:rPr>
          <w:rFonts w:ascii="Arial" w:cs="Arial" w:eastAsia="Arial" w:hAnsi="Arial"/>
          <w:sz w:val="11"/>
          <w:szCs w:val="11"/>
          <w:color w:val="auto"/>
        </w:rPr>
        <w:t>The Company evaluated the 2021 Zai Lab Agreement under the provisions of ASC 606 and identified the following material promises: (i) exclusive licenses to develop, manufacture and commercialize the products in Zai Lab’s territory for each Program and (ii) certain research and development activities for the Lead Program. The Company determined that for the Lead Program, the license is not distinct from the related research and development activities, considering the early stage of development of the molecule and the Company’s significant expertise in this area and as such, the research and development services are expected to significantly modify and customize the license. Therefore, for the Lead Program, the license and the services were combined into a single performance obligation. Since the other programs each represent distinct intellectual property and there are no other services included in the 2021 Zai Lab Agreement related to these licenses, each license is considered to be a distinct performance obligation. As such, there are four performance obligations included in the 2021 Zai Lab Agreement.</w:t>
      </w:r>
    </w:p>
    <w:p>
      <w:pPr>
        <w:spacing w:after="0" w:line="76" w:lineRule="exact"/>
        <w:rPr>
          <w:sz w:val="20"/>
          <w:szCs w:val="20"/>
          <w:color w:val="auto"/>
        </w:rPr>
      </w:pPr>
    </w:p>
    <w:p>
      <w:pPr>
        <w:jc w:val="both"/>
        <w:ind w:right="80" w:firstLine="439"/>
        <w:spacing w:after="0" w:line="290" w:lineRule="auto"/>
        <w:rPr>
          <w:sz w:val="20"/>
          <w:szCs w:val="20"/>
          <w:color w:val="auto"/>
        </w:rPr>
      </w:pPr>
      <w:r>
        <w:rPr>
          <w:rFonts w:ascii="Arial" w:cs="Arial" w:eastAsia="Arial" w:hAnsi="Arial"/>
          <w:sz w:val="11"/>
          <w:szCs w:val="11"/>
          <w:color w:val="auto"/>
        </w:rPr>
        <w:t>The Company concluded that the estimated transaction price is $40.4 million, consisting of the $25.0 million upfront payment, the $10.4 million premium related to the purchase of the Company’s common stock, and the estimated $5.0 million expected to be reimbursed by Zai Lab for research and development activities for the Lead Program. The potential milestone payments were deemed to be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Zai Lab and, therefore, have also been excluded from the transaction price. The Company will re-assess the transaction price in each reporting period and when events whose outcomes are resolved or other changes in circumstances occur.</w:t>
      </w:r>
    </w:p>
    <w:p>
      <w:pPr>
        <w:spacing w:after="0" w:line="76" w:lineRule="exact"/>
        <w:rPr>
          <w:sz w:val="20"/>
          <w:szCs w:val="20"/>
          <w:color w:val="auto"/>
        </w:rPr>
      </w:pPr>
    </w:p>
    <w:p>
      <w:pPr>
        <w:ind w:right="200" w:firstLine="439"/>
        <w:spacing w:after="0" w:line="303" w:lineRule="auto"/>
        <w:rPr>
          <w:sz w:val="20"/>
          <w:szCs w:val="20"/>
          <w:color w:val="auto"/>
        </w:rPr>
      </w:pPr>
      <w:r>
        <w:rPr>
          <w:rFonts w:ascii="Arial" w:cs="Arial" w:eastAsia="Arial" w:hAnsi="Arial"/>
          <w:sz w:val="11"/>
          <w:szCs w:val="11"/>
          <w:color w:val="auto"/>
        </w:rPr>
        <w:t>The transaction price of $40.4 million was then allocated to the four performance obligations based on their relative standalone selling price. The standalone selling price of the performance obligations was not directly observable; therefore, the Company estimated the standalone selling price using an adjusted market assessment approach, representing the amount that the Company believes the market is willing to pay for the product or service. The estimate was based on consideration of observable inputs, such as, values of other preclinical collaboration arrangements adjusted for the Company’s estimate of the probability of success for each Program.</w:t>
      </w:r>
    </w:p>
    <w:p>
      <w:pPr>
        <w:spacing w:after="0" w:line="69" w:lineRule="exact"/>
        <w:rPr>
          <w:sz w:val="20"/>
          <w:szCs w:val="20"/>
          <w:color w:val="auto"/>
        </w:rPr>
      </w:pPr>
    </w:p>
    <w:p>
      <w:pPr>
        <w:ind w:firstLine="439"/>
        <w:spacing w:after="0" w:line="261" w:lineRule="auto"/>
        <w:rPr>
          <w:sz w:val="20"/>
          <w:szCs w:val="20"/>
          <w:color w:val="auto"/>
        </w:rPr>
      </w:pPr>
      <w:r>
        <w:rPr>
          <w:rFonts w:ascii="Arial" w:cs="Arial" w:eastAsia="Arial" w:hAnsi="Arial"/>
          <w:sz w:val="12"/>
          <w:szCs w:val="12"/>
          <w:color w:val="auto"/>
        </w:rPr>
        <w:t xml:space="preserve">Revenue related to the Lead Program license and related research and development services performance obligation is being recognized over time as the research and development activities are performed. The Company will utilize a cost-based input method according to costs incurred to date compared to estimated total costs. The transfer of control occurs over this time period and, in management’s judgment, is the best measure of progress towards satisfying the performance obligations. The Company recognized revenue allocated to the other programs at a point in time upon transfer of the licenses to Zai Lab in June 2021. During the three and nine months ended September 30, 2021, the Company recognized revenue of $3.7 million and $18.1 million, respectively, under the 2021 Zai Lab Agreement. As of </w:t>
      </w:r>
      <w:r>
        <w:rPr>
          <w:rFonts w:ascii="Arial" w:cs="Arial" w:eastAsia="Arial" w:hAnsi="Arial"/>
          <w:sz w:val="12"/>
          <w:szCs w:val="12"/>
          <w:color w:val="252525"/>
        </w:rPr>
        <w:t>September 30, 2021, there was $17.8 million in deferred revenue under the agreements, $13.6</w:t>
      </w:r>
      <w:r>
        <w:rPr>
          <w:rFonts w:ascii="Arial" w:cs="Arial" w:eastAsia="Arial" w:hAnsi="Arial"/>
          <w:sz w:val="12"/>
          <w:szCs w:val="12"/>
          <w:color w:val="auto"/>
        </w:rPr>
        <w:t xml:space="preserve"> </w:t>
      </w:r>
      <w:r>
        <w:rPr>
          <w:rFonts w:ascii="Arial" w:cs="Arial" w:eastAsia="Arial" w:hAnsi="Arial"/>
          <w:sz w:val="12"/>
          <w:szCs w:val="12"/>
          <w:color w:val="252525"/>
        </w:rPr>
        <w:t>million of which is current and $4.2 million of which is non-current.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679" w:right="299" w:bottom="1440" w:gutter="0" w:footer="0" w:header="0"/>
        </w:sectPr>
      </w:pPr>
    </w:p>
    <w:bookmarkStart w:id="18" w:name="page19"/>
    <w:bookmarkEnd w:id="18"/>
    <w:p>
      <w:pPr>
        <w:ind w:left="7"/>
        <w:spacing w:after="0"/>
        <w:rPr>
          <w:sz w:val="20"/>
          <w:szCs w:val="20"/>
          <w:color w:val="auto"/>
        </w:rPr>
      </w:pPr>
      <w:r>
        <w:rPr>
          <w:rFonts w:ascii="Arial" w:cs="Arial" w:eastAsia="Arial" w:hAnsi="Arial"/>
          <w:sz w:val="12"/>
          <w:szCs w:val="12"/>
          <w:b w:val="1"/>
          <w:bCs w:val="1"/>
          <w:i w:val="1"/>
          <w:iCs w:val="1"/>
          <w:color w:val="auto"/>
        </w:rPr>
        <w:t>Janssen Biotech, Inc.</w:t>
      </w:r>
    </w:p>
    <w:p>
      <w:pPr>
        <w:spacing w:after="0" w:line="118" w:lineRule="exact"/>
        <w:rPr>
          <w:sz w:val="20"/>
          <w:szCs w:val="20"/>
          <w:color w:val="auto"/>
        </w:rPr>
      </w:pPr>
    </w:p>
    <w:p>
      <w:pPr>
        <w:ind w:left="7" w:firstLine="439"/>
        <w:spacing w:after="0" w:line="263" w:lineRule="auto"/>
        <w:rPr>
          <w:sz w:val="20"/>
          <w:szCs w:val="20"/>
          <w:color w:val="auto"/>
        </w:rPr>
      </w:pPr>
      <w:r>
        <w:rPr>
          <w:rFonts w:ascii="Arial" w:cs="Arial" w:eastAsia="Arial" w:hAnsi="Arial"/>
          <w:sz w:val="12"/>
          <w:szCs w:val="12"/>
          <w:color w:val="auto"/>
        </w:rPr>
        <w:t>In December 2020, the Company entered into a research collaboration and license agreement with Janssen Biotech, Inc. (Janssen) to develop a novel DART molecule (Janssen Agreement). The research collaboration will incorporate the Company’s proprietary DART platform to enable simultaneous targeting of two undisclosed targets in a therapeutic area outside oncology. Under the terms of the Janssen Agreement, Janssen paid the Company an upfront payment of $20.0 million and will be responsible for funding all research and development expenses. The Company will also be eligible to receive up to $312.0 million in potential milestone payments and tiered royalties of up to 10% on worldwide product sales.</w:t>
      </w:r>
    </w:p>
    <w:p>
      <w:pPr>
        <w:spacing w:after="0" w:line="90" w:lineRule="exact"/>
        <w:rPr>
          <w:sz w:val="20"/>
          <w:szCs w:val="20"/>
          <w:color w:val="auto"/>
        </w:rPr>
      </w:pPr>
    </w:p>
    <w:p>
      <w:pPr>
        <w:ind w:left="7" w:right="60" w:firstLine="439"/>
        <w:spacing w:after="0" w:line="313" w:lineRule="auto"/>
        <w:rPr>
          <w:sz w:val="20"/>
          <w:szCs w:val="20"/>
          <w:color w:val="auto"/>
        </w:rPr>
      </w:pPr>
      <w:r>
        <w:rPr>
          <w:rFonts w:ascii="Arial" w:cs="Arial" w:eastAsia="Arial" w:hAnsi="Arial"/>
          <w:sz w:val="10"/>
          <w:szCs w:val="10"/>
          <w:color w:val="auto"/>
        </w:rPr>
        <w:t>Subject to the terms of this agreement, the Company granted Janssen an exclusive, royalty-bearing license to develop, manufacture and commercialize the preclinical bispecific molecule and the Company will perform certain research and development activities during a specified research term. The Company evaluated the Janssen Agreement under the provisions of ASC 606 and identified the following material promises under the arrangement:</w:t>
      </w:r>
    </w:p>
    <w:p>
      <w:pPr>
        <w:spacing w:after="0" w:line="1" w:lineRule="exact"/>
        <w:rPr>
          <w:sz w:val="20"/>
          <w:szCs w:val="20"/>
          <w:color w:val="auto"/>
        </w:rPr>
      </w:pPr>
    </w:p>
    <w:p>
      <w:pPr>
        <w:ind w:left="7" w:hanging="7"/>
        <w:spacing w:after="0" w:line="281" w:lineRule="auto"/>
        <w:tabs>
          <w:tab w:leader="none" w:pos="152" w:val="left"/>
        </w:tabs>
        <w:numPr>
          <w:ilvl w:val="0"/>
          <w:numId w:val="7"/>
        </w:numPr>
        <w:rPr>
          <w:rFonts w:ascii="Arial" w:cs="Arial" w:eastAsia="Arial" w:hAnsi="Arial"/>
          <w:sz w:val="11"/>
          <w:szCs w:val="11"/>
          <w:color w:val="auto"/>
        </w:rPr>
      </w:pPr>
      <w:r>
        <w:rPr>
          <w:rFonts w:ascii="Arial" w:cs="Arial" w:eastAsia="Arial" w:hAnsi="Arial"/>
          <w:sz w:val="11"/>
          <w:szCs w:val="11"/>
          <w:color w:val="auto"/>
        </w:rPr>
        <w:t xml:space="preserve">a license to develop the preclinical bispecific molecule and (ii) performing certain research and development activities during the research term. The Company determined that the license and research and development activities are separate performance obligations because they are capable of being distinct, and are distinct in the context of the contract. The license has standalone functionality as Janssen could benefit from the license on its own without the Company’s involvement during the research term. The Company determined that the transaction price of the Janssen Agreement at inception was $22.2 million, consisting of the consideration to which the Company was entitled in exchange for the license and an estimate of the consideration for research and development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as well as current market conditions. The standalone selling price for agreed-upon research and development activities to be performed was determined using the expected cost approach based on similar arrangements the Company has with other parties. This variable consideration is fully constrained until the Company begins its work under the performance obligation. The potential milestone payments are </w:t>
      </w:r>
      <w:r>
        <w:rPr>
          <w:rFonts w:ascii="Arial" w:cs="Arial" w:eastAsia="Arial" w:hAnsi="Arial"/>
          <w:sz w:val="11"/>
          <w:szCs w:val="11"/>
          <w:color w:val="252525"/>
        </w:rPr>
        <w:t>fully constrained until the Company concludes that achievement of the milestone is probable and that</w:t>
      </w:r>
      <w:r>
        <w:rPr>
          <w:rFonts w:ascii="Arial" w:cs="Arial" w:eastAsia="Arial" w:hAnsi="Arial"/>
          <w:sz w:val="11"/>
          <w:szCs w:val="11"/>
          <w:color w:val="auto"/>
        </w:rPr>
        <w:t xml:space="preserve"> </w:t>
      </w:r>
      <w:r>
        <w:rPr>
          <w:rFonts w:ascii="Arial" w:cs="Arial" w:eastAsia="Arial" w:hAnsi="Arial"/>
          <w:sz w:val="11"/>
          <w:szCs w:val="11"/>
          <w:color w:val="252525"/>
        </w:rPr>
        <w:t xml:space="preserve">recognition of revenue related to the milestone will not result in a significant reversal in amounts recognized in future periods, </w:t>
      </w:r>
      <w:r>
        <w:rPr>
          <w:rFonts w:ascii="Arial" w:cs="Arial" w:eastAsia="Arial" w:hAnsi="Arial"/>
          <w:sz w:val="11"/>
          <w:szCs w:val="11"/>
          <w:color w:val="000000"/>
        </w:rPr>
        <w:t>and as such have been excluded from the transaction price. Any consideration related to sales-based</w:t>
      </w:r>
      <w:r>
        <w:rPr>
          <w:rFonts w:ascii="Arial" w:cs="Arial" w:eastAsia="Arial" w:hAnsi="Arial"/>
          <w:sz w:val="11"/>
          <w:szCs w:val="11"/>
          <w:color w:val="252525"/>
        </w:rPr>
        <w:t xml:space="preserve"> </w:t>
      </w:r>
      <w:r>
        <w:rPr>
          <w:rFonts w:ascii="Arial" w:cs="Arial" w:eastAsia="Arial" w:hAnsi="Arial"/>
          <w:sz w:val="11"/>
          <w:szCs w:val="11"/>
          <w:color w:val="000000"/>
        </w:rPr>
        <w:t>milestones and royalties will be recognized when the related sales occur, as they were determined to relate predominantly to the license granted to Janssen and, therefore, have also been excluded from the transaction price. The Company re-assesses the transaction price in each reporting period and when events whose outcomes are resolved or other changes in circumstances occur.</w:t>
      </w:r>
    </w:p>
    <w:p>
      <w:pPr>
        <w:spacing w:after="0" w:line="82" w:lineRule="exact"/>
        <w:rPr>
          <w:sz w:val="20"/>
          <w:szCs w:val="20"/>
          <w:color w:val="auto"/>
        </w:rPr>
      </w:pPr>
    </w:p>
    <w:p>
      <w:pPr>
        <w:ind w:left="7" w:right="40" w:firstLine="512"/>
        <w:spacing w:after="0" w:line="268" w:lineRule="auto"/>
        <w:rPr>
          <w:sz w:val="20"/>
          <w:szCs w:val="20"/>
          <w:color w:val="auto"/>
        </w:rPr>
      </w:pPr>
      <w:r>
        <w:rPr>
          <w:rFonts w:ascii="Arial" w:cs="Arial" w:eastAsia="Arial" w:hAnsi="Arial"/>
          <w:sz w:val="12"/>
          <w:szCs w:val="12"/>
          <w:color w:val="252525"/>
        </w:rPr>
        <w:t xml:space="preserve">The Company recognized the $20.0 million allocated to the </w:t>
      </w:r>
      <w:r>
        <w:rPr>
          <w:rFonts w:ascii="Arial" w:cs="Arial" w:eastAsia="Arial" w:hAnsi="Arial"/>
          <w:sz w:val="12"/>
          <w:szCs w:val="12"/>
          <w:color w:val="000000"/>
        </w:rPr>
        <w:t>license when it satisfied its performance obligation and transferred the license to Janssen in December 2020. The $2.2 million allocated to the research and</w:t>
      </w:r>
      <w:r>
        <w:rPr>
          <w:rFonts w:ascii="Arial" w:cs="Arial" w:eastAsia="Arial" w:hAnsi="Arial"/>
          <w:sz w:val="12"/>
          <w:szCs w:val="12"/>
          <w:color w:val="252525"/>
        </w:rPr>
        <w:t xml:space="preserve"> </w:t>
      </w:r>
      <w:r>
        <w:rPr>
          <w:rFonts w:ascii="Arial" w:cs="Arial" w:eastAsia="Arial" w:hAnsi="Arial"/>
          <w:sz w:val="12"/>
          <w:szCs w:val="12"/>
          <w:color w:val="000000"/>
        </w:rPr>
        <w:t>development activities is being recognized over the Company’s involvement in the research term, which is estimated to be less than two years. During the three and nine months ended September 30, 2021, the Company recognized revenue of $0.2 million and $1.1 million, respectively, for research and development activities performed under the Janssen Agreement.</w:t>
      </w:r>
    </w:p>
    <w:p>
      <w:pPr>
        <w:spacing w:after="0" w:line="86"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I-Mab Biopharma</w:t>
      </w:r>
    </w:p>
    <w:p>
      <w:pPr>
        <w:spacing w:after="0" w:line="118" w:lineRule="exact"/>
        <w:rPr>
          <w:sz w:val="20"/>
          <w:szCs w:val="20"/>
          <w:color w:val="auto"/>
        </w:rPr>
      </w:pPr>
    </w:p>
    <w:p>
      <w:pPr>
        <w:ind w:left="7" w:right="140" w:firstLine="439"/>
        <w:spacing w:after="0" w:line="268" w:lineRule="auto"/>
        <w:rPr>
          <w:sz w:val="20"/>
          <w:szCs w:val="20"/>
          <w:color w:val="auto"/>
        </w:rPr>
      </w:pPr>
      <w:r>
        <w:rPr>
          <w:rFonts w:ascii="Arial" w:cs="Arial" w:eastAsia="Arial" w:hAnsi="Arial"/>
          <w:sz w:val="12"/>
          <w:szCs w:val="12"/>
          <w:color w:val="auto"/>
        </w:rPr>
        <w:t>In 2019, the Company entered into a collaboration and license agreement with I-Mab Biopharma (I-Mab) to develop and commercialize enoblituzumab, an immune-optimized, anti-B7-H3 monoclonal antibody that incorporates the Company's proprietary Fc Optimization technology platform (I-Mab Agreement). I-Mab obtained regional development and commercialization rights in mainland China, Hong Kong, Macau and Taiwan (I-Mab's territory), will lead clinical development of enoblituzumab in its territories, and will participate in global studies conducted by the Company.</w:t>
      </w:r>
    </w:p>
    <w:p>
      <w:pPr>
        <w:spacing w:after="0" w:line="86" w:lineRule="exact"/>
        <w:rPr>
          <w:sz w:val="20"/>
          <w:szCs w:val="20"/>
          <w:color w:val="auto"/>
        </w:rPr>
      </w:pPr>
    </w:p>
    <w:p>
      <w:pPr>
        <w:ind w:left="447"/>
        <w:spacing w:after="0"/>
        <w:rPr>
          <w:sz w:val="20"/>
          <w:szCs w:val="20"/>
          <w:color w:val="auto"/>
        </w:rPr>
      </w:pPr>
      <w:r>
        <w:rPr>
          <w:rFonts w:ascii="Arial" w:cs="Arial" w:eastAsia="Arial" w:hAnsi="Arial"/>
          <w:sz w:val="11"/>
          <w:szCs w:val="11"/>
          <w:color w:val="auto"/>
        </w:rPr>
        <w:t>Under the terms of the I-Mab Agreement, I-Mab paid the Company an upfront payment of $15.0 million. Assuming successful development and commercialization of enoblituzumab, the Company could receive up to</w:t>
      </w:r>
    </w:p>
    <w:p>
      <w:pPr>
        <w:spacing w:after="0" w:line="28" w:lineRule="exact"/>
        <w:rPr>
          <w:sz w:val="20"/>
          <w:szCs w:val="20"/>
          <w:color w:val="auto"/>
        </w:rPr>
      </w:pPr>
    </w:p>
    <w:p>
      <w:pPr>
        <w:ind w:left="7"/>
        <w:spacing w:after="0"/>
        <w:rPr>
          <w:sz w:val="20"/>
          <w:szCs w:val="20"/>
          <w:color w:val="auto"/>
        </w:rPr>
      </w:pPr>
      <w:r>
        <w:rPr>
          <w:rFonts w:ascii="Arial" w:cs="Arial" w:eastAsia="Arial" w:hAnsi="Arial"/>
          <w:sz w:val="11"/>
          <w:szCs w:val="11"/>
          <w:color w:val="auto"/>
        </w:rPr>
        <w:t xml:space="preserve">$135.0 million in development and regulatory milestones, of which $5.0 million has been earned from the inception of the I-Mab Agreement through </w:t>
      </w:r>
      <w:r>
        <w:rPr>
          <w:rFonts w:ascii="Arial" w:cs="Arial" w:eastAsia="Arial" w:hAnsi="Arial"/>
          <w:sz w:val="11"/>
          <w:szCs w:val="11"/>
          <w:color w:val="252525"/>
        </w:rPr>
        <w:t>September 30, 2021.</w:t>
      </w:r>
      <w:r>
        <w:rPr>
          <w:rFonts w:ascii="Arial" w:cs="Arial" w:eastAsia="Arial" w:hAnsi="Arial"/>
          <w:sz w:val="11"/>
          <w:szCs w:val="11"/>
          <w:color w:val="auto"/>
        </w:rPr>
        <w:t xml:space="preserve"> In addition, I-Mab would pay the Company tiered royalties</w:t>
      </w:r>
    </w:p>
    <w:p>
      <w:pPr>
        <w:spacing w:after="0" w:line="20" w:lineRule="exact"/>
        <w:rPr>
          <w:sz w:val="20"/>
          <w:szCs w:val="20"/>
          <w:color w:val="auto"/>
        </w:rPr>
      </w:pPr>
    </w:p>
    <w:p>
      <w:pPr>
        <w:ind w:left="7"/>
        <w:spacing w:after="0"/>
        <w:rPr>
          <w:sz w:val="20"/>
          <w:szCs w:val="20"/>
          <w:color w:val="auto"/>
        </w:rPr>
      </w:pPr>
      <w:r>
        <w:rPr>
          <w:rFonts w:ascii="Arial" w:cs="Arial" w:eastAsia="Arial" w:hAnsi="Arial"/>
          <w:sz w:val="12"/>
          <w:szCs w:val="12"/>
          <w:color w:val="auto"/>
        </w:rPr>
        <w:t>ranging from mid-teens to 20% on annual net sales in I-Mab's territory.</w:t>
      </w:r>
    </w:p>
    <w:p>
      <w:pPr>
        <w:spacing w:after="0" w:line="110" w:lineRule="exact"/>
        <w:rPr>
          <w:sz w:val="20"/>
          <w:szCs w:val="20"/>
          <w:color w:val="auto"/>
        </w:rPr>
      </w:pPr>
    </w:p>
    <w:p>
      <w:pPr>
        <w:ind w:left="7" w:right="60" w:firstLine="439"/>
        <w:spacing w:after="0" w:line="263" w:lineRule="auto"/>
        <w:rPr>
          <w:sz w:val="20"/>
          <w:szCs w:val="20"/>
          <w:color w:val="auto"/>
        </w:rPr>
      </w:pPr>
      <w:r>
        <w:rPr>
          <w:rFonts w:ascii="Arial" w:cs="Arial" w:eastAsia="Arial" w:hAnsi="Arial"/>
          <w:sz w:val="12"/>
          <w:szCs w:val="12"/>
          <w:color w:val="auto"/>
        </w:rPr>
        <w:t>The Company evaluated the I-Mab Agreement under the provisions of ASC 606 and identified the following material promises under the arrangement: (i) an exclusive license to develop and commercialize enoblituzumab in I-Mab’s territories, (ii) perform certain research and development activities and (iii) conduct a chronic toxicology study. The Company determined that the license and the related research and development activities were not distinct from one another, as the license has limited value without the performance of the research and development activities. As such, the Company determined that the license and related research and development activities should be combined into a single performance obligation. The Company</w:t>
      </w:r>
    </w:p>
    <w:p>
      <w:pPr>
        <w:spacing w:after="0" w:line="200" w:lineRule="exact"/>
        <w:rPr>
          <w:sz w:val="20"/>
          <w:szCs w:val="20"/>
          <w:color w:val="auto"/>
        </w:rPr>
      </w:pPr>
    </w:p>
    <w:p>
      <w:pPr>
        <w:spacing w:after="0" w:line="292" w:lineRule="exact"/>
        <w:rPr>
          <w:sz w:val="20"/>
          <w:szCs w:val="20"/>
          <w:color w:val="auto"/>
        </w:rPr>
      </w:pPr>
    </w:p>
    <w:p>
      <w:pPr>
        <w:jc w:val="center"/>
        <w:ind w:right="-66"/>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wp:posOffset>
            </wp:positionV>
            <wp:extent cx="720217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47"/>
          </w:cols>
          <w:pgMar w:left="293" w:top="953" w:right="359" w:bottom="1440" w:gutter="0" w:footer="0" w:header="0"/>
        </w:sectPr>
      </w:pPr>
    </w:p>
    <w:bookmarkStart w:id="19" w:name="page20"/>
    <w:bookmarkEnd w:id="19"/>
    <w:p>
      <w:pPr>
        <w:ind w:right="80"/>
        <w:spacing w:after="0" w:line="286" w:lineRule="auto"/>
        <w:rPr>
          <w:sz w:val="20"/>
          <w:szCs w:val="20"/>
          <w:color w:val="auto"/>
        </w:rPr>
      </w:pPr>
      <w:r>
        <w:rPr>
          <w:rFonts w:ascii="Arial" w:cs="Arial" w:eastAsia="Arial" w:hAnsi="Arial"/>
          <w:sz w:val="11"/>
          <w:szCs w:val="11"/>
          <w:color w:val="auto"/>
        </w:rPr>
        <w:t>determined that the $15.0 million upfront payment from I-Mab constituted the entirety of the consideration to be included in the transaction price as of the outset of the arrangement for the license and related research and development activities. The Company has also determined that the chronic toxicology study is distinct from the other promises and has estimated the variable consideration of that performance obligation to be approximately $1.0 million. I-Mab paid the Company for the cost of this study as the costs were incurred and I-Mab received a one-time credit of eighty percent of the total amount of such costs against the milestone achieved during the three months ended September 30, 2021, at which point the Company reassessed the transaction price for that milestone.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I-Mab and, therefore, have also been excluded from the transaction price. The Company re-assesses the transaction price in each reporting period and when events whose outcomes are resolved or other changes in circumstances occur.</w:t>
      </w:r>
    </w:p>
    <w:p>
      <w:pPr>
        <w:spacing w:after="0" w:line="78" w:lineRule="exact"/>
        <w:rPr>
          <w:sz w:val="20"/>
          <w:szCs w:val="20"/>
          <w:color w:val="auto"/>
        </w:rPr>
      </w:pPr>
    </w:p>
    <w:p>
      <w:pPr>
        <w:ind w:right="20" w:firstLine="122"/>
        <w:spacing w:after="0" w:line="261" w:lineRule="auto"/>
        <w:rPr>
          <w:sz w:val="20"/>
          <w:szCs w:val="20"/>
          <w:color w:val="auto"/>
        </w:rPr>
      </w:pPr>
      <w:r>
        <w:rPr>
          <w:rFonts w:ascii="Arial" w:cs="Arial" w:eastAsia="Arial" w:hAnsi="Arial"/>
          <w:sz w:val="12"/>
          <w:szCs w:val="12"/>
          <w:color w:val="auto"/>
        </w:rPr>
        <w:t>Revenue under the I-Mab Agreement is being recognized using a cost-based input method according to costs incurred to date compared to estimated total costs. The transfer of control occurs over this time period and, i n management’s judgment, is the best measure of progress towards satisfying the performance obligations. The Company recognized revenue of $1.0 million during each of the three month periods ended September 30, 2021 and 2020 under the I-Mab Agreement. During the nine months ended September 30, 2021 and 2020, the Company recognized revenue of $3.3 million and $3.5 million, respectively, under the I-Mab Agreement. At September 30, 2021, $8.1 million of revenue was deferred under this agreement, $2.7 million of which was current and $5.3 million of which was non-current. At December 31, 2020, $11.4 million of revenue was deferred under this agreement, $4.5 million of which was current and $6.9 million of which was non-current.</w:t>
      </w:r>
    </w:p>
    <w:p>
      <w:pPr>
        <w:spacing w:after="0" w:line="90" w:lineRule="exact"/>
        <w:rPr>
          <w:sz w:val="20"/>
          <w:szCs w:val="20"/>
          <w:color w:val="auto"/>
        </w:rPr>
      </w:pPr>
    </w:p>
    <w:p>
      <w:pPr>
        <w:ind w:firstLine="439"/>
        <w:spacing w:after="0" w:line="282" w:lineRule="auto"/>
        <w:rPr>
          <w:sz w:val="20"/>
          <w:szCs w:val="20"/>
          <w:color w:val="auto"/>
        </w:rPr>
      </w:pPr>
      <w:r>
        <w:rPr>
          <w:rFonts w:ascii="Arial" w:cs="Arial" w:eastAsia="Arial" w:hAnsi="Arial"/>
          <w:sz w:val="12"/>
          <w:szCs w:val="12"/>
          <w:color w:val="auto"/>
        </w:rPr>
        <w:t>During the three months ended September 30, 2021, it became probable that a significant reversal of cumulative revenue would not occur for a $5.0 million milestone ($4.5 million after netting a one-time credit as described above) related to development progress of enoblituzumab, therefore the associated consideration was added to the estimated transaction price and was recognized as revenue.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NIAID Contract</w:t>
      </w:r>
    </w:p>
    <w:p>
      <w:pPr>
        <w:spacing w:after="0" w:line="118" w:lineRule="exact"/>
        <w:rPr>
          <w:sz w:val="20"/>
          <w:szCs w:val="20"/>
          <w:color w:val="auto"/>
        </w:rPr>
      </w:pPr>
    </w:p>
    <w:p>
      <w:pPr>
        <w:ind w:right="40" w:firstLine="439"/>
        <w:spacing w:after="0" w:line="263" w:lineRule="auto"/>
        <w:rPr>
          <w:sz w:val="20"/>
          <w:szCs w:val="20"/>
          <w:color w:val="auto"/>
        </w:rPr>
      </w:pPr>
      <w:r>
        <w:rPr>
          <w:rFonts w:ascii="Arial" w:cs="Arial" w:eastAsia="Arial" w:hAnsi="Arial"/>
          <w:sz w:val="12"/>
          <w:szCs w:val="12"/>
          <w:color w:val="auto"/>
        </w:rPr>
        <w:t>The Company entered into a contract with National Institute of Allergy and Infectious Diseases (NIAID), effective as of September 15, 2015, to perform product development and to advance up to two DART molecules, including MGD014 (NIAID Contract). Under the NIAID Contract, the Company will develop these product candidates for Phase 1/2 clinical trials as therapeutic agents, in combination with latency reversing treatments, to deplete cells infected with human immunodeficiency virus (HIV) infection. NIAID does not receive goods or services from the Company under this contract, therefore the Company does not consider NIAID to be a customer and concluded this contract is outside the scope of ASC 606.</w:t>
      </w:r>
    </w:p>
    <w:p>
      <w:pPr>
        <w:spacing w:after="0" w:line="90" w:lineRule="exact"/>
        <w:rPr>
          <w:sz w:val="20"/>
          <w:szCs w:val="20"/>
          <w:color w:val="auto"/>
        </w:rPr>
      </w:pPr>
    </w:p>
    <w:p>
      <w:pPr>
        <w:ind w:right="80" w:firstLine="439"/>
        <w:spacing w:after="0" w:line="263" w:lineRule="auto"/>
        <w:rPr>
          <w:sz w:val="20"/>
          <w:szCs w:val="20"/>
          <w:color w:val="auto"/>
        </w:rPr>
      </w:pPr>
      <w:r>
        <w:rPr>
          <w:rFonts w:ascii="Arial" w:cs="Arial" w:eastAsia="Arial" w:hAnsi="Arial"/>
          <w:sz w:val="12"/>
          <w:szCs w:val="12"/>
          <w:color w:val="auto"/>
        </w:rPr>
        <w:t>Since the inception of the NIAID Contract, NIAID has exercised the two options contemplated in the original contract and executed modifications such that the total funded contract value as of September 30, 2021 is $25.1 million. In addition, the most recent modification changed the period of performance under the NIAID Contract to end in July 2023. During the three months ended September 30, 2021 and 2020, the Company recognized revenue under the NIAID Contract of $0.1 million and $0.8 million, respectively. During the nine months ended September 30, 2021 and 2020, the Company recognized revenue under the NIAID Contract of $1.3 million and $6.2 million, respectively.</w:t>
      </w: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Stock-Based Compensation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Employee Stock Purchase Plan</w:t>
      </w:r>
    </w:p>
    <w:p>
      <w:pPr>
        <w:spacing w:after="0" w:line="118" w:lineRule="exact"/>
        <w:rPr>
          <w:sz w:val="20"/>
          <w:szCs w:val="20"/>
          <w:color w:val="auto"/>
        </w:rPr>
      </w:pPr>
    </w:p>
    <w:p>
      <w:pPr>
        <w:ind w:right="100" w:firstLine="439"/>
        <w:spacing w:after="0" w:line="290" w:lineRule="auto"/>
        <w:rPr>
          <w:sz w:val="20"/>
          <w:szCs w:val="20"/>
          <w:color w:val="auto"/>
        </w:rPr>
      </w:pPr>
      <w:r>
        <w:rPr>
          <w:rFonts w:ascii="Arial" w:cs="Arial" w:eastAsia="Arial" w:hAnsi="Arial"/>
          <w:sz w:val="11"/>
          <w:szCs w:val="11"/>
          <w:color w:val="auto"/>
        </w:rPr>
        <w:t>In May 2017, the Company’s stockholders approved the 2016 Employee Stock Purchase Plan (the 2016 ESPP). The 2016 ESPP is structured as a qualified employee stock purchase plan under Section 423 of the Internal Revenue Code of 1986, as amended (IRC), and is not subject to the provisions of the Employee Retirement Income Security Act of 1974. The Company reserved 800,000 shares of common stock for issuance under the 2016 ESPP. The 2016 ESPP allows eligible employees to purchase shares of the Company’s common stock at a discount through payroll deductions of up to 10% of their eligible compensation, subject to any plan limitations. The 2016 ESPP provides for six-month offering periods ending on May 31 and November 30 of each year. At the end of each offering period, employees are able to purchase shares at 85% of the fair market value of the Company’s common stock on the last day of the offering period. During the nine months ended September 30, 2021, 12,305 shares of common stock were purchased under the 2016 ESPP.</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679" w:right="299" w:bottom="1440" w:gutter="0" w:footer="0" w:header="0"/>
        </w:sectPr>
      </w:pPr>
    </w:p>
    <w:bookmarkStart w:id="20" w:name="page21"/>
    <w:bookmarkEnd w:id="20"/>
    <w:p>
      <w:pPr>
        <w:spacing w:after="0"/>
        <w:rPr>
          <w:sz w:val="20"/>
          <w:szCs w:val="20"/>
          <w:color w:val="auto"/>
        </w:rPr>
      </w:pPr>
      <w:r>
        <w:rPr>
          <w:rFonts w:ascii="Arial" w:cs="Arial" w:eastAsia="Arial" w:hAnsi="Arial"/>
          <w:sz w:val="12"/>
          <w:szCs w:val="12"/>
          <w:i w:val="1"/>
          <w:iCs w:val="1"/>
          <w:color w:val="auto"/>
        </w:rPr>
        <w:t>Employee Stock Option Plans</w:t>
      </w:r>
    </w:p>
    <w:p>
      <w:pPr>
        <w:spacing w:after="0" w:line="118" w:lineRule="exact"/>
        <w:rPr>
          <w:sz w:val="20"/>
          <w:szCs w:val="20"/>
          <w:color w:val="auto"/>
        </w:rPr>
      </w:pPr>
    </w:p>
    <w:p>
      <w:pPr>
        <w:ind w:right="40" w:firstLine="439"/>
        <w:spacing w:after="0" w:line="261" w:lineRule="auto"/>
        <w:rPr>
          <w:sz w:val="20"/>
          <w:szCs w:val="20"/>
          <w:color w:val="auto"/>
        </w:rPr>
      </w:pPr>
      <w:r>
        <w:rPr>
          <w:rFonts w:ascii="Arial" w:cs="Arial" w:eastAsia="Arial" w:hAnsi="Arial"/>
          <w:sz w:val="12"/>
          <w:szCs w:val="12"/>
          <w:color w:val="auto"/>
        </w:rPr>
        <w:t>Effective February 2003, the Company implemented the 2003 Equity Incentive Plan (2003 Plan), and it was amended and approved by the Company's stockholders in 2005. Stock options granted under the 2003 Plan may be either incentive stock options as defined by the IRC, or non-qualified stock options. In 2013, the 2003 Plan was terminated, and no further awards may be issued under the plan. Any shares of common stock subject to awards under the 2003 Plan that expire, terminate, or are otherwise surrendered, canceled, forfeited or repurchased without having been fully exercised, or resulting in any common stock being issued, will become available for issuance under the 2013 Stock Incentive Plan (2013 Plan), up to a specified number of shares. As of September 30, 2021, under the 2003 Plan, there were options to purchase an aggregate of 188,944 shares of common stock outstanding at a weighted average exercise price of $2.94 per share.</w:t>
      </w:r>
    </w:p>
    <w:p>
      <w:pPr>
        <w:spacing w:after="0" w:line="90" w:lineRule="exact"/>
        <w:rPr>
          <w:sz w:val="20"/>
          <w:szCs w:val="20"/>
          <w:color w:val="auto"/>
        </w:rPr>
      </w:pPr>
    </w:p>
    <w:p>
      <w:pPr>
        <w:ind w:firstLine="439"/>
        <w:spacing w:after="0" w:line="286" w:lineRule="auto"/>
        <w:rPr>
          <w:sz w:val="20"/>
          <w:szCs w:val="20"/>
          <w:color w:val="auto"/>
        </w:rPr>
      </w:pPr>
      <w:r>
        <w:rPr>
          <w:rFonts w:ascii="Arial" w:cs="Arial" w:eastAsia="Arial" w:hAnsi="Arial"/>
          <w:sz w:val="11"/>
          <w:szCs w:val="11"/>
          <w:color w:val="auto"/>
        </w:rPr>
        <w:t>In October 2013, the Company implemented the 2013 Plan. The 2013 Plan provides for the grant of stock options and other stock-based awards, as well as cash-based performance awards. The number of shares of common stock reserved for issuance under the 2013 Plan will automatically increase on January 1 of each year from January 1, 2014 through and including January 1, 2023, by the lesser of (a) 1,960,168 shares, (b) 4.0% of the total number of shares of common stock outstanding on December 31 of the preceding calendar year, or (c) the number of shares of common stock determined by the Company's Board of Directors. During the nine months ended September 30, 2021, the maximum number of shares of common stock authorized to be issued by the Company under the 2013 Plan was increased to 13,856,781. If an option expires or terminates for any reason without having been fully exercised, if any shares of restricted stock are forfeited, or if any award terminates, expires or is settled without all or a portion of the shares of common stock covered by the award being issued, such shares are available for the grant of additional awards. However, any shares that are withheld (or delivered) to pay withholding taxes or to pay the exercise price of an option are not available for the grant of additional awards. As of September 30, 2021, there were options to purchase an aggregate of 8,341,645 shares of common stock outstanding at a weighted average exercise price of $21.94 per share under the 2013 Plan.</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following stock-based compensation expense was recognized for the periods indicated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40" w:type="dxa"/>
            <w:vAlign w:val="bottom"/>
          </w:tcPr>
          <w:p>
            <w:pPr>
              <w:spacing w:after="0"/>
              <w:rPr>
                <w:sz w:val="13"/>
                <w:szCs w:val="13"/>
                <w:color w:val="auto"/>
              </w:rPr>
            </w:pPr>
          </w:p>
        </w:tc>
        <w:tc>
          <w:tcPr>
            <w:tcW w:w="34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2"/>
                <w:szCs w:val="12"/>
                <w:b w:val="1"/>
                <w:bCs w:val="1"/>
                <w:color w:val="auto"/>
              </w:rPr>
              <w:t>Three Months Ended September 30,</w:t>
            </w:r>
          </w:p>
        </w:tc>
        <w:tc>
          <w:tcPr>
            <w:tcW w:w="46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Nine Months Ended September 30,</w:t>
            </w:r>
          </w:p>
        </w:tc>
        <w:tc>
          <w:tcPr>
            <w:tcW w:w="860" w:type="dxa"/>
            <w:vAlign w:val="bottom"/>
            <w:tcBorders>
              <w:bottom w:val="single" w:sz="8" w:color="auto"/>
            </w:tcBorders>
          </w:tcPr>
          <w:p>
            <w:pPr>
              <w:spacing w:after="0"/>
              <w:rPr>
                <w:sz w:val="13"/>
                <w:szCs w:val="13"/>
                <w:color w:val="auto"/>
              </w:rPr>
            </w:pPr>
          </w:p>
        </w:tc>
      </w:tr>
      <w:tr>
        <w:trPr>
          <w:trHeight w:val="145"/>
        </w:trPr>
        <w:tc>
          <w:tcPr>
            <w:tcW w:w="294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2021</w:t>
            </w: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2020</w:t>
            </w: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9"/>
              <w:spacing w:after="0"/>
              <w:rPr>
                <w:sz w:val="20"/>
                <w:szCs w:val="20"/>
                <w:color w:val="auto"/>
              </w:rPr>
            </w:pPr>
            <w:r>
              <w:rPr>
                <w:rFonts w:ascii="Arial" w:cs="Arial" w:eastAsia="Arial" w:hAnsi="Arial"/>
                <w:sz w:val="12"/>
                <w:szCs w:val="12"/>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b w:val="1"/>
                <w:bCs w:val="1"/>
                <w:color w:val="auto"/>
                <w:w w:val="89"/>
              </w:rPr>
              <w:t>2020</w:t>
            </w:r>
          </w:p>
        </w:tc>
      </w:tr>
      <w:tr>
        <w:trPr>
          <w:trHeight w:val="144"/>
        </w:trPr>
        <w:tc>
          <w:tcPr>
            <w:tcW w:w="2940" w:type="dxa"/>
            <w:vAlign w:val="bottom"/>
            <w:shd w:val="clear" w:color="auto" w:fill="CCEEFF"/>
          </w:tcPr>
          <w:p>
            <w:pPr>
              <w:ind w:left="440"/>
              <w:spacing w:after="0" w:line="135" w:lineRule="exact"/>
              <w:rPr>
                <w:sz w:val="20"/>
                <w:szCs w:val="20"/>
                <w:color w:val="auto"/>
              </w:rPr>
            </w:pPr>
            <w:r>
              <w:rPr>
                <w:rFonts w:ascii="Arial" w:cs="Arial" w:eastAsia="Arial" w:hAnsi="Arial"/>
                <w:sz w:val="12"/>
                <w:szCs w:val="12"/>
                <w:color w:val="auto"/>
              </w:rPr>
              <w:t>Research and development</w:t>
            </w:r>
          </w:p>
        </w:tc>
        <w:tc>
          <w:tcPr>
            <w:tcW w:w="1480" w:type="dxa"/>
            <w:vAlign w:val="bottom"/>
            <w:shd w:val="clear" w:color="auto" w:fill="CCEEFF"/>
          </w:tcPr>
          <w:p>
            <w:pPr>
              <w:jc w:val="right"/>
              <w:ind w:right="899"/>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3,109</w:t>
            </w: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819"/>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3,059</w:t>
            </w: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8,894</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439"/>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8,082</w:t>
            </w:r>
          </w:p>
        </w:tc>
      </w:tr>
      <w:tr>
        <w:trPr>
          <w:trHeight w:val="155"/>
        </w:trPr>
        <w:tc>
          <w:tcPr>
            <w:tcW w:w="294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Selling, general and administrative</w:t>
            </w:r>
          </w:p>
        </w:tc>
        <w:tc>
          <w:tcPr>
            <w:tcW w:w="14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3,249</w:t>
            </w:r>
          </w:p>
        </w:tc>
        <w:tc>
          <w:tcPr>
            <w:tcW w:w="12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2,773</w:t>
            </w:r>
          </w:p>
        </w:tc>
        <w:tc>
          <w:tcPr>
            <w:tcW w:w="44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8,820</w:t>
            </w:r>
          </w:p>
        </w:tc>
        <w:tc>
          <w:tcPr>
            <w:tcW w:w="2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7,337</w:t>
            </w:r>
          </w:p>
        </w:tc>
      </w:tr>
      <w:tr>
        <w:trPr>
          <w:trHeight w:val="161"/>
        </w:trPr>
        <w:tc>
          <w:tcPr>
            <w:tcW w:w="2940" w:type="dxa"/>
            <w:vAlign w:val="bottom"/>
            <w:tcBorders>
              <w:bottom w:val="single" w:sz="8" w:color="CCEEFF"/>
            </w:tcBorders>
            <w:shd w:val="clear" w:color="auto" w:fill="CCEEFF"/>
          </w:tcPr>
          <w:p>
            <w:pPr>
              <w:ind w:left="440"/>
              <w:spacing w:after="0" w:line="135" w:lineRule="exact"/>
              <w:rPr>
                <w:sz w:val="20"/>
                <w:szCs w:val="20"/>
                <w:color w:val="auto"/>
              </w:rPr>
            </w:pPr>
            <w:r>
              <w:rPr>
                <w:rFonts w:ascii="Arial" w:cs="Arial" w:eastAsia="Arial" w:hAnsi="Arial"/>
                <w:sz w:val="12"/>
                <w:szCs w:val="12"/>
                <w:color w:val="auto"/>
              </w:rPr>
              <w:t>Total stock-based compensation expense</w:t>
            </w:r>
          </w:p>
        </w:tc>
        <w:tc>
          <w:tcPr>
            <w:tcW w:w="14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6,358</w:t>
            </w: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5,832</w:t>
            </w:r>
          </w:p>
        </w:tc>
        <w:tc>
          <w:tcPr>
            <w:tcW w:w="4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17,714</w:t>
            </w:r>
          </w:p>
        </w:tc>
        <w:tc>
          <w:tcPr>
            <w:tcW w:w="2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15,419</w:t>
            </w:r>
          </w:p>
        </w:tc>
      </w:tr>
    </w:tbl>
    <w:p>
      <w:pPr>
        <w:spacing w:after="0" w:line="23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fair value of each option award is estimated on the date of grant using the Black-Scholes option-pricing model using the assumptions in the following table for options issued during the period indicated: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0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900" w:type="dxa"/>
            <w:vAlign w:val="bottom"/>
            <w:tcBorders>
              <w:bottom w:val="single" w:sz="8" w:color="auto"/>
            </w:tcBorders>
            <w:gridSpan w:val="3"/>
          </w:tcPr>
          <w:p>
            <w:pPr>
              <w:ind w:left="1260"/>
              <w:spacing w:after="0"/>
              <w:rPr>
                <w:sz w:val="20"/>
                <w:szCs w:val="20"/>
                <w:color w:val="auto"/>
              </w:rPr>
            </w:pPr>
            <w:r>
              <w:rPr>
                <w:rFonts w:ascii="Arial" w:cs="Arial" w:eastAsia="Arial" w:hAnsi="Arial"/>
                <w:sz w:val="12"/>
                <w:szCs w:val="12"/>
                <w:b w:val="1"/>
                <w:bCs w:val="1"/>
                <w:color w:val="auto"/>
              </w:rPr>
              <w:t>Nine Months Ended September 30,</w:t>
            </w:r>
          </w:p>
        </w:tc>
      </w:tr>
      <w:tr>
        <w:trPr>
          <w:trHeight w:val="145"/>
        </w:trPr>
        <w:tc>
          <w:tcPr>
            <w:tcW w:w="3600" w:type="dxa"/>
            <w:vAlign w:val="bottom"/>
            <w:tcBorders>
              <w:bottom w:val="single" w:sz="8" w:color="CCEEFF"/>
            </w:tcBorders>
          </w:tcPr>
          <w:p>
            <w:pPr>
              <w:spacing w:after="0"/>
              <w:rPr>
                <w:sz w:val="12"/>
                <w:szCs w:val="12"/>
                <w:color w:val="auto"/>
              </w:rPr>
            </w:pPr>
          </w:p>
        </w:tc>
        <w:tc>
          <w:tcPr>
            <w:tcW w:w="3800" w:type="dxa"/>
            <w:vAlign w:val="bottom"/>
            <w:tcBorders>
              <w:bottom w:val="single" w:sz="8" w:color="CCEEFF"/>
            </w:tcBorders>
          </w:tcPr>
          <w:p>
            <w:pPr>
              <w:spacing w:after="0"/>
              <w:rPr>
                <w:sz w:val="12"/>
                <w:szCs w:val="12"/>
                <w:color w:val="auto"/>
              </w:rPr>
            </w:pPr>
          </w:p>
        </w:tc>
        <w:tc>
          <w:tcPr>
            <w:tcW w:w="2000" w:type="dxa"/>
            <w:vAlign w:val="bottom"/>
            <w:tcBorders>
              <w:bottom w:val="single" w:sz="8" w:color="auto"/>
            </w:tcBorders>
          </w:tcPr>
          <w:p>
            <w:pPr>
              <w:jc w:val="center"/>
              <w:ind w:left="379"/>
              <w:spacing w:after="0"/>
              <w:rPr>
                <w:sz w:val="20"/>
                <w:szCs w:val="20"/>
                <w:color w:val="auto"/>
              </w:rPr>
            </w:pPr>
            <w:r>
              <w:rPr>
                <w:rFonts w:ascii="Arial" w:cs="Arial" w:eastAsia="Arial" w:hAnsi="Arial"/>
                <w:sz w:val="12"/>
                <w:szCs w:val="12"/>
                <w:b w:val="1"/>
                <w:bCs w:val="1"/>
                <w:color w:val="auto"/>
                <w:w w:val="89"/>
              </w:rPr>
              <w:t>2021</w:t>
            </w:r>
          </w:p>
        </w:tc>
        <w:tc>
          <w:tcPr>
            <w:tcW w:w="100" w:type="dxa"/>
            <w:vAlign w:val="bottom"/>
            <w:tcBorders>
              <w:bottom w:val="single" w:sz="8" w:color="CCEEFF"/>
            </w:tcBorders>
          </w:tcPr>
          <w:p>
            <w:pPr>
              <w:spacing w:after="0"/>
              <w:rPr>
                <w:sz w:val="12"/>
                <w:szCs w:val="12"/>
                <w:color w:val="auto"/>
              </w:rPr>
            </w:pPr>
          </w:p>
        </w:tc>
        <w:tc>
          <w:tcPr>
            <w:tcW w:w="1800" w:type="dxa"/>
            <w:vAlign w:val="bottom"/>
            <w:tcBorders>
              <w:bottom w:val="single" w:sz="8" w:color="auto"/>
            </w:tcBorders>
          </w:tcPr>
          <w:p>
            <w:pPr>
              <w:jc w:val="center"/>
              <w:ind w:left="379"/>
              <w:spacing w:after="0"/>
              <w:rPr>
                <w:sz w:val="20"/>
                <w:szCs w:val="20"/>
                <w:color w:val="auto"/>
              </w:rPr>
            </w:pPr>
            <w:r>
              <w:rPr>
                <w:rFonts w:ascii="Arial" w:cs="Arial" w:eastAsia="Arial" w:hAnsi="Arial"/>
                <w:sz w:val="12"/>
                <w:szCs w:val="12"/>
                <w:b w:val="1"/>
                <w:bCs w:val="1"/>
                <w:color w:val="auto"/>
                <w:w w:val="89"/>
              </w:rPr>
              <w:t>2020</w:t>
            </w:r>
          </w:p>
        </w:tc>
      </w:tr>
      <w:tr>
        <w:trPr>
          <w:trHeight w:val="144"/>
        </w:trPr>
        <w:tc>
          <w:tcPr>
            <w:tcW w:w="3600" w:type="dxa"/>
            <w:vAlign w:val="bottom"/>
            <w:shd w:val="clear" w:color="auto" w:fill="CCEEFF"/>
          </w:tcPr>
          <w:p>
            <w:pPr>
              <w:ind w:left="440"/>
              <w:spacing w:after="0" w:line="135" w:lineRule="exact"/>
              <w:rPr>
                <w:sz w:val="20"/>
                <w:szCs w:val="20"/>
                <w:color w:val="auto"/>
              </w:rPr>
            </w:pPr>
            <w:r>
              <w:rPr>
                <w:rFonts w:ascii="Arial" w:cs="Arial" w:eastAsia="Arial" w:hAnsi="Arial"/>
                <w:sz w:val="12"/>
                <w:szCs w:val="12"/>
                <w:color w:val="auto"/>
              </w:rPr>
              <w:t>Expected dividend yield</w:t>
            </w:r>
          </w:p>
        </w:tc>
        <w:tc>
          <w:tcPr>
            <w:tcW w:w="5800" w:type="dxa"/>
            <w:vAlign w:val="bottom"/>
            <w:gridSpan w:val="2"/>
            <w:shd w:val="clear" w:color="auto" w:fill="CCEEFF"/>
          </w:tcPr>
          <w:p>
            <w:pPr>
              <w:jc w:val="center"/>
              <w:ind w:left="4179"/>
              <w:spacing w:after="0"/>
              <w:rPr>
                <w:sz w:val="20"/>
                <w:szCs w:val="20"/>
                <w:color w:val="auto"/>
              </w:rPr>
            </w:pPr>
            <w:r>
              <w:rPr>
                <w:rFonts w:ascii="Arial" w:cs="Arial" w:eastAsia="Arial" w:hAnsi="Arial"/>
                <w:sz w:val="12"/>
                <w:szCs w:val="12"/>
                <w:color w:val="auto"/>
                <w:w w:val="91"/>
              </w:rPr>
              <w:t>0%</w:t>
            </w:r>
          </w:p>
        </w:tc>
        <w:tc>
          <w:tcPr>
            <w:tcW w:w="100" w:type="dxa"/>
            <w:vAlign w:val="bottom"/>
            <w:shd w:val="clear" w:color="auto" w:fill="CCEEFF"/>
          </w:tcPr>
          <w:p>
            <w:pPr>
              <w:spacing w:after="0"/>
              <w:rPr>
                <w:sz w:val="12"/>
                <w:szCs w:val="12"/>
                <w:color w:val="auto"/>
              </w:rPr>
            </w:pPr>
          </w:p>
        </w:tc>
        <w:tc>
          <w:tcPr>
            <w:tcW w:w="1800" w:type="dxa"/>
            <w:vAlign w:val="bottom"/>
            <w:shd w:val="clear" w:color="auto" w:fill="CCEEFF"/>
          </w:tcPr>
          <w:p>
            <w:pPr>
              <w:jc w:val="center"/>
              <w:ind w:left="379"/>
              <w:spacing w:after="0"/>
              <w:rPr>
                <w:sz w:val="20"/>
                <w:szCs w:val="20"/>
                <w:color w:val="auto"/>
              </w:rPr>
            </w:pPr>
            <w:r>
              <w:rPr>
                <w:rFonts w:ascii="Arial" w:cs="Arial" w:eastAsia="Arial" w:hAnsi="Arial"/>
                <w:sz w:val="12"/>
                <w:szCs w:val="12"/>
                <w:color w:val="auto"/>
                <w:w w:val="91"/>
              </w:rPr>
              <w:t>0%</w:t>
            </w:r>
          </w:p>
        </w:tc>
      </w:tr>
      <w:tr>
        <w:trPr>
          <w:trHeight w:val="155"/>
        </w:trPr>
        <w:tc>
          <w:tcPr>
            <w:tcW w:w="3600" w:type="dxa"/>
            <w:vAlign w:val="bottom"/>
          </w:tcPr>
          <w:p>
            <w:pPr>
              <w:ind w:left="440"/>
              <w:spacing w:after="0"/>
              <w:rPr>
                <w:sz w:val="20"/>
                <w:szCs w:val="20"/>
                <w:color w:val="auto"/>
              </w:rPr>
            </w:pPr>
            <w:r>
              <w:rPr>
                <w:rFonts w:ascii="Arial" w:cs="Arial" w:eastAsia="Arial" w:hAnsi="Arial"/>
                <w:sz w:val="12"/>
                <w:szCs w:val="12"/>
                <w:color w:val="auto"/>
              </w:rPr>
              <w:t>Expected volatility</w:t>
            </w:r>
          </w:p>
        </w:tc>
        <w:tc>
          <w:tcPr>
            <w:tcW w:w="5800" w:type="dxa"/>
            <w:vAlign w:val="bottom"/>
            <w:gridSpan w:val="2"/>
          </w:tcPr>
          <w:p>
            <w:pPr>
              <w:jc w:val="center"/>
              <w:ind w:left="4199"/>
              <w:spacing w:after="0"/>
              <w:rPr>
                <w:sz w:val="20"/>
                <w:szCs w:val="20"/>
                <w:color w:val="auto"/>
              </w:rPr>
            </w:pPr>
            <w:r>
              <w:rPr>
                <w:rFonts w:ascii="Arial" w:cs="Arial" w:eastAsia="Arial" w:hAnsi="Arial"/>
                <w:sz w:val="12"/>
                <w:szCs w:val="12"/>
                <w:color w:val="auto"/>
                <w:w w:val="92"/>
              </w:rPr>
              <w:t>86.2% -87.4%</w:t>
            </w:r>
          </w:p>
        </w:tc>
        <w:tc>
          <w:tcPr>
            <w:tcW w:w="100" w:type="dxa"/>
            <w:vAlign w:val="bottom"/>
          </w:tcPr>
          <w:p>
            <w:pPr>
              <w:spacing w:after="0"/>
              <w:rPr>
                <w:sz w:val="13"/>
                <w:szCs w:val="13"/>
                <w:color w:val="auto"/>
              </w:rPr>
            </w:pPr>
          </w:p>
        </w:tc>
        <w:tc>
          <w:tcPr>
            <w:tcW w:w="1800" w:type="dxa"/>
            <w:vAlign w:val="bottom"/>
          </w:tcPr>
          <w:p>
            <w:pPr>
              <w:jc w:val="center"/>
              <w:ind w:left="359"/>
              <w:spacing w:after="0"/>
              <w:rPr>
                <w:sz w:val="20"/>
                <w:szCs w:val="20"/>
                <w:color w:val="auto"/>
              </w:rPr>
            </w:pPr>
            <w:r>
              <w:rPr>
                <w:rFonts w:ascii="Arial" w:cs="Arial" w:eastAsia="Arial" w:hAnsi="Arial"/>
                <w:sz w:val="12"/>
                <w:szCs w:val="12"/>
                <w:color w:val="auto"/>
                <w:w w:val="92"/>
              </w:rPr>
              <w:t>67.3% - 109%</w:t>
            </w:r>
          </w:p>
        </w:tc>
      </w:tr>
      <w:tr>
        <w:trPr>
          <w:trHeight w:val="156"/>
        </w:trPr>
        <w:tc>
          <w:tcPr>
            <w:tcW w:w="36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Risk-free interest rate</w:t>
            </w:r>
          </w:p>
        </w:tc>
        <w:tc>
          <w:tcPr>
            <w:tcW w:w="5800" w:type="dxa"/>
            <w:vAlign w:val="bottom"/>
            <w:gridSpan w:val="2"/>
            <w:shd w:val="clear" w:color="auto" w:fill="CCEEFF"/>
          </w:tcPr>
          <w:p>
            <w:pPr>
              <w:jc w:val="center"/>
              <w:ind w:left="4179"/>
              <w:spacing w:after="0"/>
              <w:rPr>
                <w:sz w:val="20"/>
                <w:szCs w:val="20"/>
                <w:color w:val="auto"/>
              </w:rPr>
            </w:pPr>
            <w:r>
              <w:rPr>
                <w:rFonts w:ascii="Arial" w:cs="Arial" w:eastAsia="Arial" w:hAnsi="Arial"/>
                <w:sz w:val="12"/>
                <w:szCs w:val="12"/>
                <w:color w:val="auto"/>
                <w:w w:val="91"/>
              </w:rPr>
              <w:t>0.6% - 1.4%</w:t>
            </w:r>
          </w:p>
        </w:tc>
        <w:tc>
          <w:tcPr>
            <w:tcW w:w="100" w:type="dxa"/>
            <w:vAlign w:val="bottom"/>
            <w:shd w:val="clear" w:color="auto" w:fill="CCEEFF"/>
          </w:tcPr>
          <w:p>
            <w:pPr>
              <w:spacing w:after="0"/>
              <w:rPr>
                <w:sz w:val="13"/>
                <w:szCs w:val="13"/>
                <w:color w:val="auto"/>
              </w:rPr>
            </w:pPr>
          </w:p>
        </w:tc>
        <w:tc>
          <w:tcPr>
            <w:tcW w:w="1800" w:type="dxa"/>
            <w:vAlign w:val="bottom"/>
            <w:shd w:val="clear" w:color="auto" w:fill="CCEEFF"/>
          </w:tcPr>
          <w:p>
            <w:pPr>
              <w:jc w:val="center"/>
              <w:ind w:left="359"/>
              <w:spacing w:after="0"/>
              <w:rPr>
                <w:sz w:val="20"/>
                <w:szCs w:val="20"/>
                <w:color w:val="auto"/>
              </w:rPr>
            </w:pPr>
            <w:r>
              <w:rPr>
                <w:rFonts w:ascii="Arial" w:cs="Arial" w:eastAsia="Arial" w:hAnsi="Arial"/>
                <w:sz w:val="12"/>
                <w:szCs w:val="12"/>
                <w:color w:val="auto"/>
                <w:w w:val="94"/>
              </w:rPr>
              <w:t>0.4% - 1.8%</w:t>
            </w:r>
          </w:p>
        </w:tc>
      </w:tr>
      <w:tr>
        <w:trPr>
          <w:trHeight w:val="155"/>
        </w:trPr>
        <w:tc>
          <w:tcPr>
            <w:tcW w:w="3600" w:type="dxa"/>
            <w:vAlign w:val="bottom"/>
          </w:tcPr>
          <w:p>
            <w:pPr>
              <w:ind w:left="440"/>
              <w:spacing w:after="0"/>
              <w:rPr>
                <w:sz w:val="20"/>
                <w:szCs w:val="20"/>
                <w:color w:val="auto"/>
              </w:rPr>
            </w:pPr>
            <w:r>
              <w:rPr>
                <w:rFonts w:ascii="Arial" w:cs="Arial" w:eastAsia="Arial" w:hAnsi="Arial"/>
                <w:sz w:val="12"/>
                <w:szCs w:val="12"/>
                <w:color w:val="auto"/>
              </w:rPr>
              <w:t>Expected term</w:t>
            </w:r>
          </w:p>
        </w:tc>
        <w:tc>
          <w:tcPr>
            <w:tcW w:w="3800" w:type="dxa"/>
            <w:vAlign w:val="bottom"/>
          </w:tcPr>
          <w:p>
            <w:pPr>
              <w:spacing w:after="0"/>
              <w:rPr>
                <w:sz w:val="13"/>
                <w:szCs w:val="13"/>
                <w:color w:val="auto"/>
              </w:rPr>
            </w:pPr>
          </w:p>
        </w:tc>
        <w:tc>
          <w:tcPr>
            <w:tcW w:w="2100" w:type="dxa"/>
            <w:vAlign w:val="bottom"/>
            <w:gridSpan w:val="2"/>
          </w:tcPr>
          <w:p>
            <w:pPr>
              <w:ind w:left="980"/>
              <w:spacing w:after="0"/>
              <w:rPr>
                <w:sz w:val="20"/>
                <w:szCs w:val="20"/>
                <w:color w:val="auto"/>
              </w:rPr>
            </w:pPr>
            <w:r>
              <w:rPr>
                <w:rFonts w:ascii="Arial" w:cs="Arial" w:eastAsia="Arial" w:hAnsi="Arial"/>
                <w:sz w:val="12"/>
                <w:szCs w:val="12"/>
                <w:color w:val="auto"/>
              </w:rPr>
              <w:t>6.25 years</w:t>
            </w:r>
          </w:p>
        </w:tc>
        <w:tc>
          <w:tcPr>
            <w:tcW w:w="1800" w:type="dxa"/>
            <w:vAlign w:val="bottom"/>
          </w:tcPr>
          <w:p>
            <w:pPr>
              <w:ind w:left="860"/>
              <w:spacing w:after="0"/>
              <w:rPr>
                <w:sz w:val="20"/>
                <w:szCs w:val="20"/>
                <w:color w:val="auto"/>
              </w:rPr>
            </w:pPr>
            <w:r>
              <w:rPr>
                <w:rFonts w:ascii="Arial" w:cs="Arial" w:eastAsia="Arial" w:hAnsi="Arial"/>
                <w:sz w:val="12"/>
                <w:szCs w:val="12"/>
                <w:color w:val="auto"/>
              </w:rPr>
              <w:t>6.25 years</w:t>
            </w:r>
          </w:p>
        </w:tc>
      </w:tr>
      <w:tr>
        <w:trPr>
          <w:trHeight w:val="713"/>
        </w:trPr>
        <w:tc>
          <w:tcPr>
            <w:tcW w:w="3600" w:type="dxa"/>
            <w:vAlign w:val="bottom"/>
          </w:tcPr>
          <w:p>
            <w:pPr>
              <w:spacing w:after="0"/>
              <w:rPr>
                <w:sz w:val="24"/>
                <w:szCs w:val="24"/>
                <w:color w:val="auto"/>
              </w:rPr>
            </w:pPr>
          </w:p>
        </w:tc>
        <w:tc>
          <w:tcPr>
            <w:tcW w:w="3800" w:type="dxa"/>
            <w:vAlign w:val="bottom"/>
          </w:tcPr>
          <w:p>
            <w:pPr>
              <w:jc w:val="right"/>
              <w:ind w:right="1639"/>
              <w:spacing w:after="0"/>
              <w:rPr>
                <w:sz w:val="20"/>
                <w:szCs w:val="20"/>
                <w:color w:val="auto"/>
              </w:rPr>
            </w:pPr>
            <w:r>
              <w:rPr>
                <w:rFonts w:ascii="Arial" w:cs="Arial" w:eastAsia="Arial" w:hAnsi="Arial"/>
                <w:sz w:val="12"/>
                <w:szCs w:val="12"/>
                <w:color w:val="auto"/>
              </w:rPr>
              <w:t>17</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4"/>
        </w:trPr>
        <w:tc>
          <w:tcPr>
            <w:tcW w:w="3600" w:type="dxa"/>
            <w:vAlign w:val="bottom"/>
            <w:tcBorders>
              <w:bottom w:val="single" w:sz="8" w:color="9A9A9A"/>
            </w:tcBorders>
          </w:tcPr>
          <w:p>
            <w:pPr>
              <w:spacing w:after="0"/>
              <w:rPr>
                <w:sz w:val="6"/>
                <w:szCs w:val="6"/>
                <w:color w:val="auto"/>
              </w:rPr>
            </w:pPr>
          </w:p>
        </w:tc>
        <w:tc>
          <w:tcPr>
            <w:tcW w:w="3800" w:type="dxa"/>
            <w:vAlign w:val="bottom"/>
            <w:tcBorders>
              <w:bottom w:val="single" w:sz="8" w:color="9A9A9A"/>
            </w:tcBorders>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8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-23495</wp:posOffset>
            </wp:positionV>
            <wp:extent cx="311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-23495</wp:posOffset>
            </wp:positionV>
            <wp:extent cx="311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79" w:right="299" w:bottom="1440" w:gutter="0" w:footer="0" w:header="0"/>
        </w:sectPr>
      </w:pPr>
    </w:p>
    <w:bookmarkStart w:id="21" w:name="page22"/>
    <w:bookmarkEnd w:id="21"/>
    <w:p>
      <w:pPr>
        <w:ind w:left="440"/>
        <w:spacing w:after="0"/>
        <w:rPr>
          <w:sz w:val="20"/>
          <w:szCs w:val="20"/>
          <w:color w:val="auto"/>
        </w:rPr>
      </w:pPr>
      <w:r>
        <w:rPr>
          <w:rFonts w:ascii="Arial" w:cs="Arial" w:eastAsia="Arial" w:hAnsi="Arial"/>
          <w:sz w:val="12"/>
          <w:szCs w:val="12"/>
          <w:color w:val="auto"/>
        </w:rPr>
        <w:t>The following table summarizes stock option activity during the nine months ended September 30, 2021: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vMerge w:val="restart"/>
          </w:tcPr>
          <w:p>
            <w:pPr>
              <w:jc w:val="right"/>
              <w:ind w:right="79"/>
              <w:spacing w:after="0"/>
              <w:rPr>
                <w:sz w:val="20"/>
                <w:szCs w:val="20"/>
                <w:color w:val="auto"/>
              </w:rPr>
            </w:pPr>
            <w:r>
              <w:rPr>
                <w:rFonts w:ascii="Arial" w:cs="Arial" w:eastAsia="Arial" w:hAnsi="Arial"/>
                <w:sz w:val="12"/>
                <w:szCs w:val="12"/>
                <w:b w:val="1"/>
                <w:bCs w:val="1"/>
                <w:color w:val="auto"/>
              </w:rPr>
              <w:t>Weighted-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ind w:left="640"/>
              <w:spacing w:after="0"/>
              <w:rPr>
                <w:sz w:val="20"/>
                <w:szCs w:val="20"/>
                <w:color w:val="auto"/>
              </w:rPr>
            </w:pPr>
            <w:r>
              <w:rPr>
                <w:rFonts w:ascii="Arial" w:cs="Arial" w:eastAsia="Arial" w:hAnsi="Arial"/>
                <w:sz w:val="12"/>
                <w:szCs w:val="12"/>
                <w:b w:val="1"/>
                <w:bCs w:val="1"/>
                <w:color w:val="auto"/>
                <w:w w:val="91"/>
              </w:rPr>
              <w:t>Weighted-Average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tcPr>
          <w:p>
            <w:pPr>
              <w:jc w:val="right"/>
              <w:ind w:right="559"/>
              <w:spacing w:after="0"/>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jc w:val="center"/>
              <w:ind w:left="119"/>
              <w:spacing w:after="0" w:line="119" w:lineRule="exact"/>
              <w:rPr>
                <w:sz w:val="20"/>
                <w:szCs w:val="20"/>
                <w:color w:val="auto"/>
              </w:rPr>
            </w:pPr>
            <w:r>
              <w:rPr>
                <w:rFonts w:ascii="Arial" w:cs="Arial" w:eastAsia="Arial" w:hAnsi="Arial"/>
                <w:sz w:val="12"/>
                <w:szCs w:val="12"/>
                <w:b w:val="1"/>
                <w:bCs w:val="1"/>
                <w:color w:val="auto"/>
                <w:w w:val="91"/>
              </w:rPr>
              <w:t>Remaining</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80" w:type="dxa"/>
            <w:vAlign w:val="bottom"/>
          </w:tcPr>
          <w:p>
            <w:pPr>
              <w:jc w:val="right"/>
              <w:ind w:right="819"/>
              <w:spacing w:after="0" w:line="119" w:lineRule="exact"/>
              <w:rPr>
                <w:sz w:val="20"/>
                <w:szCs w:val="20"/>
                <w:color w:val="auto"/>
              </w:rPr>
            </w:pPr>
            <w:r>
              <w:rPr>
                <w:rFonts w:ascii="Arial" w:cs="Arial" w:eastAsia="Arial" w:hAnsi="Arial"/>
                <w:sz w:val="12"/>
                <w:szCs w:val="12"/>
                <w:b w:val="1"/>
                <w:bCs w:val="1"/>
                <w:color w:val="auto"/>
              </w:rPr>
              <w:t>Intrinsic</w:t>
            </w: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1820" w:type="dxa"/>
            <w:vAlign w:val="bottom"/>
            <w:vMerge w:val="restart"/>
          </w:tcPr>
          <w:p>
            <w:pPr>
              <w:jc w:val="right"/>
              <w:ind w:right="459"/>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0"/>
                <w:szCs w:val="10"/>
                <w:color w:val="auto"/>
              </w:rPr>
            </w:pPr>
          </w:p>
        </w:tc>
        <w:tc>
          <w:tcPr>
            <w:tcW w:w="1720" w:type="dxa"/>
            <w:vAlign w:val="bottom"/>
          </w:tcPr>
          <w:p>
            <w:pPr>
              <w:jc w:val="center"/>
              <w:ind w:left="399"/>
              <w:spacing w:after="0" w:line="119" w:lineRule="exact"/>
              <w:rPr>
                <w:sz w:val="20"/>
                <w:szCs w:val="20"/>
                <w:color w:val="auto"/>
              </w:rPr>
            </w:pPr>
            <w:r>
              <w:rPr>
                <w:rFonts w:ascii="Arial" w:cs="Arial" w:eastAsia="Arial" w:hAnsi="Arial"/>
                <w:sz w:val="12"/>
                <w:szCs w:val="12"/>
                <w:b w:val="1"/>
                <w:bCs w:val="1"/>
                <w:color w:val="auto"/>
                <w:w w:val="88"/>
              </w:rPr>
              <w:t>Average</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jc w:val="center"/>
              <w:ind w:left="139"/>
              <w:spacing w:after="0" w:line="119" w:lineRule="exact"/>
              <w:rPr>
                <w:sz w:val="20"/>
                <w:szCs w:val="20"/>
                <w:color w:val="auto"/>
              </w:rPr>
            </w:pPr>
            <w:r>
              <w:rPr>
                <w:rFonts w:ascii="Arial" w:cs="Arial" w:eastAsia="Arial" w:hAnsi="Arial"/>
                <w:sz w:val="12"/>
                <w:szCs w:val="12"/>
                <w:b w:val="1"/>
                <w:bCs w:val="1"/>
                <w:color w:val="auto"/>
                <w:w w:val="94"/>
              </w:rPr>
              <w:t>Contractual Term</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80" w:type="dxa"/>
            <w:vAlign w:val="bottom"/>
          </w:tcPr>
          <w:p>
            <w:pPr>
              <w:jc w:val="right"/>
              <w:ind w:right="899"/>
              <w:spacing w:after="0" w:line="119" w:lineRule="exact"/>
              <w:rPr>
                <w:sz w:val="20"/>
                <w:szCs w:val="20"/>
                <w:color w:val="auto"/>
              </w:rPr>
            </w:pPr>
            <w:r>
              <w:rPr>
                <w:rFonts w:ascii="Arial" w:cs="Arial" w:eastAsia="Arial" w:hAnsi="Arial"/>
                <w:sz w:val="12"/>
                <w:szCs w:val="12"/>
                <w:b w:val="1"/>
                <w:bCs w:val="1"/>
                <w:color w:val="auto"/>
              </w:rPr>
              <w:t>Value</w:t>
            </w:r>
          </w:p>
        </w:tc>
        <w:tc>
          <w:tcPr>
            <w:tcW w:w="0" w:type="dxa"/>
            <w:vAlign w:val="bottom"/>
          </w:tcPr>
          <w:p>
            <w:pPr>
              <w:spacing w:after="0"/>
              <w:rPr>
                <w:sz w:val="1"/>
                <w:szCs w:val="1"/>
                <w:color w:val="auto"/>
              </w:rPr>
            </w:pPr>
          </w:p>
        </w:tc>
      </w:tr>
      <w:tr>
        <w:trPr>
          <w:trHeight w:val="155"/>
        </w:trPr>
        <w:tc>
          <w:tcPr>
            <w:tcW w:w="298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center"/>
              <w:ind w:left="399"/>
              <w:spacing w:after="0"/>
              <w:rPr>
                <w:sz w:val="20"/>
                <w:szCs w:val="20"/>
                <w:color w:val="auto"/>
              </w:rPr>
            </w:pPr>
            <w:r>
              <w:rPr>
                <w:rFonts w:ascii="Arial" w:cs="Arial" w:eastAsia="Arial" w:hAnsi="Arial"/>
                <w:sz w:val="12"/>
                <w:szCs w:val="12"/>
                <w:b w:val="1"/>
                <w:bCs w:val="1"/>
                <w:color w:val="auto"/>
                <w:w w:val="90"/>
              </w:rPr>
              <w:t>Exercise Price</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20" w:type="dxa"/>
            <w:vAlign w:val="bottom"/>
            <w:tcBorders>
              <w:bottom w:val="single" w:sz="8" w:color="auto"/>
            </w:tcBorders>
          </w:tcPr>
          <w:p>
            <w:pPr>
              <w:jc w:val="center"/>
              <w:ind w:left="119"/>
              <w:spacing w:after="0"/>
              <w:rPr>
                <w:sz w:val="20"/>
                <w:szCs w:val="20"/>
                <w:color w:val="auto"/>
              </w:rPr>
            </w:pPr>
            <w:r>
              <w:rPr>
                <w:rFonts w:ascii="Arial" w:cs="Arial" w:eastAsia="Arial" w:hAnsi="Arial"/>
                <w:sz w:val="12"/>
                <w:szCs w:val="12"/>
                <w:b w:val="1"/>
                <w:bCs w:val="1"/>
                <w:color w:val="auto"/>
                <w:w w:val="88"/>
              </w:rPr>
              <w:t>(Years)</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659"/>
              <w:spacing w:after="0"/>
              <w:rPr>
                <w:sz w:val="20"/>
                <w:szCs w:val="20"/>
                <w:color w:val="auto"/>
              </w:rPr>
            </w:pPr>
            <w:r>
              <w:rPr>
                <w:rFonts w:ascii="Arial" w:cs="Arial" w:eastAsia="Arial" w:hAnsi="Arial"/>
                <w:sz w:val="12"/>
                <w:szCs w:val="12"/>
                <w:b w:val="1"/>
                <w:bCs w:val="1"/>
                <w:color w:val="auto"/>
              </w:rPr>
              <w:t>(in thousands)</w:t>
            </w:r>
          </w:p>
        </w:tc>
        <w:tc>
          <w:tcPr>
            <w:tcW w:w="0" w:type="dxa"/>
            <w:vAlign w:val="bottom"/>
          </w:tcPr>
          <w:p>
            <w:pPr>
              <w:spacing w:after="0"/>
              <w:rPr>
                <w:sz w:val="1"/>
                <w:szCs w:val="1"/>
                <w:color w:val="auto"/>
              </w:rPr>
            </w:pPr>
          </w:p>
        </w:tc>
      </w:tr>
      <w:tr>
        <w:trPr>
          <w:trHeight w:val="144"/>
        </w:trPr>
        <w:tc>
          <w:tcPr>
            <w:tcW w:w="2980" w:type="dxa"/>
            <w:vAlign w:val="bottom"/>
            <w:shd w:val="clear" w:color="auto" w:fill="CCEEFF"/>
          </w:tcPr>
          <w:p>
            <w:pPr>
              <w:ind w:left="440"/>
              <w:spacing w:after="0" w:line="135" w:lineRule="exact"/>
              <w:rPr>
                <w:sz w:val="20"/>
                <w:szCs w:val="20"/>
                <w:color w:val="auto"/>
              </w:rPr>
            </w:pPr>
            <w:r>
              <w:rPr>
                <w:rFonts w:ascii="Arial" w:cs="Arial" w:eastAsia="Arial" w:hAnsi="Arial"/>
                <w:sz w:val="12"/>
                <w:szCs w:val="12"/>
                <w:color w:val="auto"/>
              </w:rPr>
              <w:t>Outstanding, December 31, 2020</w:t>
            </w:r>
          </w:p>
        </w:tc>
        <w:tc>
          <w:tcPr>
            <w:tcW w:w="1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7,258,353</w:t>
            </w:r>
          </w:p>
        </w:tc>
        <w:tc>
          <w:tcPr>
            <w:tcW w:w="1820" w:type="dxa"/>
            <w:vAlign w:val="bottom"/>
            <w:gridSpan w:val="2"/>
            <w:shd w:val="clear" w:color="auto" w:fill="CCEEFF"/>
          </w:tcPr>
          <w:p>
            <w:pPr>
              <w:jc w:val="right"/>
              <w:ind w:right="1159"/>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21.48</w:t>
            </w:r>
          </w:p>
        </w:tc>
        <w:tc>
          <w:tcPr>
            <w:tcW w:w="1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6.8</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80" w:type="dxa"/>
            <w:vAlign w:val="bottom"/>
          </w:tcPr>
          <w:p>
            <w:pPr>
              <w:ind w:left="520"/>
              <w:spacing w:after="0"/>
              <w:rPr>
                <w:sz w:val="20"/>
                <w:szCs w:val="20"/>
                <w:color w:val="auto"/>
              </w:rPr>
            </w:pPr>
            <w:r>
              <w:rPr>
                <w:rFonts w:ascii="Arial" w:cs="Arial" w:eastAsia="Arial" w:hAnsi="Arial"/>
                <w:sz w:val="12"/>
                <w:szCs w:val="12"/>
                <w:color w:val="auto"/>
              </w:rPr>
              <w:t>Granted</w:t>
            </w:r>
          </w:p>
        </w:tc>
        <w:tc>
          <w:tcPr>
            <w:tcW w:w="1820" w:type="dxa"/>
            <w:vAlign w:val="bottom"/>
          </w:tcPr>
          <w:p>
            <w:pPr>
              <w:jc w:val="right"/>
              <w:spacing w:after="0"/>
              <w:rPr>
                <w:sz w:val="20"/>
                <w:szCs w:val="20"/>
                <w:color w:val="auto"/>
              </w:rPr>
            </w:pPr>
            <w:r>
              <w:rPr>
                <w:rFonts w:ascii="Arial" w:cs="Arial" w:eastAsia="Arial" w:hAnsi="Arial"/>
                <w:sz w:val="12"/>
                <w:szCs w:val="12"/>
                <w:color w:val="auto"/>
              </w:rPr>
              <w:t>1,914,846</w:t>
            </w: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20.86</w:t>
            </w: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80" w:type="dxa"/>
            <w:vAlign w:val="bottom"/>
            <w:shd w:val="clear" w:color="auto" w:fill="CCEEFF"/>
          </w:tcPr>
          <w:p>
            <w:pPr>
              <w:ind w:left="520"/>
              <w:spacing w:after="0"/>
              <w:rPr>
                <w:sz w:val="20"/>
                <w:szCs w:val="20"/>
                <w:color w:val="auto"/>
              </w:rPr>
            </w:pPr>
            <w:r>
              <w:rPr>
                <w:rFonts w:ascii="Arial" w:cs="Arial" w:eastAsia="Arial" w:hAnsi="Arial"/>
                <w:sz w:val="12"/>
                <w:szCs w:val="12"/>
                <w:color w:val="auto"/>
              </w:rPr>
              <w:t>Exercised</w:t>
            </w:r>
          </w:p>
        </w:tc>
        <w:tc>
          <w:tcPr>
            <w:tcW w:w="1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(302,649)</w:t>
            </w:r>
          </w:p>
        </w:tc>
        <w:tc>
          <w:tcPr>
            <w:tcW w:w="10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17.77</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80" w:type="dxa"/>
            <w:vAlign w:val="bottom"/>
            <w:tcBorders>
              <w:bottom w:val="single" w:sz="8" w:color="CCEEFF"/>
            </w:tcBorders>
          </w:tcPr>
          <w:p>
            <w:pPr>
              <w:ind w:left="520"/>
              <w:spacing w:after="0"/>
              <w:rPr>
                <w:sz w:val="20"/>
                <w:szCs w:val="20"/>
                <w:color w:val="auto"/>
              </w:rPr>
            </w:pPr>
            <w:r>
              <w:rPr>
                <w:rFonts w:ascii="Arial" w:cs="Arial" w:eastAsia="Arial" w:hAnsi="Arial"/>
                <w:sz w:val="12"/>
                <w:szCs w:val="12"/>
                <w:color w:val="auto"/>
              </w:rPr>
              <w:t>Forfeited or expired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(339,961)</w:t>
            </w:r>
          </w:p>
        </w:tc>
        <w:tc>
          <w:tcPr>
            <w:tcW w:w="100" w:type="dxa"/>
            <w:vAlign w:val="bottom"/>
            <w:tcBorders>
              <w:bottom w:val="single" w:sz="8" w:color="CCEEFF"/>
            </w:tcBorders>
          </w:tcPr>
          <w:p>
            <w:pPr>
              <w:spacing w:after="0"/>
              <w:rPr>
                <w:sz w:val="13"/>
                <w:szCs w:val="13"/>
                <w:color w:val="auto"/>
              </w:rPr>
            </w:pPr>
          </w:p>
        </w:tc>
        <w:tc>
          <w:tcPr>
            <w:tcW w:w="172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19.12</w:t>
            </w:r>
          </w:p>
        </w:tc>
        <w:tc>
          <w:tcPr>
            <w:tcW w:w="100" w:type="dxa"/>
            <w:vAlign w:val="bottom"/>
            <w:tcBorders>
              <w:bottom w:val="single" w:sz="8" w:color="CCEEFF"/>
            </w:tcBorders>
          </w:tcPr>
          <w:p>
            <w:pPr>
              <w:spacing w:after="0"/>
              <w:rPr>
                <w:sz w:val="13"/>
                <w:szCs w:val="13"/>
                <w:color w:val="auto"/>
              </w:rPr>
            </w:pPr>
          </w:p>
        </w:tc>
        <w:tc>
          <w:tcPr>
            <w:tcW w:w="16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15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80" w:type="dxa"/>
            <w:vAlign w:val="bottom"/>
            <w:tcBorders>
              <w:bottom w:val="single" w:sz="8" w:color="CCEEFF"/>
            </w:tcBorders>
            <w:shd w:val="clear" w:color="auto" w:fill="CCEEFF"/>
          </w:tcPr>
          <w:p>
            <w:pPr>
              <w:ind w:left="440"/>
              <w:spacing w:after="0" w:line="135" w:lineRule="exact"/>
              <w:rPr>
                <w:sz w:val="20"/>
                <w:szCs w:val="20"/>
                <w:color w:val="auto"/>
              </w:rPr>
            </w:pPr>
            <w:r>
              <w:rPr>
                <w:rFonts w:ascii="Arial" w:cs="Arial" w:eastAsia="Arial" w:hAnsi="Arial"/>
                <w:sz w:val="12"/>
                <w:szCs w:val="12"/>
                <w:color w:val="auto"/>
              </w:rPr>
              <w:t>Outstanding, September 30, 2021</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8,530,589</w:t>
            </w:r>
          </w:p>
        </w:tc>
        <w:tc>
          <w:tcPr>
            <w:tcW w:w="10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21.52</w:t>
            </w:r>
          </w:p>
        </w:tc>
        <w:tc>
          <w:tcPr>
            <w:tcW w:w="1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5"/>
              </w:rPr>
              <w:t>6.7</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19,925</w:t>
            </w:r>
          </w:p>
        </w:tc>
        <w:tc>
          <w:tcPr>
            <w:tcW w:w="0" w:type="dxa"/>
            <w:vAlign w:val="bottom"/>
          </w:tcPr>
          <w:p>
            <w:pPr>
              <w:spacing w:after="0"/>
              <w:rPr>
                <w:sz w:val="1"/>
                <w:szCs w:val="1"/>
                <w:color w:val="auto"/>
              </w:rPr>
            </w:pPr>
          </w:p>
        </w:tc>
      </w:tr>
      <w:tr>
        <w:trPr>
          <w:trHeight w:val="133"/>
        </w:trPr>
        <w:tc>
          <w:tcPr>
            <w:tcW w:w="2980" w:type="dxa"/>
            <w:vAlign w:val="bottom"/>
          </w:tcPr>
          <w:p>
            <w:pPr>
              <w:ind w:left="440"/>
              <w:spacing w:after="0" w:line="133" w:lineRule="exact"/>
              <w:rPr>
                <w:sz w:val="20"/>
                <w:szCs w:val="20"/>
                <w:color w:val="auto"/>
              </w:rPr>
            </w:pPr>
            <w:r>
              <w:rPr>
                <w:rFonts w:ascii="Arial" w:cs="Arial" w:eastAsia="Arial" w:hAnsi="Arial"/>
                <w:sz w:val="12"/>
                <w:szCs w:val="12"/>
                <w:color w:val="auto"/>
              </w:rPr>
              <w:t>As of September 30, 2021:</w:t>
            </w: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980" w:type="dxa"/>
            <w:vAlign w:val="bottom"/>
            <w:shd w:val="clear" w:color="auto" w:fill="CCEEFF"/>
          </w:tcPr>
          <w:p>
            <w:pPr>
              <w:ind w:left="520"/>
              <w:spacing w:after="0"/>
              <w:rPr>
                <w:sz w:val="20"/>
                <w:szCs w:val="20"/>
                <w:color w:val="auto"/>
              </w:rPr>
            </w:pPr>
            <w:r>
              <w:rPr>
                <w:rFonts w:ascii="Arial" w:cs="Arial" w:eastAsia="Arial" w:hAnsi="Arial"/>
                <w:sz w:val="12"/>
                <w:szCs w:val="12"/>
                <w:color w:val="auto"/>
              </w:rPr>
              <w:t>Exercisable</w:t>
            </w:r>
          </w:p>
        </w:tc>
        <w:tc>
          <w:tcPr>
            <w:tcW w:w="1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5,314,252</w:t>
            </w:r>
          </w:p>
        </w:tc>
        <w:tc>
          <w:tcPr>
            <w:tcW w:w="10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22.76</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5.5</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10,445</w:t>
            </w:r>
          </w:p>
        </w:tc>
        <w:tc>
          <w:tcPr>
            <w:tcW w:w="0" w:type="dxa"/>
            <w:vAlign w:val="bottom"/>
          </w:tcPr>
          <w:p>
            <w:pPr>
              <w:spacing w:after="0"/>
              <w:rPr>
                <w:sz w:val="1"/>
                <w:szCs w:val="1"/>
                <w:color w:val="auto"/>
              </w:rPr>
            </w:pPr>
          </w:p>
        </w:tc>
      </w:tr>
      <w:tr>
        <w:trPr>
          <w:trHeight w:val="155"/>
        </w:trPr>
        <w:tc>
          <w:tcPr>
            <w:tcW w:w="2980" w:type="dxa"/>
            <w:vAlign w:val="bottom"/>
          </w:tcPr>
          <w:p>
            <w:pPr>
              <w:ind w:left="520"/>
              <w:spacing w:after="0"/>
              <w:rPr>
                <w:sz w:val="20"/>
                <w:szCs w:val="20"/>
                <w:color w:val="auto"/>
              </w:rPr>
            </w:pPr>
            <w:r>
              <w:rPr>
                <w:rFonts w:ascii="Arial" w:cs="Arial" w:eastAsia="Arial" w:hAnsi="Arial"/>
                <w:sz w:val="12"/>
                <w:szCs w:val="12"/>
                <w:color w:val="auto"/>
              </w:rPr>
              <w:t>Vested and expected to vest</w:t>
            </w:r>
          </w:p>
        </w:tc>
        <w:tc>
          <w:tcPr>
            <w:tcW w:w="1820" w:type="dxa"/>
            <w:vAlign w:val="bottom"/>
          </w:tcPr>
          <w:p>
            <w:pPr>
              <w:jc w:val="right"/>
              <w:spacing w:after="0"/>
              <w:rPr>
                <w:sz w:val="20"/>
                <w:szCs w:val="20"/>
                <w:color w:val="auto"/>
              </w:rPr>
            </w:pPr>
            <w:r>
              <w:rPr>
                <w:rFonts w:ascii="Arial" w:cs="Arial" w:eastAsia="Arial" w:hAnsi="Arial"/>
                <w:sz w:val="12"/>
                <w:szCs w:val="12"/>
                <w:color w:val="auto"/>
              </w:rPr>
              <w:t>8,135,407</w:t>
            </w: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21.62</w:t>
            </w: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w w:val="95"/>
              </w:rPr>
              <w:t>6.7</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18,793</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80" w:firstLine="439"/>
        <w:spacing w:after="0" w:line="261" w:lineRule="auto"/>
        <w:rPr>
          <w:sz w:val="20"/>
          <w:szCs w:val="20"/>
          <w:color w:val="auto"/>
        </w:rPr>
      </w:pPr>
      <w:r>
        <w:rPr>
          <w:rFonts w:ascii="Arial" w:cs="Arial" w:eastAsia="Arial" w:hAnsi="Arial"/>
          <w:sz w:val="12"/>
          <w:szCs w:val="12"/>
          <w:color w:val="auto"/>
        </w:rPr>
        <w:t>The weighted-average grant-date fair value of options granted during the nine months ended September 30, 2021 and 2020 was $15.21 and $10.50, respectively. The total intrinsic value of options exercised during the nine months ended September 30, 2021 and 2020 was approximately $3.2 million and $3.9 million, respectively. The total cash received for options exercised during the nine months ended September 30, 2021 and 2020 was approximately $5.4 million and $4.5 million, respectively. The total fair value of shares vested in the nine months ended September 30, 2021 and 2020 was approximately $14.8 million and $12.4 million, respectively. As of September 30, 2021, the total unrecognized compensation expense related to unvested stock options, net of related forfeiture estimates, was approximately $36.3 million, which the Company expects to recognize over a weighted-average period of approximately 2.6 years.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Restricted Stock Units</w:t>
      </w:r>
    </w:p>
    <w:p>
      <w:pPr>
        <w:spacing w:after="0" w:line="118" w:lineRule="exact"/>
        <w:rPr>
          <w:sz w:val="20"/>
          <w:szCs w:val="20"/>
          <w:color w:val="auto"/>
        </w:rPr>
      </w:pPr>
    </w:p>
    <w:p>
      <w:pPr>
        <w:ind w:right="40" w:firstLine="439"/>
        <w:spacing w:after="0" w:line="268" w:lineRule="auto"/>
        <w:rPr>
          <w:sz w:val="20"/>
          <w:szCs w:val="20"/>
          <w:color w:val="auto"/>
        </w:rPr>
      </w:pPr>
      <w:r>
        <w:rPr>
          <w:rFonts w:ascii="Arial" w:cs="Arial" w:eastAsia="Arial" w:hAnsi="Arial"/>
          <w:sz w:val="12"/>
          <w:szCs w:val="12"/>
          <w:color w:val="auto"/>
        </w:rPr>
        <w:t>During 2019, the Company awarded restricted stock units (RSUs) under the 2013 Plan to all employees with at least six months of service as of the date of grant except executive officers. Each RSU entitled the holder to receive one share of the Company's common stock when the RSU vested. The RSUs vested in two equal installments on the first and second anniversary of the grant date and have all vested as of September 30, 2021. Compensation expense was recognized on a straight-line basis. The Company also grants RSUs to employees from time to time as a component of their compensation.</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60" w:type="dxa"/>
            <w:vAlign w:val="bottom"/>
            <w:gridSpan w:val="2"/>
          </w:tcPr>
          <w:p>
            <w:pPr>
              <w:ind w:left="440"/>
              <w:spacing w:after="0"/>
              <w:rPr>
                <w:sz w:val="20"/>
                <w:szCs w:val="20"/>
                <w:color w:val="auto"/>
              </w:rPr>
            </w:pPr>
            <w:r>
              <w:rPr>
                <w:rFonts w:ascii="Arial" w:cs="Arial" w:eastAsia="Arial" w:hAnsi="Arial"/>
                <w:sz w:val="12"/>
                <w:szCs w:val="12"/>
                <w:color w:val="auto"/>
              </w:rPr>
              <w:t>The following table summarizes RSU activity during the nine months ended September 30, 2021:</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960" w:type="dxa"/>
            <w:vAlign w:val="bottom"/>
          </w:tcPr>
          <w:p>
            <w:pPr>
              <w:spacing w:after="0"/>
              <w:rPr>
                <w:sz w:val="11"/>
                <w:szCs w:val="11"/>
                <w:color w:val="auto"/>
              </w:rPr>
            </w:pPr>
          </w:p>
        </w:tc>
        <w:tc>
          <w:tcPr>
            <w:tcW w:w="1800" w:type="dxa"/>
            <w:vAlign w:val="bottom"/>
            <w:vMerge w:val="restart"/>
          </w:tcPr>
          <w:p>
            <w:pPr>
              <w:ind w:left="128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60" w:type="dxa"/>
            <w:vAlign w:val="bottom"/>
          </w:tcPr>
          <w:p>
            <w:pPr>
              <w:jc w:val="right"/>
              <w:ind w:right="599"/>
              <w:spacing w:after="0"/>
              <w:rPr>
                <w:sz w:val="20"/>
                <w:szCs w:val="20"/>
                <w:color w:val="auto"/>
              </w:rPr>
            </w:pPr>
            <w:r>
              <w:rPr>
                <w:rFonts w:ascii="Arial" w:cs="Arial" w:eastAsia="Arial" w:hAnsi="Arial"/>
                <w:sz w:val="12"/>
                <w:szCs w:val="12"/>
                <w:b w:val="1"/>
                <w:bCs w:val="1"/>
                <w:color w:val="auto"/>
              </w:rPr>
              <w:t>Weighted-Average</w:t>
            </w:r>
          </w:p>
        </w:tc>
        <w:tc>
          <w:tcPr>
            <w:tcW w:w="0" w:type="dxa"/>
            <w:vAlign w:val="bottom"/>
          </w:tcPr>
          <w:p>
            <w:pPr>
              <w:spacing w:after="0"/>
              <w:rPr>
                <w:sz w:val="1"/>
                <w:szCs w:val="1"/>
                <w:color w:val="auto"/>
              </w:rPr>
            </w:pPr>
          </w:p>
        </w:tc>
      </w:tr>
      <w:tr>
        <w:trPr>
          <w:trHeight w:val="155"/>
        </w:trPr>
        <w:tc>
          <w:tcPr>
            <w:tcW w:w="5960" w:type="dxa"/>
            <w:vAlign w:val="bottom"/>
            <w:tcBorders>
              <w:bottom w:val="single" w:sz="8" w:color="CCEEFF"/>
            </w:tcBorders>
          </w:tcPr>
          <w:p>
            <w:pPr>
              <w:spacing w:after="0"/>
              <w:rPr>
                <w:sz w:val="13"/>
                <w:szCs w:val="13"/>
                <w:color w:val="auto"/>
              </w:rPr>
            </w:pPr>
          </w:p>
        </w:tc>
        <w:tc>
          <w:tcPr>
            <w:tcW w:w="180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b w:val="1"/>
                <w:bCs w:val="1"/>
                <w:color w:val="auto"/>
              </w:rPr>
              <w:t>Grant Date Fair Value</w:t>
            </w: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ind w:left="440"/>
              <w:spacing w:after="0" w:line="135" w:lineRule="exact"/>
              <w:rPr>
                <w:sz w:val="20"/>
                <w:szCs w:val="20"/>
                <w:color w:val="auto"/>
              </w:rPr>
            </w:pPr>
            <w:r>
              <w:rPr>
                <w:rFonts w:ascii="Arial" w:cs="Arial" w:eastAsia="Arial" w:hAnsi="Arial"/>
                <w:sz w:val="12"/>
                <w:szCs w:val="12"/>
                <w:color w:val="auto"/>
              </w:rPr>
              <w:t>Outstanding, December 31, 2020</w:t>
            </w:r>
          </w:p>
        </w:tc>
        <w:tc>
          <w:tcPr>
            <w:tcW w:w="18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209,250</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15.92</w:t>
            </w:r>
          </w:p>
        </w:tc>
        <w:tc>
          <w:tcPr>
            <w:tcW w:w="0" w:type="dxa"/>
            <w:vAlign w:val="bottom"/>
          </w:tcPr>
          <w:p>
            <w:pPr>
              <w:spacing w:after="0"/>
              <w:rPr>
                <w:sz w:val="1"/>
                <w:szCs w:val="1"/>
                <w:color w:val="auto"/>
              </w:rPr>
            </w:pPr>
          </w:p>
        </w:tc>
      </w:tr>
      <w:tr>
        <w:trPr>
          <w:trHeight w:val="155"/>
        </w:trPr>
        <w:tc>
          <w:tcPr>
            <w:tcW w:w="7760" w:type="dxa"/>
            <w:vAlign w:val="bottom"/>
            <w:gridSpan w:val="2"/>
          </w:tcPr>
          <w:p>
            <w:pPr>
              <w:ind w:left="520"/>
              <w:spacing w:after="0"/>
              <w:rPr>
                <w:sz w:val="20"/>
                <w:szCs w:val="20"/>
                <w:color w:val="auto"/>
              </w:rPr>
            </w:pPr>
            <w:r>
              <w:rPr>
                <w:rFonts w:ascii="Arial" w:cs="Arial" w:eastAsia="Arial" w:hAnsi="Arial"/>
                <w:sz w:val="12"/>
                <w:szCs w:val="12"/>
                <w:color w:val="auto"/>
              </w:rPr>
              <w:t>Granted</w:t>
            </w:r>
          </w:p>
        </w:tc>
        <w:tc>
          <w:tcPr>
            <w:tcW w:w="660" w:type="dxa"/>
            <w:vAlign w:val="bottom"/>
          </w:tcPr>
          <w:p>
            <w:pPr>
              <w:jc w:val="right"/>
              <w:spacing w:after="0"/>
              <w:rPr>
                <w:sz w:val="20"/>
                <w:szCs w:val="20"/>
                <w:color w:val="auto"/>
              </w:rPr>
            </w:pPr>
            <w:r>
              <w:rPr>
                <w:rFonts w:ascii="Arial" w:cs="Arial" w:eastAsia="Arial" w:hAnsi="Arial"/>
                <w:sz w:val="12"/>
                <w:szCs w:val="12"/>
                <w:color w:val="auto"/>
              </w:rPr>
              <w:t>16,500</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60" w:type="dxa"/>
            <w:vAlign w:val="bottom"/>
          </w:tcPr>
          <w:p>
            <w:pPr>
              <w:jc w:val="right"/>
              <w:spacing w:after="0"/>
              <w:rPr>
                <w:sz w:val="20"/>
                <w:szCs w:val="20"/>
                <w:color w:val="auto"/>
              </w:rPr>
            </w:pPr>
            <w:r>
              <w:rPr>
                <w:rFonts w:ascii="Arial" w:cs="Arial" w:eastAsia="Arial" w:hAnsi="Arial"/>
                <w:sz w:val="12"/>
                <w:szCs w:val="12"/>
                <w:color w:val="auto"/>
              </w:rPr>
              <w:t>26.27</w:t>
            </w:r>
          </w:p>
        </w:tc>
        <w:tc>
          <w:tcPr>
            <w:tcW w:w="0" w:type="dxa"/>
            <w:vAlign w:val="bottom"/>
          </w:tcPr>
          <w:p>
            <w:pPr>
              <w:spacing w:after="0"/>
              <w:rPr>
                <w:sz w:val="1"/>
                <w:szCs w:val="1"/>
                <w:color w:val="auto"/>
              </w:rPr>
            </w:pPr>
          </w:p>
        </w:tc>
      </w:tr>
      <w:tr>
        <w:trPr>
          <w:trHeight w:val="156"/>
        </w:trPr>
        <w:tc>
          <w:tcPr>
            <w:tcW w:w="776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Exercised</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(184,100)</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15.66</w:t>
            </w:r>
          </w:p>
        </w:tc>
        <w:tc>
          <w:tcPr>
            <w:tcW w:w="0" w:type="dxa"/>
            <w:vAlign w:val="bottom"/>
          </w:tcPr>
          <w:p>
            <w:pPr>
              <w:spacing w:after="0"/>
              <w:rPr>
                <w:sz w:val="1"/>
                <w:szCs w:val="1"/>
                <w:color w:val="auto"/>
              </w:rPr>
            </w:pPr>
          </w:p>
        </w:tc>
      </w:tr>
      <w:tr>
        <w:trPr>
          <w:trHeight w:val="155"/>
        </w:trPr>
        <w:tc>
          <w:tcPr>
            <w:tcW w:w="7760" w:type="dxa"/>
            <w:vAlign w:val="bottom"/>
            <w:gridSpan w:val="2"/>
          </w:tcPr>
          <w:p>
            <w:pPr>
              <w:ind w:left="520"/>
              <w:spacing w:after="0"/>
              <w:rPr>
                <w:sz w:val="20"/>
                <w:szCs w:val="20"/>
                <w:color w:val="auto"/>
              </w:rPr>
            </w:pPr>
            <w:r>
              <w:rPr>
                <w:rFonts w:ascii="Arial" w:cs="Arial" w:eastAsia="Arial" w:hAnsi="Arial"/>
                <w:sz w:val="12"/>
                <w:szCs w:val="12"/>
                <w:color w:val="auto"/>
              </w:rPr>
              <w:t>Forfeited or expired</w:t>
            </w:r>
          </w:p>
        </w:tc>
        <w:tc>
          <w:tcPr>
            <w:tcW w:w="660" w:type="dxa"/>
            <w:vAlign w:val="bottom"/>
          </w:tcPr>
          <w:p>
            <w:pPr>
              <w:jc w:val="right"/>
              <w:spacing w:after="0"/>
              <w:rPr>
                <w:sz w:val="20"/>
                <w:szCs w:val="20"/>
                <w:color w:val="auto"/>
              </w:rPr>
            </w:pPr>
            <w:r>
              <w:rPr>
                <w:rFonts w:ascii="Arial" w:cs="Arial" w:eastAsia="Arial" w:hAnsi="Arial"/>
                <w:sz w:val="12"/>
                <w:szCs w:val="12"/>
                <w:color w:val="auto"/>
              </w:rPr>
              <w:t>(17,650)</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60" w:type="dxa"/>
            <w:vAlign w:val="bottom"/>
          </w:tcPr>
          <w:p>
            <w:pPr>
              <w:jc w:val="right"/>
              <w:spacing w:after="0"/>
              <w:rPr>
                <w:sz w:val="20"/>
                <w:szCs w:val="20"/>
                <w:color w:val="auto"/>
              </w:rPr>
            </w:pPr>
            <w:r>
              <w:rPr>
                <w:rFonts w:ascii="Arial" w:cs="Arial" w:eastAsia="Arial" w:hAnsi="Arial"/>
                <w:sz w:val="12"/>
                <w:szCs w:val="12"/>
                <w:color w:val="auto"/>
              </w:rPr>
              <w:t>15.32</w:t>
            </w:r>
          </w:p>
        </w:tc>
        <w:tc>
          <w:tcPr>
            <w:tcW w:w="0" w:type="dxa"/>
            <w:vAlign w:val="bottom"/>
          </w:tcPr>
          <w:p>
            <w:pPr>
              <w:spacing w:after="0"/>
              <w:rPr>
                <w:sz w:val="1"/>
                <w:szCs w:val="1"/>
                <w:color w:val="auto"/>
              </w:rPr>
            </w:pPr>
          </w:p>
        </w:tc>
      </w:tr>
      <w:tr>
        <w:trPr>
          <w:trHeight w:val="161"/>
        </w:trPr>
        <w:tc>
          <w:tcPr>
            <w:tcW w:w="5960" w:type="dxa"/>
            <w:vAlign w:val="bottom"/>
            <w:tcBorders>
              <w:top w:val="single" w:sz="8" w:color="CCEEFF"/>
              <w:bottom w:val="single" w:sz="8" w:color="CCEEFF"/>
            </w:tcBorders>
            <w:shd w:val="clear" w:color="auto" w:fill="CCEEFF"/>
          </w:tcPr>
          <w:p>
            <w:pPr>
              <w:ind w:left="440"/>
              <w:spacing w:after="0" w:line="135" w:lineRule="exact"/>
              <w:rPr>
                <w:sz w:val="20"/>
                <w:szCs w:val="20"/>
                <w:color w:val="auto"/>
              </w:rPr>
            </w:pPr>
            <w:r>
              <w:rPr>
                <w:rFonts w:ascii="Arial" w:cs="Arial" w:eastAsia="Arial" w:hAnsi="Arial"/>
                <w:sz w:val="12"/>
                <w:szCs w:val="12"/>
                <w:color w:val="auto"/>
              </w:rPr>
              <w:t>Outstanding, September 30, 2021</w:t>
            </w:r>
          </w:p>
        </w:tc>
        <w:tc>
          <w:tcPr>
            <w:tcW w:w="180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24,000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1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25.46</w:t>
            </w:r>
          </w:p>
        </w:tc>
        <w:tc>
          <w:tcPr>
            <w:tcW w:w="0" w:type="dxa"/>
            <w:vAlign w:val="bottom"/>
          </w:tcPr>
          <w:p>
            <w:pPr>
              <w:spacing w:after="0"/>
              <w:rPr>
                <w:sz w:val="1"/>
                <w:szCs w:val="1"/>
                <w:color w:val="auto"/>
              </w:rPr>
            </w:pPr>
          </w:p>
        </w:tc>
      </w:tr>
    </w:tbl>
    <w:p>
      <w:pPr>
        <w:spacing w:after="0" w:line="357" w:lineRule="exact"/>
        <w:rPr>
          <w:sz w:val="20"/>
          <w:szCs w:val="20"/>
          <w:color w:val="auto"/>
        </w:rPr>
      </w:pPr>
    </w:p>
    <w:p>
      <w:pPr>
        <w:ind w:left="440"/>
        <w:spacing w:after="0"/>
        <w:rPr>
          <w:sz w:val="20"/>
          <w:szCs w:val="20"/>
          <w:color w:val="auto"/>
        </w:rPr>
      </w:pPr>
      <w:r>
        <w:rPr>
          <w:rFonts w:ascii="Arial" w:cs="Arial" w:eastAsia="Arial" w:hAnsi="Arial"/>
          <w:sz w:val="11"/>
          <w:szCs w:val="11"/>
          <w:color w:val="auto"/>
        </w:rPr>
        <w:t>At September 30, 2021, there was $0.5 million of total unrecognized compensation cost related to unvested RSUs, which the Company expects to recognize over a remaining weighted-average period of approximately 2.3</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years.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Commitments and Contingencies</w:t>
      </w:r>
    </w:p>
    <w:p>
      <w:pPr>
        <w:spacing w:after="0" w:line="113" w:lineRule="exact"/>
        <w:rPr>
          <w:sz w:val="20"/>
          <w:szCs w:val="20"/>
          <w:color w:val="auto"/>
        </w:rPr>
      </w:pPr>
    </w:p>
    <w:p>
      <w:pPr>
        <w:ind w:right="20" w:firstLine="439"/>
        <w:spacing w:after="0" w:line="231" w:lineRule="auto"/>
        <w:rPr>
          <w:sz w:val="20"/>
          <w:szCs w:val="20"/>
          <w:color w:val="auto"/>
        </w:rPr>
      </w:pPr>
      <w:r>
        <w:rPr>
          <w:rFonts w:ascii="Arial" w:cs="Arial" w:eastAsia="Arial" w:hAnsi="Arial"/>
          <w:sz w:val="12"/>
          <w:szCs w:val="12"/>
          <w:color w:val="auto"/>
        </w:rPr>
        <w:t>On September 13, 2019, a securities class action complaint was filed in the U.S. District Court for the District of Maryland (District Court) by Todd Hill naming the Company, its Chief Executive Officer, Dr. Koenig, and its Chief Financial Officer, Mr. Karrels, as defendants for allegedly making false and materially misleading statements regarding the Company’s SOPHIA trial. On August 17, 2020, the Employees’ Retirement System of the City of Baton Rouge and Parish of East Baton Rouge was appointed as Lead Plaintiff, and on October 16, 2020, the Lead Plaintiff filed an amended complaint. The amended complaint asserts a putative class period stemming from February 6, 2019 to June 4, 2019. The Company filed a Motion to Dismiss on November 30, 2020. Plaintiff filed an Opposition brief on January 29, 2021, to which the Company filed a timely reply. On September 29, 2021, the District Court issued an Order dismissing the case, with prejudice. On October 28, 2021 the Lead Plaintiff filed a Notice of Appeal.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752" w:right="299" w:bottom="1440" w:gutter="0" w:footer="0" w:header="0"/>
        </w:sectPr>
      </w:pPr>
    </w:p>
    <w:bookmarkStart w:id="22" w:name="page23"/>
    <w:bookmarkEnd w:id="22"/>
    <w:p>
      <w:pPr>
        <w:spacing w:after="0"/>
        <w:tabs>
          <w:tab w:leader="none" w:pos="90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76" w:lineRule="exact"/>
        <w:rPr>
          <w:sz w:val="20"/>
          <w:szCs w:val="20"/>
          <w:color w:val="auto"/>
        </w:rPr>
      </w:pPr>
    </w:p>
    <w:p>
      <w:pPr>
        <w:ind w:right="80" w:firstLine="548"/>
        <w:spacing w:after="0" w:line="263" w:lineRule="auto"/>
        <w:rPr>
          <w:sz w:val="20"/>
          <w:szCs w:val="20"/>
          <w:color w:val="auto"/>
        </w:rPr>
      </w:pPr>
      <w:r>
        <w:rPr>
          <w:rFonts w:ascii="Arial" w:cs="Arial" w:eastAsia="Arial" w:hAnsi="Arial"/>
          <w:sz w:val="12"/>
          <w:szCs w:val="12"/>
          <w:i w:val="1"/>
          <w:iCs w:val="1"/>
          <w:color w:val="auto"/>
        </w:rPr>
        <w:t>The following discussion of our financial condition and results of operations is based upon our unaudited consolidated financial statements included in this Quarterly Report on Form 10-Q, which have been prepared by us in accordance with U.S. generally accepted accounting principles (GAAP), for interim periods and with Regulation S-X promulgated under the Securities Exchange Act of 1934, as amended. This discussion and analysis should be read in conjunction with these unaudited consolidated financial statements and the notes thereto as well as in conjunction with our audited consolidated financial statements and related notes thereto included in our Annual Report on Form 10-K for the year ended December 31, 2020.</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22" w:lineRule="exact"/>
        <w:rPr>
          <w:sz w:val="20"/>
          <w:szCs w:val="20"/>
          <w:color w:val="auto"/>
        </w:rPr>
      </w:pPr>
    </w:p>
    <w:p>
      <w:pPr>
        <w:ind w:firstLine="439"/>
        <w:spacing w:after="0" w:line="290" w:lineRule="auto"/>
        <w:rPr>
          <w:sz w:val="20"/>
          <w:szCs w:val="20"/>
          <w:color w:val="auto"/>
        </w:rPr>
      </w:pPr>
      <w:r>
        <w:rPr>
          <w:rFonts w:ascii="Arial" w:cs="Arial" w:eastAsia="Arial" w:hAnsi="Arial"/>
          <w:sz w:val="11"/>
          <w:szCs w:val="11"/>
          <w:color w:val="auto"/>
        </w:rPr>
        <w:t>We are a biopharmaceutical company focused on developing and commercializing innovative antibody-based therapeutics designed to modulate the human immune response for the treatment of cancer. In December 2020, the U.S. Food and Drug Administration (FDA) approved MARGENZA (margetuximab-cmkb), a human epidermal growth factor receptor 2 (HER2) receptor antagonist indicated, in combination with chemotherapy, for the treatment of adult patients with metastatic HER2-positive breast cancer who have received two or more prior anti-HER2 regimens, at least one of which was for metastatic disease. We launched MARGENZA in March 2021. In addition, we have a pipeline of product candidates in human clinical testing, including eight immuno-oncology programs, that have been created primarily using our proprietary, antibody-based technology platforms. We believe our product candidates have the potential to have a meaningful effect on treating patients' unmet medical needs as monotherapy or, in some cases, in combination with other therapeutic agents.</w:t>
      </w:r>
    </w:p>
    <w:p>
      <w:pPr>
        <w:spacing w:after="0" w:line="76" w:lineRule="exact"/>
        <w:rPr>
          <w:sz w:val="20"/>
          <w:szCs w:val="20"/>
          <w:color w:val="auto"/>
        </w:rPr>
      </w:pPr>
    </w:p>
    <w:p>
      <w:pPr>
        <w:ind w:right="20" w:firstLine="439"/>
        <w:spacing w:after="0" w:line="295" w:lineRule="auto"/>
        <w:rPr>
          <w:sz w:val="20"/>
          <w:szCs w:val="20"/>
          <w:color w:val="auto"/>
        </w:rPr>
      </w:pPr>
      <w:r>
        <w:rPr>
          <w:rFonts w:ascii="Arial" w:cs="Arial" w:eastAsia="Arial" w:hAnsi="Arial"/>
          <w:sz w:val="11"/>
          <w:szCs w:val="11"/>
          <w:color w:val="auto"/>
        </w:rPr>
        <w:t>We commenced active operations in 2000, and have since devoted substantially all of our resources to staffing our company, developing our technology platforms, identifying potential product candidates, undertaking preclinical studies, conducting clinical trials, developing collaborations, business planning and raising capital. We have financed our operations primarily through the public and private offerings of our securities, collaborations with other biopharmaceutical companies, and government grants and contracts. Although it is difficult to predict our funding requirements, we anticipate that our cash, cash equivalents and marketable securities as of September 30, 2021, anticipated and potential collaboration payments and product revenues, should enable us to fund our operations through 2023, assuming our programs and collaborations advance as currently contemplated.</w:t>
      </w:r>
    </w:p>
    <w:p>
      <w:pPr>
        <w:spacing w:after="0" w:line="72" w:lineRule="exact"/>
        <w:rPr>
          <w:sz w:val="20"/>
          <w:szCs w:val="20"/>
          <w:color w:val="auto"/>
        </w:rPr>
      </w:pPr>
    </w:p>
    <w:p>
      <w:pPr>
        <w:ind w:right="20" w:firstLine="439"/>
        <w:spacing w:after="0" w:line="282" w:lineRule="auto"/>
        <w:rPr>
          <w:sz w:val="20"/>
          <w:szCs w:val="20"/>
          <w:color w:val="auto"/>
        </w:rPr>
      </w:pPr>
      <w:r>
        <w:rPr>
          <w:rFonts w:ascii="Arial" w:cs="Arial" w:eastAsia="Arial" w:hAnsi="Arial"/>
          <w:sz w:val="12"/>
          <w:szCs w:val="12"/>
          <w:color w:val="auto"/>
        </w:rPr>
        <w:t>Through September 30, 2021, we had an accumulated deficit of $915.9 million. We expect that over the next several years this deficit will increase as we increase our expenditures in research and development in connection with our ongoing activities with several clinical trials, and incur costs related to commercial product sales.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COVID-19 Pandemic</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1"/>
          <w:szCs w:val="11"/>
          <w:color w:val="auto"/>
        </w:rPr>
        <w:t>The COVID-19 pandemic has negatively impacted the global economy, created significant financial market volatility, disrupted global supply chains, and resulted in a significant number of infections and deaths worldwide.</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In addition, several national, state and local governments have placed restrictions on people from gathering in groups or interacting within a certain physical distance.</w:t>
      </w:r>
    </w:p>
    <w:p>
      <w:pPr>
        <w:spacing w:after="0" w:line="110" w:lineRule="exact"/>
        <w:rPr>
          <w:sz w:val="20"/>
          <w:szCs w:val="20"/>
          <w:color w:val="auto"/>
        </w:rPr>
      </w:pPr>
    </w:p>
    <w:p>
      <w:pPr>
        <w:ind w:right="20" w:firstLine="439"/>
        <w:spacing w:after="0" w:line="258" w:lineRule="auto"/>
        <w:rPr>
          <w:sz w:val="20"/>
          <w:szCs w:val="20"/>
          <w:color w:val="auto"/>
        </w:rPr>
      </w:pPr>
      <w:r>
        <w:rPr>
          <w:rFonts w:ascii="Arial" w:cs="Arial" w:eastAsia="Arial" w:hAnsi="Arial"/>
          <w:sz w:val="12"/>
          <w:szCs w:val="12"/>
          <w:color w:val="auto"/>
        </w:rPr>
        <w:t>To date, although there has been some negative impact on our business and operations, including, for example, slowed clinical trial enrollment, we have been able to mitigate against more severe impacts of the COVID-19 pandemic on our business and operations. However, the COVID-19 pandemic could have a more significant negative impact on our business in the future depending on the depth of the effects and the duration of the crisis. In response to the COVID-19 pandemic, we have been focused on keeping our employees safe, continuing patients on trials, and maintaining our manufacturing capabilities and research efforts. The COVID-19 pandemic and its variants are evolving and we continue to monitor our business very closely to try and mitigate any potential impacts. We expect the pandemic to continue to have some near-term impact on the initiation of new studies and on clinical trial enrollment. Significant delays in the timing of our clinical trials and in regulatory reviews could adversely affect our ability to commercialize the product candidates in our pipeline. We are classified as a government contractor and are required to comply with Executive Order 14042. We are in the process of executing this Executive Order, which requires that all our employees be fully vaccinated against COVID-19, unless legally entitled to an accommodation due to a disability or religious belief, practice or observance. It is uncertain to what extent compliance with the vaccine mandate may result in workforce attrition or difficulty securing future labor needs. If attrition is significant, our business could be adversely affected.</w:t>
      </w:r>
    </w:p>
    <w:p>
      <w:pPr>
        <w:spacing w:after="0" w:line="92" w:lineRule="exact"/>
        <w:rPr>
          <w:sz w:val="20"/>
          <w:szCs w:val="20"/>
          <w:color w:val="auto"/>
        </w:rPr>
      </w:pPr>
    </w:p>
    <w:p>
      <w:pPr>
        <w:ind w:right="80" w:firstLine="439"/>
        <w:spacing w:after="0" w:line="282" w:lineRule="auto"/>
        <w:rPr>
          <w:sz w:val="20"/>
          <w:szCs w:val="20"/>
          <w:color w:val="auto"/>
        </w:rPr>
      </w:pPr>
      <w:r>
        <w:rPr>
          <w:rFonts w:ascii="Arial" w:cs="Arial" w:eastAsia="Arial" w:hAnsi="Arial"/>
          <w:sz w:val="12"/>
          <w:szCs w:val="12"/>
          <w:color w:val="auto"/>
        </w:rPr>
        <w:t>Notwithstanding the foregoing, we cannot precisely predict the impact that the COVID-19 pandemic will have in the future due to numerous uncertainties, including the severity, duration and resurgences of the disease and new variants, actions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702" w:right="299" w:bottom="1440" w:gutter="0" w:footer="0" w:header="0"/>
        </w:sectPr>
      </w:pPr>
    </w:p>
    <w:bookmarkStart w:id="23" w:name="page24"/>
    <w:bookmarkEnd w:id="23"/>
    <w:p>
      <w:pPr>
        <w:ind w:right="120"/>
        <w:spacing w:after="0" w:line="263" w:lineRule="auto"/>
        <w:rPr>
          <w:sz w:val="20"/>
          <w:szCs w:val="20"/>
          <w:color w:val="auto"/>
        </w:rPr>
      </w:pPr>
      <w:r>
        <w:rPr>
          <w:rFonts w:ascii="Arial" w:cs="Arial" w:eastAsia="Arial" w:hAnsi="Arial"/>
          <w:sz w:val="12"/>
          <w:szCs w:val="12"/>
          <w:color w:val="auto"/>
        </w:rPr>
        <w:t>that may be taken by governmental authorities, the impact to the business of potential variations or disruptions in our supply chain, and other factors identified in Part II, Item 1A. “Risk Factors” in this Form 10-Q and "Item 1A. Risk Factors" of our Annual Report on Form 10-K for the year ended December 31, 2020. Given these uncertainties, the COVID-19 pandemic could disrupt the business of certain of our collaborators and impact our business operations and our ability to execute on our associated business strategies and initiatives, and adversely impact our consolidated results of operations and/or our financial condition in the future. We will continue to closely monitor and evaluate the nature and extent of the impact of the COVID-19 pandemic to our business, consolidated results of operations, and financial condition.</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Collaborations</w:t>
      </w:r>
    </w:p>
    <w:p>
      <w:pPr>
        <w:spacing w:after="0" w:line="122" w:lineRule="exact"/>
        <w:rPr>
          <w:sz w:val="20"/>
          <w:szCs w:val="20"/>
          <w:color w:val="auto"/>
        </w:rPr>
      </w:pPr>
    </w:p>
    <w:p>
      <w:pPr>
        <w:ind w:right="80" w:firstLine="439"/>
        <w:spacing w:after="0" w:line="268" w:lineRule="auto"/>
        <w:rPr>
          <w:sz w:val="20"/>
          <w:szCs w:val="20"/>
          <w:color w:val="auto"/>
        </w:rPr>
      </w:pPr>
      <w:r>
        <w:rPr>
          <w:rFonts w:ascii="Arial" w:cs="Arial" w:eastAsia="Arial" w:hAnsi="Arial"/>
          <w:sz w:val="12"/>
          <w:szCs w:val="12"/>
          <w:color w:val="auto"/>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Our current collaborations include the following:</w:t>
      </w:r>
    </w:p>
    <w:p>
      <w:pPr>
        <w:spacing w:after="0" w:line="95" w:lineRule="exact"/>
        <w:rPr>
          <w:sz w:val="20"/>
          <w:szCs w:val="20"/>
          <w:color w:val="auto"/>
        </w:rPr>
      </w:pPr>
    </w:p>
    <w:p>
      <w:pPr>
        <w:ind w:left="660" w:right="20" w:hanging="228"/>
        <w:spacing w:after="0" w:line="282" w:lineRule="auto"/>
        <w:tabs>
          <w:tab w:leader="none" w:pos="652" w:val="left"/>
        </w:tabs>
        <w:numPr>
          <w:ilvl w:val="0"/>
          <w:numId w:val="8"/>
        </w:numPr>
        <w:rPr>
          <w:rFonts w:ascii="Arial" w:cs="Arial" w:eastAsia="Arial" w:hAnsi="Arial"/>
          <w:sz w:val="12"/>
          <w:szCs w:val="12"/>
          <w:color w:val="auto"/>
        </w:rPr>
      </w:pPr>
      <w:r>
        <w:rPr>
          <w:rFonts w:ascii="Arial" w:cs="Arial" w:eastAsia="Arial" w:hAnsi="Arial"/>
          <w:sz w:val="11"/>
          <w:szCs w:val="11"/>
          <w:i w:val="1"/>
          <w:iCs w:val="1"/>
          <w:color w:val="auto"/>
        </w:rPr>
        <w:t xml:space="preserve">Incyte. </w:t>
      </w:r>
      <w:r>
        <w:rPr>
          <w:rFonts w:ascii="Arial" w:cs="Arial" w:eastAsia="Arial" w:hAnsi="Arial"/>
          <w:sz w:val="11"/>
          <w:szCs w:val="11"/>
          <w:color w:val="auto"/>
        </w:rPr>
        <w:t>In 2017, we entered into an exclusive global collaboration and license agreement with Incyte Corporation (Incyte) for retifanlimab (also known as INCMGA0012), an investigational monoclonal antibody that</w:t>
      </w:r>
      <w:r>
        <w:rPr>
          <w:rFonts w:ascii="Arial" w:cs="Arial" w:eastAsia="Arial" w:hAnsi="Arial"/>
          <w:sz w:val="11"/>
          <w:szCs w:val="11"/>
          <w:i w:val="1"/>
          <w:iCs w:val="1"/>
          <w:color w:val="auto"/>
        </w:rPr>
        <w:t xml:space="preserve"> </w:t>
      </w:r>
      <w:r>
        <w:rPr>
          <w:rFonts w:ascii="Arial" w:cs="Arial" w:eastAsia="Arial" w:hAnsi="Arial"/>
          <w:sz w:val="11"/>
          <w:szCs w:val="11"/>
          <w:color w:val="auto"/>
        </w:rPr>
        <w:t>inhibits programmed cell death protein 1 (PD-1) (Incyte License Agreement). Incyte has obtained exclusive worldwide rights for the development and commercialization of retifanlimab in all indications, while we retain the right to develop our pipeline assets in combination with retifanlimab. Incyte paid us an upfront payment of $150.0 million under the terms of the agreement. On July 23, 2021, Incyte announced that the FDA had issued a Complete Response Letter (CRL) regarding its Biologics License Application (BLA) for retifanlimab as a potential treatment for adult patients with locally advanced or metastatic squamous cell carcinoma of the anal canal. Incyte’s announcement indicated that the FDA determined that additional data are needed to demonstrate the clinical benefit of retifanlimab for the submitted indication, and that Incyte is reviewing the CRL and will discuss next steps with the FDA. More recently, Incyte withdrew its European application for marketing authorization of retifanlimab for the treatment of squamous carcinoma of the anal canal.</w:t>
      </w:r>
    </w:p>
    <w:p>
      <w:pPr>
        <w:spacing w:after="0" w:line="81" w:lineRule="exact"/>
        <w:rPr>
          <w:rFonts w:ascii="Arial" w:cs="Arial" w:eastAsia="Arial" w:hAnsi="Arial"/>
          <w:sz w:val="12"/>
          <w:szCs w:val="12"/>
          <w:color w:val="auto"/>
        </w:rPr>
      </w:pPr>
    </w:p>
    <w:p>
      <w:pPr>
        <w:ind w:left="660"/>
        <w:spacing w:after="0" w:line="288" w:lineRule="auto"/>
        <w:rPr>
          <w:rFonts w:ascii="Arial" w:cs="Arial" w:eastAsia="Arial" w:hAnsi="Arial"/>
          <w:sz w:val="12"/>
          <w:szCs w:val="12"/>
          <w:color w:val="auto"/>
        </w:rPr>
      </w:pPr>
      <w:r>
        <w:rPr>
          <w:rFonts w:ascii="Arial" w:cs="Arial" w:eastAsia="Arial" w:hAnsi="Arial"/>
          <w:sz w:val="11"/>
          <w:szCs w:val="11"/>
          <w:color w:val="auto"/>
        </w:rPr>
        <w:t>Under the terms of the Incyte License Agreement, Incyte leads global development of retifanlimab. Assuming successful development and commercialization of retifanlimab by Incyte, we could receive total development and regulatory milestones of up to approximately $420.0 million and up to $330.0 million in commercial milestones. We received $70.0 million of the total development milestones through September 30, 2021. If retifanlimab is approved and commercialized, we would be eligible to receive tiered royalties of 15% to 24% on any global net sales and we have the option to co-promote retifanlimab with Incyte. We retain the right to develop our pipeline assets in combination with retifanlimab, with Incyte commercializing retifanlimab and us commercializing our asset(s), if any such potential combinations are approved. We also have an agreement with Incyte under which we are to perform development and manufacturing services for Incyte's clinical needs of retifanlimab (Incyte Clinical Supply Agreement) and another agreement under which we are entitled to manufacture a portion of Incyte’s global commercial supply of retifanlimab (Incyte Commercial Supply Agreement).</w:t>
      </w:r>
    </w:p>
    <w:p>
      <w:pPr>
        <w:spacing w:after="0" w:line="76" w:lineRule="exact"/>
        <w:rPr>
          <w:rFonts w:ascii="Arial" w:cs="Arial" w:eastAsia="Arial" w:hAnsi="Arial"/>
          <w:sz w:val="12"/>
          <w:szCs w:val="12"/>
          <w:color w:val="auto"/>
        </w:rPr>
      </w:pPr>
    </w:p>
    <w:p>
      <w:pPr>
        <w:ind w:left="660" w:right="200" w:hanging="228"/>
        <w:spacing w:after="0" w:line="263" w:lineRule="auto"/>
        <w:tabs>
          <w:tab w:leader="none" w:pos="657"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Zai Lab</w:t>
      </w:r>
      <w:r>
        <w:rPr>
          <w:rFonts w:ascii="Arial" w:cs="Arial" w:eastAsia="Arial" w:hAnsi="Arial"/>
          <w:sz w:val="12"/>
          <w:szCs w:val="12"/>
          <w:color w:val="auto"/>
        </w:rPr>
        <w:t>. In 2018, we entered into a collaboration and license agreement with Zai Lab Limited (Zai Lab) under which Zai Lab obtained regional development and commercialization rights in mainland China, Hong</w:t>
      </w:r>
      <w:r>
        <w:rPr>
          <w:rFonts w:ascii="Arial" w:cs="Arial" w:eastAsia="Arial" w:hAnsi="Arial"/>
          <w:sz w:val="12"/>
          <w:szCs w:val="12"/>
          <w:i w:val="1"/>
          <w:iCs w:val="1"/>
          <w:color w:val="auto"/>
        </w:rPr>
        <w:t xml:space="preserve"> </w:t>
      </w:r>
      <w:r>
        <w:rPr>
          <w:rFonts w:ascii="Arial" w:cs="Arial" w:eastAsia="Arial" w:hAnsi="Arial"/>
          <w:sz w:val="12"/>
          <w:szCs w:val="12"/>
          <w:color w:val="auto"/>
        </w:rPr>
        <w:t>Kong, Macau and Taiwan (Zai Lab’s territory) for (i) margetuximab, an immune-optimized anti-HER2 monoclonal antibody, (ii) tebotelimab (formerly known as MGD013), a bispecific DART molecule designed to provide coordinate blockade of PD-1 and LAG-3 for the potential treatment of a range of solid tumors and hematological malignancies, and (iii) an undisclosed multi-specific TRIDENT molecule in preclinical development (2018 Zai Lab Agreement). Zai Lab will lead clinical development in its territory.</w:t>
      </w:r>
    </w:p>
    <w:p>
      <w:pPr>
        <w:spacing w:after="0" w:line="89" w:lineRule="exact"/>
        <w:rPr>
          <w:rFonts w:ascii="Arial" w:cs="Arial" w:eastAsia="Arial" w:hAnsi="Arial"/>
          <w:sz w:val="12"/>
          <w:szCs w:val="12"/>
          <w:color w:val="auto"/>
        </w:rPr>
      </w:pPr>
    </w:p>
    <w:p>
      <w:pPr>
        <w:ind w:left="660" w:right="40"/>
        <w:spacing w:after="0" w:line="263" w:lineRule="auto"/>
        <w:rPr>
          <w:rFonts w:ascii="Arial" w:cs="Arial" w:eastAsia="Arial" w:hAnsi="Arial"/>
          <w:sz w:val="12"/>
          <w:szCs w:val="12"/>
          <w:color w:val="auto"/>
        </w:rPr>
      </w:pPr>
      <w:r>
        <w:rPr>
          <w:rFonts w:ascii="Arial" w:cs="Arial" w:eastAsia="Arial" w:hAnsi="Arial"/>
          <w:sz w:val="12"/>
          <w:szCs w:val="12"/>
          <w:color w:val="auto"/>
        </w:rPr>
        <w:t>Under the terms of the agreement, Zai Lab paid us an upfront payment of $25.0 million less foreign withholding tax of $2.5 million. Assuming successful development and commercialization of margetuximab, tebotelimab and the TRIDENT molecule, we could receive up to $140.0 million in development and regulatory milestones, of which we have already received $4.0 million ($3.6 million net of foreign withholding tax). In addition, Zai Lab would pay us tiered royalties at percentage rates of mid-teens to 20% for net sales of margetuximab in Zai Lab’s territory, mid-teens for net sales of tebotelimab in Zai Lab’s territory and 10% for net sales of the TRIDENT molecule in Zai Lab’s territory, which may be subject to adjustment in specified circumstances.</w:t>
      </w:r>
    </w:p>
    <w:p>
      <w:pPr>
        <w:spacing w:after="0" w:line="89" w:lineRule="exact"/>
        <w:rPr>
          <w:rFonts w:ascii="Arial" w:cs="Arial" w:eastAsia="Arial" w:hAnsi="Arial"/>
          <w:sz w:val="12"/>
          <w:szCs w:val="12"/>
          <w:color w:val="auto"/>
        </w:rPr>
      </w:pPr>
    </w:p>
    <w:p>
      <w:pPr>
        <w:ind w:left="660"/>
        <w:spacing w:after="0"/>
        <w:rPr>
          <w:rFonts w:ascii="Arial" w:cs="Arial" w:eastAsia="Arial" w:hAnsi="Arial"/>
          <w:sz w:val="12"/>
          <w:szCs w:val="12"/>
          <w:color w:val="auto"/>
        </w:rPr>
      </w:pPr>
      <w:r>
        <w:rPr>
          <w:rFonts w:ascii="Arial" w:cs="Arial" w:eastAsia="Arial" w:hAnsi="Arial"/>
          <w:sz w:val="12"/>
          <w:szCs w:val="12"/>
          <w:color w:val="auto"/>
        </w:rPr>
        <w:t>In 2019, we entered into two agreements under which we are to perform manufacturing services for Zai Lab’s clinical needs of margetuximab and tebotelimab (Zai Lab Clinical Supply Agreements).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679" w:right="319" w:bottom="1440" w:gutter="0" w:footer="0" w:header="0"/>
        </w:sectPr>
      </w:pPr>
    </w:p>
    <w:bookmarkStart w:id="24" w:name="page25"/>
    <w:bookmarkEnd w:id="24"/>
    <w:p>
      <w:pPr>
        <w:ind w:left="660"/>
        <w:spacing w:after="0" w:line="259" w:lineRule="auto"/>
        <w:rPr>
          <w:sz w:val="20"/>
          <w:szCs w:val="20"/>
          <w:color w:val="auto"/>
        </w:rPr>
      </w:pPr>
      <w:r>
        <w:rPr>
          <w:rFonts w:ascii="Arial" w:cs="Arial" w:eastAsia="Arial" w:hAnsi="Arial"/>
          <w:sz w:val="12"/>
          <w:szCs w:val="12"/>
          <w:color w:val="auto"/>
        </w:rPr>
        <w:t>In June 2021, we entered into a collaboration and license agreement with Zai Lab US LLC (collectively with Zai Lab Limited referred herein as Zai Lab) involving collaboration programs and license-only programs (collectively, the Programs) encompassing four separate immuno-oncology molecules (2021 Zai Lab Agreement). The first program covers a lead research molecule that incorporates our DART platform and binds CD3 and an undisclosed target that is expressed in multiple solid tumors (Lead Program). The second program covers a target to be designated by us. For these programs, Zai Lab receives commercial rights in Greater China, Japan, and Korea while we receive commercial rights in all other territories. Under the Lead Program, Zai Lab received an option upon reaching a predefined clinical milestone to convert the regional arrangement into a global 50/50 profit share. If Zai Lab elects such option, Zai Lab is to pay us $85.0 million plus any research costs incurred by both parties as of the option election date. Zai Lab also obtained exclusive, global licenses from us to develop, manufacture and commercialize two additional molecules (license-only programs). Zai Lab granted us a worldwide, royalty-free, co-exclusive license to conduct the development activities allocated to us.</w:t>
      </w:r>
    </w:p>
    <w:p>
      <w:pPr>
        <w:spacing w:after="0" w:line="145" w:lineRule="exact"/>
        <w:rPr>
          <w:sz w:val="20"/>
          <w:szCs w:val="20"/>
          <w:color w:val="auto"/>
        </w:rPr>
      </w:pPr>
    </w:p>
    <w:p>
      <w:pPr>
        <w:ind w:left="660" w:right="80"/>
        <w:spacing w:after="0" w:line="282" w:lineRule="auto"/>
        <w:rPr>
          <w:sz w:val="20"/>
          <w:szCs w:val="20"/>
          <w:color w:val="auto"/>
        </w:rPr>
      </w:pPr>
      <w:r>
        <w:rPr>
          <w:rFonts w:ascii="Arial" w:cs="Arial" w:eastAsia="Arial" w:hAnsi="Arial"/>
          <w:sz w:val="12"/>
          <w:szCs w:val="12"/>
          <w:color w:val="auto"/>
        </w:rPr>
        <w:t>Under the terms of the 2021 Zai Lab Agreement, the Lead Program includes joint research and development services by both us and Zai Lab. For the other programs, Zai Lab can separately negotiate and agree with us to perform research and development services in the future.</w:t>
      </w:r>
    </w:p>
    <w:p>
      <w:pPr>
        <w:spacing w:after="0" w:line="78" w:lineRule="exact"/>
        <w:rPr>
          <w:sz w:val="20"/>
          <w:szCs w:val="20"/>
          <w:color w:val="auto"/>
        </w:rPr>
      </w:pPr>
    </w:p>
    <w:p>
      <w:pPr>
        <w:ind w:left="660" w:right="40"/>
        <w:spacing w:after="0" w:line="303" w:lineRule="auto"/>
        <w:rPr>
          <w:sz w:val="20"/>
          <w:szCs w:val="20"/>
          <w:color w:val="auto"/>
        </w:rPr>
      </w:pPr>
      <w:r>
        <w:rPr>
          <w:rFonts w:ascii="Arial" w:cs="Arial" w:eastAsia="Arial" w:hAnsi="Arial"/>
          <w:sz w:val="11"/>
          <w:szCs w:val="11"/>
          <w:color w:val="auto"/>
        </w:rPr>
        <w:t>In connection with the execution of the 2021 Zai Lab Agreement, Zai Lab paid us an upfront payment of $25.0 million. Additionally, as part of the consideration for the rights granted to Zai Lab under the 2021 Zai Lab Agreement, we and Zai Lab entered into a separate stock purchase agreement (Stock Purchase Agreement) whereby Zai Lab paid us approximately $30.0 million to purchase 958,467 newly issued shares of our common stock, par value $0.01, at a fixed price of $31.30 (Offering) which represented a $10.4 million premium over the share price on the Stock Purchase Agreement date. The Offering closed in July 2021.</w:t>
      </w:r>
    </w:p>
    <w:p>
      <w:pPr>
        <w:spacing w:after="0" w:line="69" w:lineRule="exact"/>
        <w:rPr>
          <w:sz w:val="20"/>
          <w:szCs w:val="20"/>
          <w:color w:val="auto"/>
        </w:rPr>
      </w:pPr>
    </w:p>
    <w:p>
      <w:pPr>
        <w:ind w:left="660" w:right="20"/>
        <w:spacing w:after="0" w:line="263" w:lineRule="auto"/>
        <w:rPr>
          <w:sz w:val="20"/>
          <w:szCs w:val="20"/>
          <w:color w:val="auto"/>
        </w:rPr>
      </w:pPr>
      <w:r>
        <w:rPr>
          <w:rFonts w:ascii="Arial" w:cs="Arial" w:eastAsia="Arial" w:hAnsi="Arial"/>
          <w:sz w:val="12"/>
          <w:szCs w:val="12"/>
          <w:color w:val="auto"/>
        </w:rPr>
        <w:t>Assuming successful development and commercialization of the Programs under the 2021 Zai Lab Agreement, we could receive up to $1.4 billion in development, regulatory and commercial milestones. In addition, Zai Lab would pay us tiered royalties at percentage rates of low double digit teens on annual net sales of certain specified products and of mid-single digits to low double digit teens on annual net sales of other specified products in Zai's territory, subject to specified royalty reduction pursuant to the 2021 Zai Lab Agreement. Per the terms of the 2021 Zai Lab Agreement, we may also receive reimbursements from Zai Lab for certain research and development costs incurred by us.</w:t>
      </w:r>
    </w:p>
    <w:p>
      <w:pPr>
        <w:spacing w:after="0" w:line="90" w:lineRule="exact"/>
        <w:rPr>
          <w:sz w:val="20"/>
          <w:szCs w:val="20"/>
          <w:color w:val="auto"/>
        </w:rPr>
      </w:pPr>
    </w:p>
    <w:p>
      <w:pPr>
        <w:ind w:left="660" w:right="20" w:hanging="228"/>
        <w:spacing w:after="0" w:line="268" w:lineRule="auto"/>
        <w:tabs>
          <w:tab w:leader="none" w:pos="657" w:val="left"/>
        </w:tabs>
        <w:numPr>
          <w:ilvl w:val="0"/>
          <w:numId w:val="9"/>
        </w:numPr>
        <w:rPr>
          <w:rFonts w:ascii="Arial" w:cs="Arial" w:eastAsia="Arial" w:hAnsi="Arial"/>
          <w:sz w:val="12"/>
          <w:szCs w:val="12"/>
          <w:b w:val="1"/>
          <w:bCs w:val="1"/>
          <w:i w:val="1"/>
          <w:iCs w:val="1"/>
          <w:color w:val="252525"/>
        </w:rPr>
      </w:pPr>
      <w:r>
        <w:rPr>
          <w:rFonts w:ascii="Arial" w:cs="Arial" w:eastAsia="Arial" w:hAnsi="Arial"/>
          <w:sz w:val="12"/>
          <w:szCs w:val="12"/>
          <w:i w:val="1"/>
          <w:iCs w:val="1"/>
          <w:color w:val="auto"/>
        </w:rPr>
        <w:t xml:space="preserve">I-Mab Biopharma. </w:t>
      </w:r>
      <w:r>
        <w:rPr>
          <w:rFonts w:ascii="Arial" w:cs="Arial" w:eastAsia="Arial" w:hAnsi="Arial"/>
          <w:sz w:val="12"/>
          <w:szCs w:val="12"/>
          <w:color w:val="auto"/>
        </w:rPr>
        <w:t>In 2019, we entered into a collaboration and license agreement with I-Mab Biopharma (I-Mab) to develop and commercialize enoblituzumab, an immune-optimized, anti-B7-H3 monoclonal antibody</w:t>
      </w:r>
      <w:r>
        <w:rPr>
          <w:rFonts w:ascii="Arial" w:cs="Arial" w:eastAsia="Arial" w:hAnsi="Arial"/>
          <w:sz w:val="12"/>
          <w:szCs w:val="12"/>
          <w:i w:val="1"/>
          <w:iCs w:val="1"/>
          <w:color w:val="auto"/>
        </w:rPr>
        <w:t xml:space="preserve"> </w:t>
      </w:r>
      <w:r>
        <w:rPr>
          <w:rFonts w:ascii="Arial" w:cs="Arial" w:eastAsia="Arial" w:hAnsi="Arial"/>
          <w:sz w:val="12"/>
          <w:szCs w:val="12"/>
          <w:color w:val="auto"/>
        </w:rPr>
        <w:t>that incorporates our proprietary Fc Optimization technology platform (I-Mab Agreement). I-Mab obtained regional development and commercialization rights in mainland China, Hong Kong, Macau and Taiwan (I-Mab's territory), will lead clinical development of enoblituzumab in its territories, and will participate in global studies conducted by us.</w:t>
      </w:r>
    </w:p>
    <w:p>
      <w:pPr>
        <w:spacing w:after="0" w:line="122" w:lineRule="exact"/>
        <w:rPr>
          <w:rFonts w:ascii="Arial" w:cs="Arial" w:eastAsia="Arial" w:hAnsi="Arial"/>
          <w:sz w:val="12"/>
          <w:szCs w:val="12"/>
          <w:b w:val="1"/>
          <w:bCs w:val="1"/>
          <w:i w:val="1"/>
          <w:iCs w:val="1"/>
          <w:color w:val="252525"/>
        </w:rPr>
      </w:pPr>
    </w:p>
    <w:p>
      <w:pPr>
        <w:ind w:left="660" w:right="200"/>
        <w:spacing w:after="0" w:line="268" w:lineRule="auto"/>
        <w:rPr>
          <w:rFonts w:ascii="Arial" w:cs="Arial" w:eastAsia="Arial" w:hAnsi="Arial"/>
          <w:sz w:val="12"/>
          <w:szCs w:val="12"/>
          <w:b w:val="1"/>
          <w:bCs w:val="1"/>
          <w:i w:val="1"/>
          <w:iCs w:val="1"/>
          <w:color w:val="252525"/>
        </w:rPr>
      </w:pPr>
      <w:r>
        <w:rPr>
          <w:rFonts w:ascii="Arial" w:cs="Arial" w:eastAsia="Arial" w:hAnsi="Arial"/>
          <w:sz w:val="12"/>
          <w:szCs w:val="12"/>
          <w:color w:val="auto"/>
        </w:rPr>
        <w:t xml:space="preserve">Under the terms of the agreement, I-Mab paid us an upfront payment of $15.0 million. Assuming successful development and commercialization of enoblituzumab, we could receive up to $135.0 million in development and regulatory milestones of which $5.0 million has been earned from the inception of the I-Mab Agreement through </w:t>
      </w:r>
      <w:r>
        <w:rPr>
          <w:rFonts w:ascii="Arial" w:cs="Arial" w:eastAsia="Arial" w:hAnsi="Arial"/>
          <w:sz w:val="12"/>
          <w:szCs w:val="12"/>
          <w:color w:val="252525"/>
        </w:rPr>
        <w:t>September 30, 2021</w:t>
      </w:r>
      <w:r>
        <w:rPr>
          <w:rFonts w:ascii="Arial" w:cs="Arial" w:eastAsia="Arial" w:hAnsi="Arial"/>
          <w:sz w:val="12"/>
          <w:szCs w:val="12"/>
          <w:color w:val="auto"/>
        </w:rPr>
        <w:t>. In addition, I-Mab would pay us tiered royalties ranging from mid-teens to 20% on annual net sales in its territories.</w:t>
      </w:r>
    </w:p>
    <w:p>
      <w:pPr>
        <w:spacing w:after="0" w:line="85" w:lineRule="exact"/>
        <w:rPr>
          <w:rFonts w:ascii="Arial" w:cs="Arial" w:eastAsia="Arial" w:hAnsi="Arial"/>
          <w:sz w:val="12"/>
          <w:szCs w:val="12"/>
          <w:b w:val="1"/>
          <w:bCs w:val="1"/>
          <w:i w:val="1"/>
          <w:iCs w:val="1"/>
          <w:color w:val="252525"/>
        </w:rPr>
      </w:pPr>
    </w:p>
    <w:p>
      <w:pPr>
        <w:ind w:left="660" w:right="120" w:hanging="228"/>
        <w:spacing w:after="0" w:line="303" w:lineRule="auto"/>
        <w:tabs>
          <w:tab w:leader="none" w:pos="657" w:val="left"/>
        </w:tabs>
        <w:numPr>
          <w:ilvl w:val="0"/>
          <w:numId w:val="9"/>
        </w:numPr>
        <w:rPr>
          <w:rFonts w:ascii="Arial" w:cs="Arial" w:eastAsia="Arial" w:hAnsi="Arial"/>
          <w:sz w:val="11"/>
          <w:szCs w:val="11"/>
          <w:color w:val="auto"/>
        </w:rPr>
      </w:pPr>
      <w:r>
        <w:rPr>
          <w:rFonts w:ascii="Arial" w:cs="Arial" w:eastAsia="Arial" w:hAnsi="Arial"/>
          <w:sz w:val="11"/>
          <w:szCs w:val="11"/>
          <w:i w:val="1"/>
          <w:iCs w:val="1"/>
          <w:color w:val="auto"/>
        </w:rPr>
        <w:t xml:space="preserve">Janssen. </w:t>
      </w:r>
      <w:r>
        <w:rPr>
          <w:rFonts w:ascii="Arial" w:cs="Arial" w:eastAsia="Arial" w:hAnsi="Arial"/>
          <w:sz w:val="11"/>
          <w:szCs w:val="11"/>
          <w:color w:val="auto"/>
        </w:rPr>
        <w:t>In December 2020, we entered into a research collaboration and global license agreement to develop a preclinical bispecific molecule with Janssen Biotech, Inc. (Janssen). The research collaboration will</w:t>
      </w:r>
      <w:r>
        <w:rPr>
          <w:rFonts w:ascii="Arial" w:cs="Arial" w:eastAsia="Arial" w:hAnsi="Arial"/>
          <w:sz w:val="11"/>
          <w:szCs w:val="11"/>
          <w:i w:val="1"/>
          <w:iCs w:val="1"/>
          <w:color w:val="auto"/>
        </w:rPr>
        <w:t xml:space="preserve"> </w:t>
      </w:r>
      <w:r>
        <w:rPr>
          <w:rFonts w:ascii="Arial" w:cs="Arial" w:eastAsia="Arial" w:hAnsi="Arial"/>
          <w:sz w:val="11"/>
          <w:szCs w:val="11"/>
          <w:color w:val="auto"/>
        </w:rPr>
        <w:t>incorporate our proprietary DART platform to enable simultaneous targeting of two undisclosed targets in a therapeutic area outside oncology. Under the terms of the agreement, Janssen paid us an upfront payment of $20.0 million and will be responsible for funding all expenses. We will also be eligible to receive up to $312.0 million in potential milestone payments and tiered royalties of up to 10% on worldwide product sales.</w:t>
      </w: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Significant Judgments and Estimates</w:t>
      </w:r>
    </w:p>
    <w:p>
      <w:pPr>
        <w:spacing w:after="0" w:line="122" w:lineRule="exact"/>
        <w:rPr>
          <w:sz w:val="20"/>
          <w:szCs w:val="20"/>
          <w:color w:val="auto"/>
        </w:rPr>
      </w:pPr>
    </w:p>
    <w:p>
      <w:pPr>
        <w:ind w:right="20" w:firstLine="475"/>
        <w:spacing w:after="0" w:line="268" w:lineRule="auto"/>
        <w:rPr>
          <w:sz w:val="20"/>
          <w:szCs w:val="20"/>
          <w:color w:val="auto"/>
        </w:rPr>
      </w:pPr>
      <w:r>
        <w:rPr>
          <w:rFonts w:ascii="Arial" w:cs="Arial" w:eastAsia="Arial" w:hAnsi="Arial"/>
          <w:sz w:val="12"/>
          <w:szCs w:val="12"/>
          <w:color w:val="auto"/>
        </w:rPr>
        <w:t>Our critical accounting policies are those policies which require the most significant judgments and estimates in the preparation of our consolidated financial statements. Except as described below with respect to revenue recognition for product revenue and inventory, during the nine months ended September 30, 2021, there have been no material changes with respect to our critical accounting policies disclosed in Part II, Item 7, of our Annual Report on Form 10-K for the year ended December 31, 2020.</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679" w:right="299" w:bottom="1440" w:gutter="0" w:footer="0" w:header="0"/>
        </w:sectPr>
      </w:pPr>
    </w:p>
    <w:bookmarkStart w:id="25" w:name="page26"/>
    <w:bookmarkEnd w:id="25"/>
    <w:p>
      <w:pPr>
        <w:spacing w:after="0"/>
        <w:rPr>
          <w:sz w:val="20"/>
          <w:szCs w:val="20"/>
          <w:color w:val="auto"/>
        </w:rPr>
      </w:pPr>
      <w:r>
        <w:rPr>
          <w:rFonts w:ascii="Arial" w:cs="Arial" w:eastAsia="Arial" w:hAnsi="Arial"/>
          <w:sz w:val="12"/>
          <w:szCs w:val="12"/>
          <w:i w:val="1"/>
          <w:iCs w:val="1"/>
          <w:color w:val="auto"/>
        </w:rPr>
        <w:t>Inventory</w:t>
      </w:r>
    </w:p>
    <w:p>
      <w:pPr>
        <w:spacing w:after="0" w:line="118" w:lineRule="exact"/>
        <w:rPr>
          <w:sz w:val="20"/>
          <w:szCs w:val="20"/>
          <w:color w:val="auto"/>
        </w:rPr>
      </w:pPr>
    </w:p>
    <w:p>
      <w:pPr>
        <w:ind w:right="200" w:firstLine="439"/>
        <w:spacing w:after="0" w:line="295" w:lineRule="auto"/>
        <w:rPr>
          <w:sz w:val="20"/>
          <w:szCs w:val="20"/>
          <w:color w:val="auto"/>
        </w:rPr>
      </w:pPr>
      <w:r>
        <w:rPr>
          <w:rFonts w:ascii="Arial" w:cs="Arial" w:eastAsia="Arial" w:hAnsi="Arial"/>
          <w:sz w:val="11"/>
          <w:szCs w:val="11"/>
          <w:color w:val="auto"/>
        </w:rPr>
        <w:t>When we believe regulatory approval is probable and expect future economic benefit from the sales of a product candidate to be realized,we capitalize manufacturing costs (whether internally produced or through third-party contract manufacturing organizations) as inventory. Prior to receiving our first approval from the FDA in December 2020, we expensed all costs incurred related to the manufacture of MARGENZA as research and development expense because of the inherent risks associated with the development of a product candidate, the uncertainty about the regulatory approval process and the lack of history for us of regulatory approval of drug candidates. Subsequent to FDA approval in December 2020, we began capitalizing our third-party contract manufacturing MARGENZA inventory costs.</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Product Revenue, Net</w:t>
      </w:r>
    </w:p>
    <w:p>
      <w:pPr>
        <w:spacing w:after="0" w:line="118" w:lineRule="exact"/>
        <w:rPr>
          <w:sz w:val="20"/>
          <w:szCs w:val="20"/>
          <w:color w:val="auto"/>
        </w:rPr>
      </w:pPr>
    </w:p>
    <w:p>
      <w:pPr>
        <w:ind w:right="20" w:firstLine="439"/>
        <w:spacing w:after="0" w:line="261" w:lineRule="auto"/>
        <w:rPr>
          <w:sz w:val="20"/>
          <w:szCs w:val="20"/>
          <w:color w:val="auto"/>
        </w:rPr>
      </w:pPr>
      <w:r>
        <w:rPr>
          <w:rFonts w:ascii="Arial" w:cs="Arial" w:eastAsia="Arial" w:hAnsi="Arial"/>
          <w:sz w:val="12"/>
          <w:szCs w:val="12"/>
          <w:color w:val="auto"/>
        </w:rPr>
        <w:t xml:space="preserve">We entered into a limited number of arrangements with specialty distributors in the United States to distribute MARGENZA. These arrangements are considered to be contracts with customers and are in the scope of Accounting Standards Codification Topic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(ASC 606). We have written contracts with each of our customers that have a single performance obligation - to deliver products upon receipt of a customer order - and these obligations are satisfied when delivery occurs and the customer receives the product. The specialty distributors subsequently resell our product to healthcare providers. Product revenue is recorded net of applicable reserves for variable consideration, including discounts and allowances. Shipping and handling costs for product shipments occur prior to the customer obtaining control of the goods and are recorded in cost of sales. For the three and nine months ended September 30, 2021, the shipping costs incurred to ship the product were immaterial.</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Reserves for Variable Consideration</w:t>
      </w:r>
    </w:p>
    <w:p>
      <w:pPr>
        <w:spacing w:after="0" w:line="118" w:lineRule="exact"/>
        <w:rPr>
          <w:sz w:val="20"/>
          <w:szCs w:val="20"/>
          <w:color w:val="auto"/>
        </w:rPr>
      </w:pPr>
    </w:p>
    <w:p>
      <w:pPr>
        <w:ind w:firstLine="439"/>
        <w:spacing w:after="0" w:line="261" w:lineRule="auto"/>
        <w:rPr>
          <w:sz w:val="20"/>
          <w:szCs w:val="20"/>
          <w:color w:val="auto"/>
        </w:rPr>
      </w:pPr>
      <w:r>
        <w:rPr>
          <w:rFonts w:ascii="Arial" w:cs="Arial" w:eastAsia="Arial" w:hAnsi="Arial"/>
          <w:sz w:val="12"/>
          <w:szCs w:val="12"/>
          <w:color w:val="auto"/>
        </w:rPr>
        <w:t>Revenue from product sales is recorded at the net sales price, which includes estimates of variable consideration. Components of variable consideration typically include discounts, product returns, provider chargebacks and discounts and government rebates. Variable consideration is estimated following the expected value method in accordance with ASC 606 and includes such factors as current contractual and statutory requirements, specific known market events and trends, industry data, and forecasted customer buying and payment patterns. 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Estimates of the variable consideration were not deemed constrained during nine months ended September 30, 2021.</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2"/>
          <w:szCs w:val="12"/>
          <w:i w:val="1"/>
          <w:iCs w:val="1"/>
          <w:color w:val="auto"/>
        </w:rPr>
        <w:t>Customer Discounts and Service Fees</w:t>
      </w:r>
    </w:p>
    <w:p>
      <w:pPr>
        <w:spacing w:after="0" w:line="118" w:lineRule="exact"/>
        <w:rPr>
          <w:sz w:val="20"/>
          <w:szCs w:val="20"/>
          <w:color w:val="auto"/>
        </w:rPr>
      </w:pPr>
    </w:p>
    <w:p>
      <w:pPr>
        <w:ind w:right="20" w:firstLine="439"/>
        <w:spacing w:after="0" w:line="263" w:lineRule="auto"/>
        <w:rPr>
          <w:sz w:val="20"/>
          <w:szCs w:val="20"/>
          <w:color w:val="auto"/>
        </w:rPr>
      </w:pPr>
      <w:r>
        <w:rPr>
          <w:rFonts w:ascii="Arial" w:cs="Arial" w:eastAsia="Arial" w:hAnsi="Arial"/>
          <w:sz w:val="12"/>
          <w:szCs w:val="12"/>
          <w:color w:val="auto"/>
        </w:rPr>
        <w:t>We may provide customers with discounts which are explicitly stated in our contracts. These discounts are recorded as a reduction of revenue in the period the related product revenue is recognized. In addition, these contracts may include written service arrangements whereby we pay fees to customers who provide services such as sales order management, data, contract administration and distribution services, at rates which we believe to be consistent with fair market value. We have determined such services received to date are not distinct from the sale of products to our customers and, therefore, these payments have been recorded as a reduction of revenue within the statement of operations.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2"/>
          <w:szCs w:val="12"/>
          <w:i w:val="1"/>
          <w:iCs w:val="1"/>
          <w:color w:val="auto"/>
        </w:rPr>
        <w:t>Product Returns</w:t>
      </w:r>
    </w:p>
    <w:p>
      <w:pPr>
        <w:spacing w:after="0" w:line="118" w:lineRule="exact"/>
        <w:rPr>
          <w:sz w:val="20"/>
          <w:szCs w:val="20"/>
          <w:color w:val="auto"/>
        </w:rPr>
      </w:pPr>
    </w:p>
    <w:p>
      <w:pPr>
        <w:ind w:right="160" w:firstLine="439"/>
        <w:spacing w:after="0" w:line="263" w:lineRule="auto"/>
        <w:rPr>
          <w:sz w:val="20"/>
          <w:szCs w:val="20"/>
          <w:color w:val="auto"/>
        </w:rPr>
      </w:pPr>
      <w:r>
        <w:rPr>
          <w:rFonts w:ascii="Arial" w:cs="Arial" w:eastAsia="Arial" w:hAnsi="Arial"/>
          <w:sz w:val="12"/>
          <w:szCs w:val="12"/>
          <w:color w:val="auto"/>
        </w:rPr>
        <w:t>Consistent with industry practice, we offer the specialty distributors product return rights pursuant to written contracts and/or our returned goods policies. We estimate the amount of product sales that may be returned by our customers and record an estimated liability and a reduction of revenue in the period the related product revenue is recognized. We currently estimate product returns using industry benchmarking as well as other information available, such as visibility into the inventory remaining in the distribution channel, since we do not have our own returns experience. Our estimates of product returns may be adjusted in the future based on actual returns experience, known or expected changes in the marketplace, or other factors.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2"/>
          <w:szCs w:val="12"/>
          <w:i w:val="1"/>
          <w:iCs w:val="1"/>
          <w:color w:val="auto"/>
        </w:rPr>
        <w:t>Provider Chargebacks and Discounts</w:t>
      </w:r>
    </w:p>
    <w:p>
      <w:pPr>
        <w:spacing w:after="0" w:line="118" w:lineRule="exact"/>
        <w:rPr>
          <w:sz w:val="20"/>
          <w:szCs w:val="20"/>
          <w:color w:val="auto"/>
        </w:rPr>
      </w:pPr>
    </w:p>
    <w:p>
      <w:pPr>
        <w:jc w:val="both"/>
        <w:ind w:right="160" w:firstLine="439"/>
        <w:spacing w:after="0" w:line="295" w:lineRule="auto"/>
        <w:rPr>
          <w:sz w:val="20"/>
          <w:szCs w:val="20"/>
          <w:color w:val="auto"/>
        </w:rPr>
      </w:pPr>
      <w:r>
        <w:rPr>
          <w:rFonts w:ascii="Arial" w:cs="Arial" w:eastAsia="Arial" w:hAnsi="Arial"/>
          <w:sz w:val="11"/>
          <w:szCs w:val="11"/>
          <w:color w:val="auto"/>
        </w:rPr>
        <w:t>Chargebacks for fees and discounts to healthcare providers represent the estimated obligations resulting from contractual commitments to sell products to qualified healthcare providers at prices lower than the list prices charged to our customers who directly purchase the product from us. In such cases, customers charge us for the difference between what they pay for the product and the ultimate selling price to the qualified healthcare providers. The reserve for chargebacks is established in the same period that the related revenue is recognized, resulting in a reduction of product revenue. Chargeback amounts are generally determined at the time of resale to the qualified healthcare provider by customers, and we generally issue credits for such amounts within a few weeks of the customer’s notification to us of the resale. Chargebacks consist of credits we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60"/>
          </w:cols>
          <w:pgMar w:left="300" w:top="788" w:right="339" w:bottom="1440" w:gutter="0" w:footer="0" w:header="0"/>
        </w:sectPr>
      </w:pPr>
    </w:p>
    <w:bookmarkStart w:id="26" w:name="page27"/>
    <w:bookmarkEnd w:id="26"/>
    <w:p>
      <w:pPr>
        <w:ind w:right="160"/>
        <w:spacing w:after="0" w:line="282" w:lineRule="auto"/>
        <w:rPr>
          <w:sz w:val="20"/>
          <w:szCs w:val="20"/>
          <w:color w:val="auto"/>
        </w:rPr>
      </w:pPr>
      <w:r>
        <w:rPr>
          <w:rFonts w:ascii="Arial" w:cs="Arial" w:eastAsia="Arial" w:hAnsi="Arial"/>
          <w:sz w:val="12"/>
          <w:szCs w:val="12"/>
          <w:color w:val="auto"/>
        </w:rPr>
        <w:t>expect to issue for units that remain in the distribution channel at each reporting period end that we expect will be sold to qualified healthcare providers and chargebacks that customers have claimed, but for which we have not yet issued a credit.</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2"/>
          <w:szCs w:val="12"/>
          <w:i w:val="1"/>
          <w:iCs w:val="1"/>
          <w:color w:val="auto"/>
        </w:rPr>
        <w:t>Government Rebates</w:t>
      </w:r>
    </w:p>
    <w:p>
      <w:pPr>
        <w:spacing w:after="0" w:line="118" w:lineRule="exact"/>
        <w:rPr>
          <w:sz w:val="20"/>
          <w:szCs w:val="20"/>
          <w:color w:val="auto"/>
        </w:rPr>
      </w:pPr>
    </w:p>
    <w:p>
      <w:pPr>
        <w:ind w:right="40" w:firstLine="439"/>
        <w:spacing w:after="0" w:line="263" w:lineRule="auto"/>
        <w:rPr>
          <w:sz w:val="20"/>
          <w:szCs w:val="20"/>
          <w:color w:val="auto"/>
        </w:rPr>
      </w:pPr>
      <w:r>
        <w:rPr>
          <w:rFonts w:ascii="Arial" w:cs="Arial" w:eastAsia="Arial" w:hAnsi="Arial"/>
          <w:sz w:val="12"/>
          <w:szCs w:val="12"/>
          <w:color w:val="auto"/>
        </w:rPr>
        <w:t>We are subject to discount and/or rebate obligations under state Medicaid programs, Medicare and contractual agreements with and statutory obligations to certain Federal and State entities. These reserves are recorded in the same period the related revenue is recognized, resulting in a reduction of product revenue. Our liability for these rebates consists of invoices received for claims from prior quarters that have not been paid or for which an invoice has not yet been received, estimates of claims for the current quarter, and estimates of future claims that will be made for product that has been recognized as revenue, but which remains in the distribution channel at the end of each reporting period.</w:t>
      </w:r>
    </w:p>
    <w:p>
      <w:pPr>
        <w:spacing w:after="0" w:line="90" w:lineRule="exact"/>
        <w:rPr>
          <w:sz w:val="20"/>
          <w:szCs w:val="20"/>
          <w:color w:val="auto"/>
        </w:rPr>
      </w:pPr>
    </w:p>
    <w:p>
      <w:pPr>
        <w:ind w:right="60" w:firstLine="439"/>
        <w:spacing w:after="0" w:line="267" w:lineRule="auto"/>
        <w:rPr>
          <w:sz w:val="20"/>
          <w:szCs w:val="20"/>
          <w:color w:val="auto"/>
        </w:rPr>
      </w:pPr>
      <w:r>
        <w:rPr>
          <w:rFonts w:ascii="Arial" w:cs="Arial" w:eastAsia="Arial" w:hAnsi="Arial"/>
          <w:sz w:val="12"/>
          <w:szCs w:val="12"/>
          <w:color w:val="auto"/>
        </w:rPr>
        <w:t>Customer discounts are recorded as reductions of accounts receivable on the consolidated balance sheets. Allowance for product returns, provider chargebacks, government and other rebates and service fees are recorded as a component of accrued expenses and other current liabilities on the consolidated balance sheets.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Cost of product sales</w:t>
      </w:r>
    </w:p>
    <w:p>
      <w:pPr>
        <w:spacing w:after="0" w:line="109" w:lineRule="exact"/>
        <w:rPr>
          <w:sz w:val="20"/>
          <w:szCs w:val="20"/>
          <w:color w:val="auto"/>
        </w:rPr>
      </w:pPr>
    </w:p>
    <w:p>
      <w:pPr>
        <w:ind w:right="60" w:firstLine="439"/>
        <w:spacing w:after="0" w:line="252" w:lineRule="auto"/>
        <w:rPr>
          <w:sz w:val="20"/>
          <w:szCs w:val="20"/>
          <w:color w:val="auto"/>
        </w:rPr>
      </w:pPr>
      <w:r>
        <w:rPr>
          <w:rFonts w:ascii="Arial" w:cs="Arial" w:eastAsia="Arial" w:hAnsi="Arial"/>
          <w:sz w:val="12"/>
          <w:szCs w:val="12"/>
          <w:color w:val="auto"/>
        </w:rPr>
        <w:t>Cost of product sales relates to sales of MARGENZA. These costs include material, manufacturing and shipping costs, as well as royalties payable on net sales of MARGENZA. All product costs incurred prior to FDA approval of MARGENZA in December 2020 were expensed as research and development expense. We expect cost of product sales to continue to be positively impacted as we sell through inventory that was expensed prior to FDA approval of MARGENZA. We are currently unable to estimate how long it will be until we begin selling product manufactured post FDA approval.</w:t>
      </w:r>
    </w:p>
    <w:p>
      <w:pPr>
        <w:spacing w:after="0" w:line="3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following represents a comparison of our revenue for the three and nine months ended September 30, 2021 and 2020: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3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5"/>
          </w:tcPr>
          <w:p>
            <w:pPr>
              <w:ind w:left="100"/>
              <w:spacing w:after="0"/>
              <w:rPr>
                <w:sz w:val="20"/>
                <w:szCs w:val="20"/>
                <w:color w:val="auto"/>
              </w:rPr>
            </w:pPr>
            <w:r>
              <w:rPr>
                <w:rFonts w:ascii="Arial" w:cs="Arial" w:eastAsia="Arial" w:hAnsi="Arial"/>
                <w:sz w:val="10"/>
                <w:szCs w:val="10"/>
                <w:b w:val="1"/>
                <w:bCs w:val="1"/>
                <w:color w:val="auto"/>
              </w:rPr>
              <w:t>Three Months Ended September 30,</w:t>
            </w:r>
          </w:p>
        </w:tc>
        <w:tc>
          <w:tcPr>
            <w:tcW w:w="7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5"/>
          </w:tcPr>
          <w:p>
            <w:pPr>
              <w:ind w:left="120"/>
              <w:spacing w:after="0"/>
              <w:rPr>
                <w:sz w:val="20"/>
                <w:szCs w:val="20"/>
                <w:color w:val="auto"/>
              </w:rPr>
            </w:pPr>
            <w:r>
              <w:rPr>
                <w:rFonts w:ascii="Arial" w:cs="Arial" w:eastAsia="Arial" w:hAnsi="Arial"/>
                <w:sz w:val="10"/>
                <w:szCs w:val="10"/>
                <w:b w:val="1"/>
                <w:bCs w:val="1"/>
                <w:color w:val="auto"/>
              </w:rPr>
              <w:t>Nine Months Ended September 30,</w:t>
            </w:r>
          </w:p>
        </w:tc>
        <w:tc>
          <w:tcPr>
            <w:tcW w:w="7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30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Change</w:t>
            </w:r>
          </w:p>
        </w:tc>
        <w:tc>
          <w:tcPr>
            <w:tcW w:w="6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271"/>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b w:val="1"/>
                <w:bCs w:val="1"/>
                <w:color w:val="auto"/>
                <w:w w:val="87"/>
              </w:rPr>
              <w:t>Change</w:t>
            </w:r>
          </w:p>
        </w:tc>
        <w:tc>
          <w:tcPr>
            <w:tcW w:w="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80" w:type="dxa"/>
            <w:vAlign w:val="bottom"/>
            <w:gridSpan w:val="3"/>
          </w:tcPr>
          <w:p>
            <w:pPr>
              <w:jc w:val="right"/>
              <w:spacing w:after="0"/>
              <w:rPr>
                <w:sz w:val="20"/>
                <w:szCs w:val="20"/>
                <w:color w:val="auto"/>
              </w:rPr>
            </w:pPr>
            <w:r>
              <w:rPr>
                <w:rFonts w:ascii="Arial" w:cs="Arial" w:eastAsia="Arial" w:hAnsi="Arial"/>
                <w:sz w:val="10"/>
                <w:szCs w:val="10"/>
                <w:b w:val="1"/>
                <w:bCs w:val="1"/>
                <w:color w:val="auto"/>
              </w:rPr>
              <w:t>(dollars in millions)</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gridSpan w:val="3"/>
          </w:tcPr>
          <w:p>
            <w:pPr>
              <w:jc w:val="right"/>
              <w:spacing w:after="0"/>
              <w:rPr>
                <w:sz w:val="20"/>
                <w:szCs w:val="20"/>
                <w:color w:val="auto"/>
              </w:rPr>
            </w:pPr>
            <w:r>
              <w:rPr>
                <w:rFonts w:ascii="Arial" w:cs="Arial" w:eastAsia="Arial" w:hAnsi="Arial"/>
                <w:sz w:val="10"/>
                <w:szCs w:val="10"/>
                <w:b w:val="1"/>
                <w:bCs w:val="1"/>
                <w:color w:val="auto"/>
              </w:rPr>
              <w:t>(dollars in millions)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300" w:type="dxa"/>
            <w:vAlign w:val="bottom"/>
            <w:shd w:val="clear" w:color="auto" w:fill="CCEEFF"/>
          </w:tcPr>
          <w:p>
            <w:pPr>
              <w:ind w:left="440"/>
              <w:spacing w:after="0" w:line="96" w:lineRule="exact"/>
              <w:rPr>
                <w:sz w:val="20"/>
                <w:szCs w:val="20"/>
                <w:color w:val="auto"/>
              </w:rPr>
            </w:pPr>
            <w:r>
              <w:rPr>
                <w:rFonts w:ascii="Arial" w:cs="Arial" w:eastAsia="Arial" w:hAnsi="Arial"/>
                <w:sz w:val="10"/>
                <w:szCs w:val="10"/>
                <w:color w:val="auto"/>
              </w:rPr>
              <w:t>Revenue from</w:t>
            </w:r>
          </w:p>
        </w:tc>
        <w:tc>
          <w:tcPr>
            <w:tcW w:w="6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30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collaborative and other</w:t>
            </w:r>
          </w:p>
        </w:tc>
        <w:tc>
          <w:tcPr>
            <w:tcW w:w="620" w:type="dxa"/>
            <w:vAlign w:val="bottom"/>
            <w:vMerge w:val="restart"/>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12.0</w:t>
            </w:r>
          </w:p>
        </w:tc>
        <w:tc>
          <w:tcPr>
            <w:tcW w:w="8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17.4</w:t>
            </w:r>
          </w:p>
        </w:tc>
        <w:tc>
          <w:tcPr>
            <w:tcW w:w="10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CEEFF"/>
          </w:tcPr>
          <w:p>
            <w:pPr>
              <w:jc w:val="center"/>
              <w:ind w:left="271"/>
              <w:spacing w:after="0"/>
              <w:rPr>
                <w:sz w:val="20"/>
                <w:szCs w:val="20"/>
                <w:color w:val="auto"/>
              </w:rPr>
            </w:pPr>
            <w:r>
              <w:rPr>
                <w:rFonts w:ascii="Arial" w:cs="Arial" w:eastAsia="Arial" w:hAnsi="Arial"/>
                <w:sz w:val="10"/>
                <w:szCs w:val="10"/>
                <w:color w:val="auto"/>
                <w:w w:val="97"/>
              </w:rPr>
              <w:t>(5.4)</w:t>
            </w:r>
          </w:p>
        </w:tc>
        <w:tc>
          <w:tcPr>
            <w:tcW w:w="60" w:type="dxa"/>
            <w:vAlign w:val="bottom"/>
            <w:shd w:val="clear" w:color="auto" w:fill="CCEEFF"/>
          </w:tcPr>
          <w:p>
            <w:pPr>
              <w:spacing w:after="0"/>
              <w:rPr>
                <w:sz w:val="7"/>
                <w:szCs w:val="7"/>
                <w:color w:val="auto"/>
              </w:rPr>
            </w:pPr>
          </w:p>
        </w:tc>
        <w:tc>
          <w:tcPr>
            <w:tcW w:w="72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(31)</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54.3</w:t>
            </w:r>
          </w:p>
        </w:tc>
        <w:tc>
          <w:tcPr>
            <w:tcW w:w="8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46.0</w:t>
            </w:r>
          </w:p>
        </w:tc>
        <w:tc>
          <w:tcPr>
            <w:tcW w:w="8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8.3</w:t>
            </w:r>
          </w:p>
        </w:tc>
        <w:tc>
          <w:tcPr>
            <w:tcW w:w="80" w:type="dxa"/>
            <w:vAlign w:val="bottom"/>
            <w:shd w:val="clear" w:color="auto" w:fill="CCEEFF"/>
          </w:tcPr>
          <w:p>
            <w:pPr>
              <w:spacing w:after="0"/>
              <w:rPr>
                <w:sz w:val="7"/>
                <w:szCs w:val="7"/>
                <w:color w:val="auto"/>
              </w:rPr>
            </w:pPr>
          </w:p>
        </w:tc>
        <w:tc>
          <w:tcPr>
            <w:tcW w:w="700" w:type="dxa"/>
            <w:vAlign w:val="bottom"/>
            <w:vMerge w:val="restart"/>
            <w:shd w:val="clear" w:color="auto" w:fill="CCEEFF"/>
          </w:tcPr>
          <w:p>
            <w:pPr>
              <w:jc w:val="center"/>
              <w:ind w:left="391"/>
              <w:spacing w:after="0"/>
              <w:rPr>
                <w:sz w:val="20"/>
                <w:szCs w:val="20"/>
                <w:color w:val="auto"/>
              </w:rPr>
            </w:pPr>
            <w:r>
              <w:rPr>
                <w:rFonts w:ascii="Arial" w:cs="Arial" w:eastAsia="Arial" w:hAnsi="Arial"/>
                <w:sz w:val="10"/>
                <w:szCs w:val="10"/>
                <w:color w:val="auto"/>
                <w:w w:val="89"/>
              </w:rPr>
              <w:t>18</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8"/>
        </w:trPr>
        <w:tc>
          <w:tcPr>
            <w:tcW w:w="1300" w:type="dxa"/>
            <w:vAlign w:val="bottom"/>
            <w:shd w:val="clear" w:color="auto" w:fill="CCEEFF"/>
          </w:tcPr>
          <w:p>
            <w:pPr>
              <w:spacing w:after="0"/>
              <w:rPr>
                <w:sz w:val="20"/>
                <w:szCs w:val="20"/>
                <w:color w:val="auto"/>
              </w:rPr>
            </w:pPr>
            <w:r>
              <w:rPr>
                <w:rFonts w:ascii="Arial" w:cs="Arial" w:eastAsia="Arial" w:hAnsi="Arial"/>
                <w:sz w:val="10"/>
                <w:szCs w:val="10"/>
                <w:color w:val="auto"/>
              </w:rPr>
              <w:t>agreements</w:t>
            </w:r>
          </w:p>
        </w:tc>
        <w:tc>
          <w:tcPr>
            <w:tcW w:w="620" w:type="dxa"/>
            <w:vAlign w:val="bottom"/>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300" w:type="dxa"/>
            <w:vAlign w:val="bottom"/>
          </w:tcPr>
          <w:p>
            <w:pPr>
              <w:ind w:left="440"/>
              <w:spacing w:after="0"/>
              <w:rPr>
                <w:sz w:val="20"/>
                <w:szCs w:val="20"/>
                <w:color w:val="auto"/>
              </w:rPr>
            </w:pPr>
            <w:r>
              <w:rPr>
                <w:rFonts w:ascii="Arial" w:cs="Arial" w:eastAsia="Arial" w:hAnsi="Arial"/>
                <w:sz w:val="10"/>
                <w:szCs w:val="10"/>
                <w:color w:val="auto"/>
                <w:w w:val="90"/>
              </w:rPr>
              <w:t>Product revenue, net</w:t>
            </w:r>
          </w:p>
        </w:tc>
        <w:tc>
          <w:tcPr>
            <w:tcW w:w="6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3.6</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tcPr>
          <w:p>
            <w:pPr>
              <w:spacing w:after="0"/>
              <w:rPr>
                <w:sz w:val="10"/>
                <w:szCs w:val="10"/>
                <w:color w:val="auto"/>
              </w:rPr>
            </w:pPr>
          </w:p>
        </w:tc>
        <w:tc>
          <w:tcPr>
            <w:tcW w:w="560" w:type="dxa"/>
            <w:vAlign w:val="bottom"/>
          </w:tcPr>
          <w:p>
            <w:pPr>
              <w:jc w:val="center"/>
              <w:ind w:left="271"/>
              <w:spacing w:after="0"/>
              <w:rPr>
                <w:sz w:val="20"/>
                <w:szCs w:val="20"/>
                <w:color w:val="auto"/>
              </w:rPr>
            </w:pPr>
            <w:r>
              <w:rPr>
                <w:rFonts w:ascii="Arial" w:cs="Arial" w:eastAsia="Arial" w:hAnsi="Arial"/>
                <w:sz w:val="10"/>
                <w:szCs w:val="10"/>
                <w:color w:val="auto"/>
                <w:w w:val="85"/>
              </w:rPr>
              <w:t>3.6</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gridSpan w:val="2"/>
          </w:tcPr>
          <w:p>
            <w:pPr>
              <w:ind w:left="300"/>
              <w:spacing w:after="0"/>
              <w:rPr>
                <w:sz w:val="20"/>
                <w:szCs w:val="20"/>
                <w:color w:val="auto"/>
              </w:rPr>
            </w:pPr>
            <w:r>
              <w:rPr>
                <w:rFonts w:ascii="Arial" w:cs="Arial" w:eastAsia="Arial" w:hAnsi="Arial"/>
                <w:sz w:val="10"/>
                <w:szCs w:val="10"/>
                <w:color w:val="auto"/>
              </w:rPr>
              <w:t>N/A</w:t>
            </w:r>
          </w:p>
        </w:tc>
        <w:tc>
          <w:tcPr>
            <w:tcW w:w="6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7.7</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7.7</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N/A</w:t>
            </w:r>
          </w:p>
        </w:tc>
        <w:tc>
          <w:tcPr>
            <w:tcW w:w="0" w:type="dxa"/>
            <w:vAlign w:val="bottom"/>
          </w:tcPr>
          <w:p>
            <w:pPr>
              <w:spacing w:after="0"/>
              <w:rPr>
                <w:sz w:val="1"/>
                <w:szCs w:val="1"/>
                <w:color w:val="auto"/>
              </w:rPr>
            </w:pPr>
          </w:p>
        </w:tc>
      </w:tr>
      <w:tr>
        <w:trPr>
          <w:trHeight w:val="94"/>
        </w:trPr>
        <w:tc>
          <w:tcPr>
            <w:tcW w:w="1300" w:type="dxa"/>
            <w:vAlign w:val="bottom"/>
            <w:shd w:val="clear" w:color="auto" w:fill="CCEEFF"/>
          </w:tcPr>
          <w:p>
            <w:pPr>
              <w:ind w:left="440"/>
              <w:spacing w:after="0" w:line="94" w:lineRule="exact"/>
              <w:rPr>
                <w:sz w:val="20"/>
                <w:szCs w:val="20"/>
                <w:color w:val="auto"/>
              </w:rPr>
            </w:pPr>
            <w:r>
              <w:rPr>
                <w:rFonts w:ascii="Arial" w:cs="Arial" w:eastAsia="Arial" w:hAnsi="Arial"/>
                <w:sz w:val="10"/>
                <w:szCs w:val="10"/>
                <w:color w:val="auto"/>
              </w:rPr>
              <w:t>Revenue from</w:t>
            </w:r>
          </w:p>
        </w:tc>
        <w:tc>
          <w:tcPr>
            <w:tcW w:w="62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0.1</w:t>
            </w: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0.8</w:t>
            </w: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center"/>
              <w:ind w:left="271"/>
              <w:spacing w:after="0"/>
              <w:rPr>
                <w:sz w:val="20"/>
                <w:szCs w:val="20"/>
                <w:color w:val="auto"/>
              </w:rPr>
            </w:pPr>
            <w:r>
              <w:rPr>
                <w:rFonts w:ascii="Arial" w:cs="Arial" w:eastAsia="Arial" w:hAnsi="Arial"/>
                <w:sz w:val="10"/>
                <w:szCs w:val="10"/>
                <w:color w:val="auto"/>
                <w:w w:val="97"/>
              </w:rPr>
              <w:t>(0.7)</w:t>
            </w:r>
          </w:p>
        </w:tc>
        <w:tc>
          <w:tcPr>
            <w:tcW w:w="6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(88)</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1.3</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6.2</w:t>
            </w: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(4.9)</w:t>
            </w:r>
          </w:p>
        </w:tc>
        <w:tc>
          <w:tcPr>
            <w:tcW w:w="8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center"/>
              <w:ind w:left="371"/>
              <w:spacing w:after="0"/>
              <w:rPr>
                <w:sz w:val="20"/>
                <w:szCs w:val="20"/>
                <w:color w:val="auto"/>
              </w:rPr>
            </w:pPr>
            <w:r>
              <w:rPr>
                <w:rFonts w:ascii="Arial" w:cs="Arial" w:eastAsia="Arial" w:hAnsi="Arial"/>
                <w:sz w:val="10"/>
                <w:szCs w:val="10"/>
                <w:color w:val="auto"/>
                <w:w w:val="89"/>
              </w:rPr>
              <w:t>(79)</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5"/>
        </w:trPr>
        <w:tc>
          <w:tcPr>
            <w:tcW w:w="1300" w:type="dxa"/>
            <w:vAlign w:val="bottom"/>
            <w:shd w:val="clear" w:color="auto" w:fill="CCEEFF"/>
          </w:tcPr>
          <w:p>
            <w:pPr>
              <w:spacing w:after="0"/>
              <w:rPr>
                <w:sz w:val="20"/>
                <w:szCs w:val="20"/>
                <w:color w:val="auto"/>
              </w:rPr>
            </w:pPr>
            <w:r>
              <w:rPr>
                <w:rFonts w:ascii="Arial" w:cs="Arial" w:eastAsia="Arial" w:hAnsi="Arial"/>
                <w:sz w:val="10"/>
                <w:szCs w:val="10"/>
                <w:color w:val="auto"/>
              </w:rPr>
              <w:t>government agreements</w:t>
            </w:r>
          </w:p>
        </w:tc>
        <w:tc>
          <w:tcPr>
            <w:tcW w:w="62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tcBorders>
              <w:bottom w:val="single" w:sz="8" w:color="auto"/>
            </w:tcBorders>
            <w:vMerge w:val="continue"/>
            <w:shd w:val="clear" w:color="auto" w:fill="CCEEFF"/>
          </w:tcPr>
          <w:p>
            <w:pPr>
              <w:spacing w:after="0"/>
              <w:rPr>
                <w:sz w:val="10"/>
                <w:szCs w:val="10"/>
                <w:color w:val="auto"/>
              </w:rPr>
            </w:pPr>
          </w:p>
        </w:tc>
        <w:tc>
          <w:tcPr>
            <w:tcW w:w="48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tcBorders>
              <w:bottom w:val="single" w:sz="8" w:color="auto"/>
            </w:tcBorders>
            <w:vMerge w:val="continue"/>
            <w:shd w:val="clear" w:color="auto" w:fill="CCEEFF"/>
          </w:tcPr>
          <w:p>
            <w:pPr>
              <w:spacing w:after="0"/>
              <w:rPr>
                <w:sz w:val="10"/>
                <w:szCs w:val="10"/>
                <w:color w:val="auto"/>
              </w:rPr>
            </w:pPr>
          </w:p>
        </w:tc>
        <w:tc>
          <w:tcPr>
            <w:tcW w:w="50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300" w:type="dxa"/>
            <w:vAlign w:val="bottom"/>
          </w:tcPr>
          <w:p>
            <w:pPr>
              <w:ind w:left="440"/>
              <w:spacing w:after="0"/>
              <w:rPr>
                <w:sz w:val="20"/>
                <w:szCs w:val="20"/>
                <w:color w:val="auto"/>
              </w:rPr>
            </w:pPr>
            <w:r>
              <w:rPr>
                <w:rFonts w:ascii="Arial" w:cs="Arial" w:eastAsia="Arial" w:hAnsi="Arial"/>
                <w:sz w:val="10"/>
                <w:szCs w:val="10"/>
                <w:b w:val="1"/>
                <w:bCs w:val="1"/>
                <w:color w:val="auto"/>
              </w:rPr>
              <w:t>Total revenue</w:t>
            </w: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15.7</w:t>
            </w:r>
          </w:p>
        </w:tc>
        <w:tc>
          <w:tcPr>
            <w:tcW w:w="80" w:type="dxa"/>
            <w:vAlign w:val="bottom"/>
          </w:tcPr>
          <w:p>
            <w:pPr>
              <w:spacing w:after="0"/>
              <w:rPr>
                <w:sz w:val="10"/>
                <w:szCs w:val="10"/>
                <w:color w:val="auto"/>
              </w:rPr>
            </w:pP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18.2</w:t>
            </w:r>
          </w:p>
        </w:tc>
        <w:tc>
          <w:tcPr>
            <w:tcW w:w="100" w:type="dxa"/>
            <w:vAlign w:val="bottom"/>
          </w:tcPr>
          <w:p>
            <w:pPr>
              <w:spacing w:after="0"/>
              <w:rPr>
                <w:sz w:val="10"/>
                <w:szCs w:val="10"/>
                <w:color w:val="auto"/>
              </w:rPr>
            </w:pPr>
          </w:p>
        </w:tc>
        <w:tc>
          <w:tcPr>
            <w:tcW w:w="60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auto"/>
            </w:tcBorders>
          </w:tcPr>
          <w:p>
            <w:pPr>
              <w:jc w:val="center"/>
              <w:ind w:left="271"/>
              <w:spacing w:after="0"/>
              <w:rPr>
                <w:sz w:val="20"/>
                <w:szCs w:val="20"/>
                <w:color w:val="auto"/>
              </w:rPr>
            </w:pPr>
            <w:r>
              <w:rPr>
                <w:rFonts w:ascii="Arial" w:cs="Arial" w:eastAsia="Arial" w:hAnsi="Arial"/>
                <w:sz w:val="10"/>
                <w:szCs w:val="10"/>
                <w:b w:val="1"/>
                <w:bCs w:val="1"/>
                <w:color w:val="auto"/>
                <w:w w:val="97"/>
              </w:rPr>
              <w:t>(2.5)</w:t>
            </w:r>
          </w:p>
        </w:tc>
        <w:tc>
          <w:tcPr>
            <w:tcW w:w="60" w:type="dxa"/>
            <w:vAlign w:val="bottom"/>
          </w:tcPr>
          <w:p>
            <w:pPr>
              <w:spacing w:after="0"/>
              <w:rPr>
                <w:sz w:val="10"/>
                <w:szCs w:val="10"/>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(14)</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0"/>
                <w:szCs w:val="10"/>
                <w:color w:val="auto"/>
              </w:rPr>
            </w:pPr>
          </w:p>
        </w:tc>
        <w:tc>
          <w:tcPr>
            <w:tcW w:w="60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63.3</w:t>
            </w:r>
          </w:p>
        </w:tc>
        <w:tc>
          <w:tcPr>
            <w:tcW w:w="80" w:type="dxa"/>
            <w:vAlign w:val="bottom"/>
          </w:tcPr>
          <w:p>
            <w:pPr>
              <w:spacing w:after="0"/>
              <w:rPr>
                <w:sz w:val="10"/>
                <w:szCs w:val="10"/>
                <w:color w:val="auto"/>
              </w:rPr>
            </w:pPr>
          </w:p>
        </w:tc>
        <w:tc>
          <w:tcPr>
            <w:tcW w:w="60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52.2</w:t>
            </w:r>
          </w:p>
        </w:tc>
        <w:tc>
          <w:tcPr>
            <w:tcW w:w="80" w:type="dxa"/>
            <w:vAlign w:val="bottom"/>
          </w:tcPr>
          <w:p>
            <w:pPr>
              <w:spacing w:after="0"/>
              <w:rPr>
                <w:sz w:val="10"/>
                <w:szCs w:val="10"/>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11.1</w:t>
            </w:r>
          </w:p>
        </w:tc>
        <w:tc>
          <w:tcPr>
            <w:tcW w:w="80" w:type="dxa"/>
            <w:vAlign w:val="bottom"/>
          </w:tcPr>
          <w:p>
            <w:pPr>
              <w:spacing w:after="0"/>
              <w:rPr>
                <w:sz w:val="10"/>
                <w:szCs w:val="10"/>
                <w:color w:val="auto"/>
              </w:rPr>
            </w:pPr>
          </w:p>
        </w:tc>
        <w:tc>
          <w:tcPr>
            <w:tcW w:w="700" w:type="dxa"/>
            <w:vAlign w:val="bottom"/>
            <w:tcBorders>
              <w:bottom w:val="single" w:sz="8" w:color="auto"/>
            </w:tcBorders>
          </w:tcPr>
          <w:p>
            <w:pPr>
              <w:jc w:val="center"/>
              <w:ind w:left="391"/>
              <w:spacing w:after="0"/>
              <w:rPr>
                <w:sz w:val="20"/>
                <w:szCs w:val="20"/>
                <w:color w:val="auto"/>
              </w:rPr>
            </w:pPr>
            <w:r>
              <w:rPr>
                <w:rFonts w:ascii="Arial" w:cs="Arial" w:eastAsia="Arial" w:hAnsi="Arial"/>
                <w:sz w:val="10"/>
                <w:szCs w:val="10"/>
                <w:b w:val="1"/>
                <w:bCs w:val="1"/>
                <w:color w:val="auto"/>
                <w:w w:val="89"/>
              </w:rPr>
              <w:t>21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decrease in revenue of $2.5 million for the three months ended September 30, 2021 compared to the three months ended September 30, 2020 was primarily due to:</w:t>
      </w:r>
    </w:p>
    <w:p>
      <w:pPr>
        <w:spacing w:after="0" w:line="81" w:lineRule="exact"/>
        <w:rPr>
          <w:sz w:val="20"/>
          <w:szCs w:val="20"/>
          <w:color w:val="auto"/>
        </w:rPr>
      </w:pPr>
    </w:p>
    <w:p>
      <w:pPr>
        <w:ind w:left="660" w:right="300" w:hanging="228"/>
        <w:spacing w:after="0" w:line="282" w:lineRule="auto"/>
        <w:tabs>
          <w:tab w:leader="none" w:pos="657" w:val="left"/>
        </w:tabs>
        <w:numPr>
          <w:ilvl w:val="0"/>
          <w:numId w:val="10"/>
        </w:numPr>
        <w:rPr>
          <w:rFonts w:ascii="Arial" w:cs="Arial" w:eastAsia="Arial" w:hAnsi="Arial"/>
          <w:sz w:val="12"/>
          <w:szCs w:val="12"/>
          <w:color w:val="auto"/>
        </w:rPr>
      </w:pPr>
      <w:r>
        <w:rPr>
          <w:rFonts w:ascii="Arial" w:cs="Arial" w:eastAsia="Arial" w:hAnsi="Arial"/>
          <w:sz w:val="12"/>
          <w:szCs w:val="12"/>
          <w:color w:val="252525"/>
        </w:rPr>
        <w:t xml:space="preserve">recognition during the three months ended September 30, 2020 of a $15.0 million development milestone from Incyte related to the initiation of a Phase 3 clinical trial of retifanlimab. There was no such milestone recognized during the three months </w:t>
      </w:r>
      <w:r>
        <w:rPr>
          <w:rFonts w:ascii="Arial" w:cs="Arial" w:eastAsia="Arial" w:hAnsi="Arial"/>
          <w:sz w:val="12"/>
          <w:szCs w:val="12"/>
          <w:color w:val="000000"/>
        </w:rPr>
        <w:t>ended September 30, 2021; and</w:t>
      </w:r>
    </w:p>
    <w:p>
      <w:pPr>
        <w:spacing w:after="0" w:line="41" w:lineRule="exact"/>
        <w:rPr>
          <w:rFonts w:ascii="Arial" w:cs="Arial" w:eastAsia="Arial" w:hAnsi="Arial"/>
          <w:sz w:val="12"/>
          <w:szCs w:val="12"/>
          <w:color w:val="auto"/>
        </w:rPr>
      </w:pPr>
    </w:p>
    <w:p>
      <w:pPr>
        <w:ind w:left="640" w:hanging="208"/>
        <w:spacing w:after="0"/>
        <w:tabs>
          <w:tab w:leader="none" w:pos="640" w:val="left"/>
        </w:tabs>
        <w:numPr>
          <w:ilvl w:val="0"/>
          <w:numId w:val="10"/>
        </w:numPr>
        <w:rPr>
          <w:rFonts w:ascii="Arial" w:cs="Arial" w:eastAsia="Arial" w:hAnsi="Arial"/>
          <w:sz w:val="11"/>
          <w:szCs w:val="11"/>
          <w:color w:val="auto"/>
        </w:rPr>
      </w:pPr>
      <w:r>
        <w:rPr>
          <w:rFonts w:ascii="Arial" w:cs="Arial" w:eastAsia="Arial" w:hAnsi="Arial"/>
          <w:sz w:val="11"/>
          <w:szCs w:val="11"/>
          <w:color w:val="auto"/>
        </w:rPr>
        <w:t>a decrease of $0.7 million in revenue recognized under the National Institute of Allergy and Infectious Diseases (NIAID) contract due to decreased development costs related to the second DART molecule.</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These decreases were partially offset by:</w:t>
      </w:r>
    </w:p>
    <w:p>
      <w:pPr>
        <w:spacing w:after="0" w:line="81" w:lineRule="exact"/>
        <w:rPr>
          <w:sz w:val="20"/>
          <w:szCs w:val="20"/>
          <w:color w:val="auto"/>
        </w:rPr>
      </w:pPr>
    </w:p>
    <w:p>
      <w:pPr>
        <w:ind w:left="640" w:hanging="208"/>
        <w:spacing w:after="0"/>
        <w:tabs>
          <w:tab w:leader="none" w:pos="640" w:val="left"/>
        </w:tabs>
        <w:numPr>
          <w:ilvl w:val="0"/>
          <w:numId w:val="11"/>
        </w:numPr>
        <w:rPr>
          <w:rFonts w:ascii="Arial" w:cs="Arial" w:eastAsia="Arial" w:hAnsi="Arial"/>
          <w:sz w:val="12"/>
          <w:szCs w:val="12"/>
          <w:color w:val="252525"/>
        </w:rPr>
      </w:pPr>
      <w:r>
        <w:rPr>
          <w:rFonts w:ascii="Arial" w:cs="Arial" w:eastAsia="Arial" w:hAnsi="Arial"/>
          <w:sz w:val="12"/>
          <w:szCs w:val="12"/>
          <w:color w:val="252525"/>
        </w:rPr>
        <w:t>recognition of $4.5 million in net milestone revenue under the I-Mab Agreement;</w:t>
      </w:r>
    </w:p>
    <w:p>
      <w:pPr>
        <w:spacing w:after="0" w:line="81" w:lineRule="exact"/>
        <w:rPr>
          <w:rFonts w:ascii="Arial" w:cs="Arial" w:eastAsia="Arial" w:hAnsi="Arial"/>
          <w:sz w:val="12"/>
          <w:szCs w:val="12"/>
          <w:color w:val="252525"/>
        </w:rPr>
      </w:pPr>
    </w:p>
    <w:p>
      <w:pPr>
        <w:ind w:left="640" w:hanging="208"/>
        <w:spacing w:after="0"/>
        <w:tabs>
          <w:tab w:leader="none" w:pos="640" w:val="left"/>
        </w:tabs>
        <w:numPr>
          <w:ilvl w:val="0"/>
          <w:numId w:val="11"/>
        </w:numPr>
        <w:rPr>
          <w:rFonts w:ascii="Arial" w:cs="Arial" w:eastAsia="Arial" w:hAnsi="Arial"/>
          <w:sz w:val="12"/>
          <w:szCs w:val="12"/>
          <w:color w:val="252525"/>
        </w:rPr>
      </w:pPr>
      <w:r>
        <w:rPr>
          <w:rFonts w:ascii="Arial" w:cs="Arial" w:eastAsia="Arial" w:hAnsi="Arial"/>
          <w:sz w:val="12"/>
          <w:szCs w:val="12"/>
          <w:color w:val="252525"/>
        </w:rPr>
        <w:t>recognition of $3.7 million in revenue from the 2021 Zai Lab Agreement executed in June 2021;</w:t>
      </w:r>
    </w:p>
    <w:p>
      <w:pPr>
        <w:spacing w:after="0" w:line="81" w:lineRule="exact"/>
        <w:rPr>
          <w:rFonts w:ascii="Arial" w:cs="Arial" w:eastAsia="Arial" w:hAnsi="Arial"/>
          <w:sz w:val="12"/>
          <w:szCs w:val="12"/>
          <w:color w:val="252525"/>
        </w:rPr>
      </w:pPr>
    </w:p>
    <w:p>
      <w:pPr>
        <w:ind w:left="640" w:hanging="208"/>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$3.6 million in net product revenue from sales of MARGENZA which was approved by the FDA in December 2020; and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788" w:right="299" w:bottom="1440" w:gutter="0" w:footer="0" w:header="0"/>
        </w:sectPr>
      </w:pPr>
    </w:p>
    <w:bookmarkStart w:id="27" w:name="page28"/>
    <w:bookmarkEnd w:id="27"/>
    <w:p>
      <w:pPr>
        <w:ind w:left="640" w:hanging="208"/>
        <w:spacing w:after="0"/>
        <w:tabs>
          <w:tab w:leader="none" w:pos="640" w:val="left"/>
        </w:tabs>
        <w:numPr>
          <w:ilvl w:val="0"/>
          <w:numId w:val="12"/>
        </w:numPr>
        <w:rPr>
          <w:rFonts w:ascii="Arial" w:cs="Arial" w:eastAsia="Arial" w:hAnsi="Arial"/>
          <w:sz w:val="12"/>
          <w:szCs w:val="12"/>
          <w:color w:val="252525"/>
        </w:rPr>
      </w:pPr>
      <w:r>
        <w:rPr>
          <w:rFonts w:ascii="Arial" w:cs="Arial" w:eastAsia="Arial" w:hAnsi="Arial"/>
          <w:sz w:val="12"/>
          <w:szCs w:val="12"/>
          <w:color w:val="auto"/>
        </w:rPr>
        <w:t>$1.4 million recognized under the Incyte Commercial Supply Agreement which was executed in late 2020.</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increase in revenue of $11.1 million for the nine months ended September 30, 2021 compared to the nine months ended September 30, 2020 was primarily due to:</w:t>
      </w:r>
    </w:p>
    <w:p>
      <w:pPr>
        <w:spacing w:after="0" w:line="81" w:lineRule="exact"/>
        <w:rPr>
          <w:sz w:val="20"/>
          <w:szCs w:val="20"/>
          <w:color w:val="auto"/>
        </w:rPr>
      </w:pPr>
    </w:p>
    <w:p>
      <w:pPr>
        <w:ind w:left="640" w:hanging="208"/>
        <w:spacing w:after="0"/>
        <w:tabs>
          <w:tab w:leader="none" w:pos="640" w:val="left"/>
        </w:tabs>
        <w:numPr>
          <w:ilvl w:val="0"/>
          <w:numId w:val="13"/>
        </w:numPr>
        <w:rPr>
          <w:rFonts w:ascii="Arial" w:cs="Arial" w:eastAsia="Arial" w:hAnsi="Arial"/>
          <w:sz w:val="12"/>
          <w:szCs w:val="12"/>
          <w:color w:val="auto"/>
        </w:rPr>
      </w:pPr>
      <w:r>
        <w:rPr>
          <w:rFonts w:ascii="Arial" w:cs="Arial" w:eastAsia="Arial" w:hAnsi="Arial"/>
          <w:sz w:val="12"/>
          <w:szCs w:val="12"/>
          <w:color w:val="252525"/>
        </w:rPr>
        <w:t>recognition of $18.0 million in revenue from the 2021 Zai Lab Agreement executed in June 2021;</w:t>
      </w:r>
    </w:p>
    <w:p>
      <w:pPr>
        <w:spacing w:after="0" w:line="81" w:lineRule="exact"/>
        <w:rPr>
          <w:rFonts w:ascii="Arial" w:cs="Arial" w:eastAsia="Arial" w:hAnsi="Arial"/>
          <w:sz w:val="12"/>
          <w:szCs w:val="12"/>
          <w:color w:val="auto"/>
        </w:rPr>
      </w:pPr>
    </w:p>
    <w:p>
      <w:pPr>
        <w:ind w:left="640" w:hanging="208"/>
        <w:spacing w:after="0"/>
        <w:tabs>
          <w:tab w:leader="none" w:pos="640" w:val="left"/>
        </w:tabs>
        <w:numPr>
          <w:ilvl w:val="0"/>
          <w:numId w:val="13"/>
        </w:numPr>
        <w:rPr>
          <w:rFonts w:ascii="Arial" w:cs="Arial" w:eastAsia="Arial" w:hAnsi="Arial"/>
          <w:sz w:val="12"/>
          <w:szCs w:val="12"/>
          <w:color w:val="252525"/>
        </w:rPr>
      </w:pPr>
      <w:r>
        <w:rPr>
          <w:rFonts w:ascii="Arial" w:cs="Arial" w:eastAsia="Arial" w:hAnsi="Arial"/>
          <w:sz w:val="12"/>
          <w:szCs w:val="12"/>
          <w:color w:val="auto"/>
        </w:rPr>
        <w:t>$7.7 million in net product revenue from sales of MARGENZA which was approved by the FDA in December 2020;</w:t>
      </w:r>
    </w:p>
    <w:p>
      <w:pPr>
        <w:spacing w:after="0" w:line="81" w:lineRule="exact"/>
        <w:rPr>
          <w:rFonts w:ascii="Arial" w:cs="Arial" w:eastAsia="Arial" w:hAnsi="Arial"/>
          <w:sz w:val="12"/>
          <w:szCs w:val="12"/>
          <w:color w:val="252525"/>
        </w:rPr>
      </w:pPr>
    </w:p>
    <w:p>
      <w:pPr>
        <w:ind w:left="640" w:hanging="208"/>
        <w:spacing w:after="0"/>
        <w:tabs>
          <w:tab w:leader="none" w:pos="640" w:val="left"/>
        </w:tabs>
        <w:numPr>
          <w:ilvl w:val="0"/>
          <w:numId w:val="13"/>
        </w:numPr>
        <w:rPr>
          <w:rFonts w:ascii="Arial" w:cs="Arial" w:eastAsia="Arial" w:hAnsi="Arial"/>
          <w:sz w:val="12"/>
          <w:szCs w:val="12"/>
          <w:color w:val="252525"/>
        </w:rPr>
      </w:pPr>
      <w:r>
        <w:rPr>
          <w:rFonts w:ascii="Arial" w:cs="Arial" w:eastAsia="Arial" w:hAnsi="Arial"/>
          <w:sz w:val="12"/>
          <w:szCs w:val="12"/>
          <w:color w:val="auto"/>
        </w:rPr>
        <w:t>$7.4 million recognized under the Incyte Commercial Supply Agreement which was executed in October 2020; and</w:t>
      </w:r>
    </w:p>
    <w:p>
      <w:pPr>
        <w:spacing w:after="0" w:line="81" w:lineRule="exact"/>
        <w:rPr>
          <w:rFonts w:ascii="Arial" w:cs="Arial" w:eastAsia="Arial" w:hAnsi="Arial"/>
          <w:sz w:val="12"/>
          <w:szCs w:val="12"/>
          <w:color w:val="252525"/>
        </w:rPr>
      </w:pPr>
    </w:p>
    <w:p>
      <w:pPr>
        <w:ind w:left="640" w:hanging="208"/>
        <w:spacing w:after="0"/>
        <w:tabs>
          <w:tab w:leader="none" w:pos="640" w:val="left"/>
        </w:tabs>
        <w:numPr>
          <w:ilvl w:val="0"/>
          <w:numId w:val="13"/>
        </w:numPr>
        <w:rPr>
          <w:rFonts w:ascii="Arial" w:cs="Arial" w:eastAsia="Arial" w:hAnsi="Arial"/>
          <w:sz w:val="12"/>
          <w:szCs w:val="12"/>
          <w:color w:val="auto"/>
        </w:rPr>
      </w:pPr>
      <w:r>
        <w:rPr>
          <w:rFonts w:ascii="Arial" w:cs="Arial" w:eastAsia="Arial" w:hAnsi="Arial"/>
          <w:sz w:val="12"/>
          <w:szCs w:val="12"/>
          <w:color w:val="252525"/>
        </w:rPr>
        <w:t>recognition of $4.5 million in net milestone revenue under the I-Mab Agreement.</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These increases were partially offset by:</w:t>
      </w:r>
    </w:p>
    <w:p>
      <w:pPr>
        <w:spacing w:after="0" w:line="81" w:lineRule="exact"/>
        <w:rPr>
          <w:sz w:val="20"/>
          <w:szCs w:val="20"/>
          <w:color w:val="auto"/>
        </w:rPr>
      </w:pPr>
    </w:p>
    <w:p>
      <w:pPr>
        <w:ind w:left="640" w:hanging="208"/>
        <w:spacing w:after="0"/>
        <w:tabs>
          <w:tab w:leader="none" w:pos="640" w:val="left"/>
        </w:tabs>
        <w:numPr>
          <w:ilvl w:val="0"/>
          <w:numId w:val="14"/>
        </w:numPr>
        <w:rPr>
          <w:rFonts w:ascii="Arial" w:cs="Arial" w:eastAsia="Arial" w:hAnsi="Arial"/>
          <w:sz w:val="12"/>
          <w:szCs w:val="12"/>
          <w:color w:val="252525"/>
        </w:rPr>
      </w:pPr>
      <w:r>
        <w:rPr>
          <w:rFonts w:ascii="Arial" w:cs="Arial" w:eastAsia="Arial" w:hAnsi="Arial"/>
          <w:sz w:val="12"/>
          <w:szCs w:val="12"/>
          <w:color w:val="auto"/>
        </w:rPr>
        <w:t>recognition during the nine months ended September 30, 2020 of a $12.0 million payment from Boehringer Ingelheim International GmbH for retention of rights to two DART molecules;</w:t>
      </w:r>
    </w:p>
    <w:p>
      <w:pPr>
        <w:spacing w:after="0" w:line="81" w:lineRule="exact"/>
        <w:rPr>
          <w:rFonts w:ascii="Arial" w:cs="Arial" w:eastAsia="Arial" w:hAnsi="Arial"/>
          <w:sz w:val="12"/>
          <w:szCs w:val="12"/>
          <w:color w:val="252525"/>
        </w:rPr>
      </w:pPr>
    </w:p>
    <w:p>
      <w:pPr>
        <w:ind w:left="640" w:hanging="208"/>
        <w:spacing w:after="0"/>
        <w:tabs>
          <w:tab w:leader="none" w:pos="640" w:val="left"/>
        </w:tabs>
        <w:numPr>
          <w:ilvl w:val="0"/>
          <w:numId w:val="14"/>
        </w:numPr>
        <w:rPr>
          <w:rFonts w:ascii="Arial" w:cs="Arial" w:eastAsia="Arial" w:hAnsi="Arial"/>
          <w:sz w:val="12"/>
          <w:szCs w:val="12"/>
          <w:color w:val="252525"/>
        </w:rPr>
      </w:pPr>
      <w:r>
        <w:rPr>
          <w:rFonts w:ascii="Arial" w:cs="Arial" w:eastAsia="Arial" w:hAnsi="Arial"/>
          <w:sz w:val="12"/>
          <w:szCs w:val="12"/>
          <w:color w:val="auto"/>
        </w:rPr>
        <w:t>a decrease of approximately $7.1 million in revenue recognized under the Incyte Clinical Supply Agreement due to decreased development activity;</w:t>
      </w:r>
    </w:p>
    <w:p>
      <w:pPr>
        <w:spacing w:after="0" w:line="81" w:lineRule="exact"/>
        <w:rPr>
          <w:rFonts w:ascii="Arial" w:cs="Arial" w:eastAsia="Arial" w:hAnsi="Arial"/>
          <w:sz w:val="12"/>
          <w:szCs w:val="12"/>
          <w:color w:val="252525"/>
        </w:rPr>
      </w:pPr>
    </w:p>
    <w:p>
      <w:pPr>
        <w:ind w:left="640" w:hanging="208"/>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 decrease of $4.9 million in revenue recognized under the NIAID contract due to decreased development costs related to the second DART molecule; and</w:t>
      </w:r>
    </w:p>
    <w:p>
      <w:pPr>
        <w:spacing w:after="0" w:line="81" w:lineRule="exact"/>
        <w:rPr>
          <w:rFonts w:ascii="Arial" w:cs="Arial" w:eastAsia="Arial" w:hAnsi="Arial"/>
          <w:sz w:val="12"/>
          <w:szCs w:val="12"/>
          <w:color w:val="auto"/>
        </w:rPr>
      </w:pPr>
    </w:p>
    <w:p>
      <w:pPr>
        <w:ind w:left="640" w:hanging="208"/>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 decrease of $3.6 million in revenue recognized under the 2018 Zai Lab Agreement due to a milestone being recognized in the first quarter of 2020.</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Product Sales</w:t>
      </w:r>
    </w:p>
    <w:p>
      <w:pPr>
        <w:spacing w:after="0" w:line="118" w:lineRule="exact"/>
        <w:rPr>
          <w:sz w:val="20"/>
          <w:szCs w:val="20"/>
          <w:color w:val="auto"/>
        </w:rPr>
      </w:pPr>
    </w:p>
    <w:p>
      <w:pPr>
        <w:ind w:right="260" w:firstLine="439"/>
        <w:spacing w:after="0" w:line="303" w:lineRule="auto"/>
        <w:rPr>
          <w:sz w:val="20"/>
          <w:szCs w:val="20"/>
          <w:color w:val="auto"/>
        </w:rPr>
      </w:pPr>
      <w:r>
        <w:rPr>
          <w:rFonts w:ascii="Arial" w:cs="Arial" w:eastAsia="Arial" w:hAnsi="Arial"/>
          <w:sz w:val="11"/>
          <w:szCs w:val="11"/>
          <w:color w:val="auto"/>
        </w:rPr>
        <w:t>Cost of product sales for the three and nine months ended September 30, 2021 consisted primarily of reserves for unsaleable inventory, as well as product royalties. Product sold during the three and nine months ended September 30, 2021 consisted of drug product that was previously charged to research and development expense prior to FDA approval of MARGENZA, which favorably impacted our gross margin for the three and nine months ended September 30, 2021. No similar cost of product sales was recognized during the three and nine months ended September 30, 2020, as there were no sales of MARGENZA during those periods.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 Expense</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following represents a comparison of our research and development expense for the three and nine months ended September 30, 2021 and 2020: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6"/>
          </w:tcPr>
          <w:p>
            <w:pPr>
              <w:jc w:val="center"/>
              <w:ind w:left="339"/>
              <w:spacing w:after="0"/>
              <w:rPr>
                <w:sz w:val="20"/>
                <w:szCs w:val="20"/>
                <w:color w:val="auto"/>
              </w:rPr>
            </w:pPr>
            <w:r>
              <w:rPr>
                <w:rFonts w:ascii="Arial" w:cs="Arial" w:eastAsia="Arial" w:hAnsi="Arial"/>
                <w:sz w:val="12"/>
                <w:szCs w:val="12"/>
                <w:b w:val="1"/>
                <w:bCs w:val="1"/>
                <w:color w:val="auto"/>
                <w:w w:val="92"/>
              </w:rPr>
              <w:t>Three Months Ended September 30,</w:t>
            </w:r>
          </w:p>
        </w:tc>
        <w:tc>
          <w:tcPr>
            <w:tcW w:w="7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2"/>
                <w:szCs w:val="12"/>
                <w:b w:val="1"/>
                <w:bCs w:val="1"/>
                <w:color w:val="auto"/>
                <w:w w:val="92"/>
              </w:rPr>
              <w:t>Nine Months Ended September 30,</w:t>
            </w:r>
          </w:p>
        </w:tc>
        <w:tc>
          <w:tcPr>
            <w:tcW w:w="7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2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w w:val="95"/>
              </w:rPr>
              <w:t>Change</w:t>
            </w:r>
          </w:p>
        </w:tc>
        <w:tc>
          <w:tcPr>
            <w:tcW w:w="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b w:val="1"/>
                <w:bCs w:val="1"/>
                <w:color w:val="auto"/>
              </w:rPr>
              <w:t>2021</w:t>
            </w:r>
          </w:p>
        </w:tc>
        <w:tc>
          <w:tcPr>
            <w:tcW w:w="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w w:val="95"/>
              </w:rPr>
              <w:t>Change</w:t>
            </w:r>
          </w:p>
        </w:tc>
        <w:tc>
          <w:tcPr>
            <w:tcW w:w="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2"/>
        </w:trPr>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80" w:type="dxa"/>
            <w:vAlign w:val="bottom"/>
            <w:gridSpan w:val="5"/>
          </w:tcPr>
          <w:p>
            <w:pPr>
              <w:jc w:val="center"/>
              <w:ind w:right="200"/>
              <w:spacing w:after="0"/>
              <w:rPr>
                <w:sz w:val="20"/>
                <w:szCs w:val="20"/>
                <w:color w:val="auto"/>
              </w:rPr>
            </w:pPr>
            <w:r>
              <w:rPr>
                <w:rFonts w:ascii="Arial" w:cs="Arial" w:eastAsia="Arial" w:hAnsi="Arial"/>
                <w:sz w:val="12"/>
                <w:szCs w:val="12"/>
                <w:b w:val="1"/>
                <w:bCs w:val="1"/>
                <w:color w:val="auto"/>
                <w:w w:val="90"/>
              </w:rPr>
              <w:t>(dollars in millions)</w:t>
            </w: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auto"/>
                <w:w w:val="92"/>
              </w:rPr>
              <w:t>(dollars in millions)</w:t>
            </w: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0" w:type="dxa"/>
            <w:vAlign w:val="bottom"/>
            <w:shd w:val="clear" w:color="auto" w:fill="CCEEFF"/>
          </w:tcPr>
          <w:p>
            <w:pPr>
              <w:ind w:left="440"/>
              <w:spacing w:after="0"/>
              <w:rPr>
                <w:sz w:val="20"/>
                <w:szCs w:val="20"/>
                <w:color w:val="auto"/>
              </w:rPr>
            </w:pPr>
            <w:r>
              <w:rPr>
                <w:rFonts w:ascii="Arial" w:cs="Arial" w:eastAsia="Arial" w:hAnsi="Arial"/>
                <w:sz w:val="12"/>
                <w:szCs w:val="12"/>
                <w:color w:val="auto"/>
                <w:w w:val="97"/>
              </w:rPr>
              <w:t>Margetuximab</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37.8</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1200" w:type="dxa"/>
            <w:vAlign w:val="bottom"/>
          </w:tcPr>
          <w:p>
            <w:pPr>
              <w:ind w:left="440"/>
              <w:spacing w:after="0"/>
              <w:rPr>
                <w:sz w:val="20"/>
                <w:szCs w:val="20"/>
                <w:color w:val="auto"/>
              </w:rPr>
            </w:pPr>
            <w:r>
              <w:rPr>
                <w:rFonts w:ascii="Arial" w:cs="Arial" w:eastAsia="Arial" w:hAnsi="Arial"/>
                <w:sz w:val="12"/>
                <w:szCs w:val="12"/>
                <w:color w:val="auto"/>
              </w:rPr>
              <w:t>MGC018</w:t>
            </w:r>
          </w:p>
        </w:tc>
        <w:tc>
          <w:tcPr>
            <w:tcW w:w="6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6.7</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2.6</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4.1</w:t>
            </w:r>
          </w:p>
        </w:tc>
        <w:tc>
          <w:tcPr>
            <w:tcW w:w="60" w:type="dxa"/>
            <w:vAlign w:val="bottom"/>
          </w:tcPr>
          <w:p>
            <w:pPr>
              <w:spacing w:after="0"/>
              <w:rPr>
                <w:sz w:val="13"/>
                <w:szCs w:val="13"/>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158</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21.4</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9.3</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12.1</w:t>
            </w:r>
          </w:p>
        </w:tc>
        <w:tc>
          <w:tcPr>
            <w:tcW w:w="60" w:type="dxa"/>
            <w:vAlign w:val="bottom"/>
          </w:tcPr>
          <w:p>
            <w:pPr>
              <w:spacing w:after="0"/>
              <w:rPr>
                <w:sz w:val="13"/>
                <w:szCs w:val="13"/>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auto"/>
              </w:rPr>
              <w:t>130</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12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Flotetuzumab</w:t>
            </w:r>
          </w:p>
        </w:tc>
        <w:tc>
          <w:tcPr>
            <w:tcW w:w="6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20</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1200" w:type="dxa"/>
            <w:vAlign w:val="bottom"/>
          </w:tcPr>
          <w:p>
            <w:pPr>
              <w:ind w:left="440"/>
              <w:spacing w:after="0"/>
              <w:rPr>
                <w:sz w:val="20"/>
                <w:szCs w:val="20"/>
                <w:color w:val="auto"/>
              </w:rPr>
            </w:pPr>
            <w:r>
              <w:rPr>
                <w:rFonts w:ascii="Arial" w:cs="Arial" w:eastAsia="Arial" w:hAnsi="Arial"/>
                <w:sz w:val="12"/>
                <w:szCs w:val="12"/>
                <w:color w:val="auto"/>
              </w:rPr>
              <w:t>Retifanlimab</w:t>
            </w:r>
          </w:p>
        </w:tc>
        <w:tc>
          <w:tcPr>
            <w:tcW w:w="6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5.2</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(0.2)</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14.1</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20.6</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(6.5)</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(32)</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12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Tebotelimab</w:t>
            </w:r>
          </w:p>
        </w:tc>
        <w:tc>
          <w:tcPr>
            <w:tcW w:w="6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1200" w:type="dxa"/>
            <w:vAlign w:val="bottom"/>
          </w:tcPr>
          <w:p>
            <w:pPr>
              <w:ind w:left="440"/>
              <w:spacing w:after="0"/>
              <w:rPr>
                <w:sz w:val="20"/>
                <w:szCs w:val="20"/>
                <w:color w:val="auto"/>
              </w:rPr>
            </w:pPr>
            <w:r>
              <w:rPr>
                <w:rFonts w:ascii="Arial" w:cs="Arial" w:eastAsia="Arial" w:hAnsi="Arial"/>
                <w:sz w:val="12"/>
                <w:szCs w:val="12"/>
                <w:color w:val="auto"/>
                <w:w w:val="93"/>
              </w:rPr>
              <w:t>Enoblituzumab</w:t>
            </w:r>
          </w:p>
        </w:tc>
        <w:tc>
          <w:tcPr>
            <w:tcW w:w="6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4.3</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2.1</w:t>
            </w:r>
          </w:p>
        </w:tc>
        <w:tc>
          <w:tcPr>
            <w:tcW w:w="60" w:type="dxa"/>
            <w:vAlign w:val="bottom"/>
          </w:tcPr>
          <w:p>
            <w:pPr>
              <w:spacing w:after="0"/>
              <w:rPr>
                <w:sz w:val="13"/>
                <w:szCs w:val="13"/>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95</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12.5</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11.4</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w:t>
            </w:r>
          </w:p>
        </w:tc>
        <w:tc>
          <w:tcPr>
            <w:tcW w:w="60" w:type="dxa"/>
            <w:vAlign w:val="bottom"/>
          </w:tcPr>
          <w:p>
            <w:pPr>
              <w:spacing w:after="0"/>
              <w:rPr>
                <w:sz w:val="13"/>
                <w:szCs w:val="13"/>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auto"/>
              </w:rPr>
              <w:t>10</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12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MGD019</w:t>
            </w:r>
          </w:p>
        </w:tc>
        <w:tc>
          <w:tcPr>
            <w:tcW w:w="6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35</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49</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1200" w:type="dxa"/>
            <w:vAlign w:val="bottom"/>
          </w:tcPr>
          <w:p>
            <w:pPr>
              <w:ind w:left="440"/>
              <w:spacing w:after="0"/>
              <w:rPr>
                <w:sz w:val="20"/>
                <w:szCs w:val="20"/>
                <w:color w:val="auto"/>
              </w:rPr>
            </w:pPr>
            <w:r>
              <w:rPr>
                <w:rFonts w:ascii="Arial" w:cs="Arial" w:eastAsia="Arial" w:hAnsi="Arial"/>
                <w:sz w:val="12"/>
                <w:szCs w:val="12"/>
                <w:color w:val="auto"/>
              </w:rPr>
              <w:t>IMGC936</w:t>
            </w:r>
          </w:p>
        </w:tc>
        <w:tc>
          <w:tcPr>
            <w:tcW w:w="6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2.4</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0.9</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w:t>
            </w:r>
          </w:p>
        </w:tc>
        <w:tc>
          <w:tcPr>
            <w:tcW w:w="60" w:type="dxa"/>
            <w:vAlign w:val="bottom"/>
          </w:tcPr>
          <w:p>
            <w:pPr>
              <w:spacing w:after="0"/>
              <w:rPr>
                <w:sz w:val="13"/>
                <w:szCs w:val="13"/>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167</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4.5</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3.2</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w:t>
            </w:r>
          </w:p>
        </w:tc>
        <w:tc>
          <w:tcPr>
            <w:tcW w:w="60" w:type="dxa"/>
            <w:vAlign w:val="bottom"/>
          </w:tcPr>
          <w:p>
            <w:pPr>
              <w:spacing w:after="0"/>
              <w:rPr>
                <w:sz w:val="13"/>
                <w:szCs w:val="13"/>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auto"/>
              </w:rPr>
              <w:t>41</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1200" w:type="dxa"/>
            <w:vAlign w:val="bottom"/>
            <w:shd w:val="clear" w:color="auto" w:fill="CCEEFF"/>
          </w:tcPr>
          <w:p>
            <w:pPr>
              <w:ind w:left="440"/>
              <w:spacing w:after="0" w:line="120" w:lineRule="exact"/>
              <w:rPr>
                <w:sz w:val="20"/>
                <w:szCs w:val="20"/>
                <w:color w:val="auto"/>
              </w:rPr>
            </w:pPr>
            <w:r>
              <w:rPr>
                <w:rFonts w:ascii="Arial" w:cs="Arial" w:eastAsia="Arial" w:hAnsi="Arial"/>
                <w:sz w:val="12"/>
                <w:szCs w:val="12"/>
                <w:color w:val="auto"/>
              </w:rPr>
              <w:t>DART</w:t>
            </w:r>
          </w:p>
        </w:tc>
        <w:tc>
          <w:tcPr>
            <w:tcW w:w="6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20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molecules under HIV</w:t>
            </w:r>
          </w:p>
        </w:tc>
        <w:tc>
          <w:tcPr>
            <w:tcW w:w="6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government contract</w:t>
            </w:r>
          </w:p>
        </w:tc>
        <w:tc>
          <w:tcPr>
            <w:tcW w:w="62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ind w:left="440"/>
              <w:spacing w:after="0"/>
              <w:rPr>
                <w:sz w:val="20"/>
                <w:szCs w:val="20"/>
                <w:color w:val="auto"/>
              </w:rPr>
            </w:pPr>
            <w:r>
              <w:rPr>
                <w:rFonts w:ascii="Arial" w:cs="Arial" w:eastAsia="Arial" w:hAnsi="Arial"/>
                <w:sz w:val="12"/>
                <w:szCs w:val="12"/>
                <w:color w:val="auto"/>
              </w:rPr>
              <w:t>MGD024</w:t>
            </w:r>
          </w:p>
        </w:tc>
        <w:tc>
          <w:tcPr>
            <w:tcW w:w="6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580" w:type="dxa"/>
            <w:vAlign w:val="bottom"/>
            <w:gridSpan w:val="2"/>
          </w:tcPr>
          <w:p>
            <w:pPr>
              <w:ind w:left="300"/>
              <w:spacing w:after="0"/>
              <w:rPr>
                <w:sz w:val="20"/>
                <w:szCs w:val="20"/>
                <w:color w:val="auto"/>
              </w:rPr>
            </w:pPr>
            <w:r>
              <w:rPr>
                <w:rFonts w:ascii="Arial" w:cs="Arial" w:eastAsia="Arial" w:hAnsi="Arial"/>
                <w:sz w:val="12"/>
                <w:szCs w:val="12"/>
                <w:color w:val="auto"/>
              </w:rPr>
              <w:t>N/A</w:t>
            </w:r>
          </w:p>
        </w:tc>
        <w:tc>
          <w:tcPr>
            <w:tcW w:w="6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2.5</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19"/>
        </w:trPr>
        <w:tc>
          <w:tcPr>
            <w:tcW w:w="1200" w:type="dxa"/>
            <w:vAlign w:val="bottom"/>
            <w:shd w:val="clear" w:color="auto" w:fill="CCEEFF"/>
          </w:tcPr>
          <w:p>
            <w:pPr>
              <w:ind w:left="440"/>
              <w:spacing w:after="0" w:line="120" w:lineRule="exact"/>
              <w:rPr>
                <w:sz w:val="20"/>
                <w:szCs w:val="20"/>
                <w:color w:val="auto"/>
              </w:rPr>
            </w:pPr>
            <w:r>
              <w:rPr>
                <w:rFonts w:ascii="Arial" w:cs="Arial" w:eastAsia="Arial" w:hAnsi="Arial"/>
                <w:sz w:val="12"/>
                <w:szCs w:val="12"/>
                <w:color w:val="auto"/>
              </w:rPr>
              <w:t>Other</w:t>
            </w:r>
          </w:p>
        </w:tc>
        <w:tc>
          <w:tcPr>
            <w:tcW w:w="6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9"/>
              <w:spacing w:after="0"/>
              <w:rPr>
                <w:sz w:val="20"/>
                <w:szCs w:val="20"/>
                <w:color w:val="auto"/>
              </w:rPr>
            </w:pPr>
            <w:r>
              <w:rPr>
                <w:rFonts w:ascii="Arial" w:cs="Arial" w:eastAsia="Arial" w:hAnsi="Arial"/>
                <w:sz w:val="12"/>
                <w:szCs w:val="12"/>
                <w:color w:val="auto"/>
              </w:rPr>
              <w:t>72</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23.5</w:t>
            </w: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18.6</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39"/>
              <w:spacing w:after="0"/>
              <w:rPr>
                <w:sz w:val="20"/>
                <w:szCs w:val="20"/>
                <w:color w:val="auto"/>
              </w:rPr>
            </w:pPr>
            <w:r>
              <w:rPr>
                <w:rFonts w:ascii="Arial" w:cs="Arial" w:eastAsia="Arial" w:hAnsi="Arial"/>
                <w:sz w:val="12"/>
                <w:szCs w:val="12"/>
                <w:color w:val="auto"/>
              </w:rPr>
              <w:t>26</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programs (a)</w:t>
            </w:r>
          </w:p>
        </w:tc>
        <w:tc>
          <w:tcPr>
            <w:tcW w:w="6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200" w:type="dxa"/>
            <w:vAlign w:val="bottom"/>
          </w:tcPr>
          <w:p>
            <w:pPr>
              <w:ind w:left="440"/>
              <w:spacing w:after="0" w:line="99" w:lineRule="exact"/>
              <w:rPr>
                <w:sz w:val="20"/>
                <w:szCs w:val="20"/>
                <w:color w:val="auto"/>
              </w:rPr>
            </w:pPr>
            <w:r>
              <w:rPr>
                <w:rFonts w:ascii="Arial" w:cs="Arial" w:eastAsia="Arial" w:hAnsi="Arial"/>
                <w:sz w:val="11"/>
                <w:szCs w:val="11"/>
                <w:b w:val="1"/>
                <w:bCs w:val="1"/>
                <w:color w:val="auto"/>
                <w:w w:val="98"/>
              </w:rPr>
              <w:t>Total research</w:t>
            </w: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200" w:type="dxa"/>
            <w:vAlign w:val="bottom"/>
          </w:tcPr>
          <w:p>
            <w:pPr>
              <w:spacing w:after="0" w:line="119" w:lineRule="exact"/>
              <w:rPr>
                <w:sz w:val="20"/>
                <w:szCs w:val="20"/>
                <w:color w:val="auto"/>
              </w:rPr>
            </w:pPr>
            <w:r>
              <w:rPr>
                <w:rFonts w:ascii="Arial" w:cs="Arial" w:eastAsia="Arial" w:hAnsi="Arial"/>
                <w:sz w:val="12"/>
                <w:szCs w:val="12"/>
                <w:b w:val="1"/>
                <w:bCs w:val="1"/>
                <w:color w:val="auto"/>
              </w:rPr>
              <w:t>and development</w:t>
            </w:r>
          </w:p>
        </w:tc>
        <w:tc>
          <w:tcPr>
            <w:tcW w:w="620" w:type="dxa"/>
            <w:vAlign w:val="bottom"/>
            <w:vMerge w:val="restart"/>
          </w:tcPr>
          <w:p>
            <w:pPr>
              <w:jc w:val="right"/>
              <w:ind w:right="39"/>
              <w:spacing w:after="0"/>
              <w:rPr>
                <w:sz w:val="20"/>
                <w:szCs w:val="20"/>
                <w:color w:val="auto"/>
              </w:rPr>
            </w:pPr>
            <w:r>
              <w:rPr>
                <w:rFonts w:ascii="Arial" w:cs="Arial" w:eastAsia="Arial" w:hAnsi="Arial"/>
                <w:sz w:val="12"/>
                <w:szCs w:val="12"/>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49.8</w:t>
            </w:r>
          </w:p>
        </w:tc>
        <w:tc>
          <w:tcPr>
            <w:tcW w:w="60" w:type="dxa"/>
            <w:vAlign w:val="bottom"/>
          </w:tcPr>
          <w:p>
            <w:pPr>
              <w:spacing w:after="0"/>
              <w:rPr>
                <w:sz w:val="10"/>
                <w:szCs w:val="10"/>
                <w:color w:val="auto"/>
              </w:rPr>
            </w:pPr>
          </w:p>
        </w:tc>
        <w:tc>
          <w:tcPr>
            <w:tcW w:w="600" w:type="dxa"/>
            <w:vAlign w:val="bottom"/>
            <w:vMerge w:val="restart"/>
          </w:tcPr>
          <w:p>
            <w:pPr>
              <w:jc w:val="right"/>
              <w:ind w:right="39"/>
              <w:spacing w:after="0"/>
              <w:rPr>
                <w:sz w:val="20"/>
                <w:szCs w:val="20"/>
                <w:color w:val="auto"/>
              </w:rPr>
            </w:pPr>
            <w:r>
              <w:rPr>
                <w:rFonts w:ascii="Arial" w:cs="Arial" w:eastAsia="Arial" w:hAnsi="Arial"/>
                <w:sz w:val="12"/>
                <w:szCs w:val="12"/>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44.7</w:t>
            </w:r>
          </w:p>
        </w:tc>
        <w:tc>
          <w:tcPr>
            <w:tcW w:w="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5.1</w:t>
            </w:r>
          </w:p>
        </w:tc>
        <w:tc>
          <w:tcPr>
            <w:tcW w:w="60" w:type="dxa"/>
            <w:vAlign w:val="bottom"/>
          </w:tcPr>
          <w:p>
            <w:pPr>
              <w:spacing w:after="0"/>
              <w:rPr>
                <w:sz w:val="10"/>
                <w:szCs w:val="10"/>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2"/>
                <w:szCs w:val="12"/>
                <w:b w:val="1"/>
                <w:bCs w:val="1"/>
                <w:color w:val="auto"/>
              </w:rPr>
              <w:t>11</w:t>
            </w:r>
          </w:p>
        </w:tc>
        <w:tc>
          <w:tcPr>
            <w:tcW w:w="5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0"/>
                <w:szCs w:val="10"/>
                <w:color w:val="auto"/>
              </w:rPr>
            </w:pPr>
          </w:p>
        </w:tc>
        <w:tc>
          <w:tcPr>
            <w:tcW w:w="620" w:type="dxa"/>
            <w:vAlign w:val="bottom"/>
            <w:vMerge w:val="restart"/>
          </w:tcPr>
          <w:p>
            <w:pPr>
              <w:jc w:val="right"/>
              <w:ind w:right="59"/>
              <w:spacing w:after="0"/>
              <w:rPr>
                <w:sz w:val="20"/>
                <w:szCs w:val="20"/>
                <w:color w:val="auto"/>
              </w:rPr>
            </w:pPr>
            <w:r>
              <w:rPr>
                <w:rFonts w:ascii="Arial" w:cs="Arial" w:eastAsia="Arial" w:hAnsi="Arial"/>
                <w:sz w:val="12"/>
                <w:szCs w:val="12"/>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158.7</w:t>
            </w:r>
          </w:p>
        </w:tc>
        <w:tc>
          <w:tcPr>
            <w:tcW w:w="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150.9</w:t>
            </w:r>
          </w:p>
        </w:tc>
        <w:tc>
          <w:tcPr>
            <w:tcW w:w="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7.8</w:t>
            </w:r>
          </w:p>
        </w:tc>
        <w:tc>
          <w:tcPr>
            <w:tcW w:w="60" w:type="dxa"/>
            <w:vAlign w:val="bottom"/>
          </w:tcPr>
          <w:p>
            <w:pPr>
              <w:spacing w:after="0"/>
              <w:rPr>
                <w:sz w:val="10"/>
                <w:szCs w:val="10"/>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2"/>
                <w:szCs w:val="12"/>
                <w:b w:val="1"/>
                <w:bCs w:val="1"/>
                <w:color w:val="auto"/>
              </w:rPr>
              <w:t>5</w:t>
            </w: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20"/>
                <w:szCs w:val="20"/>
                <w:color w:val="auto"/>
              </w:rPr>
            </w:pPr>
            <w:r>
              <w:rPr>
                <w:rFonts w:ascii="Arial" w:cs="Arial" w:eastAsia="Arial" w:hAnsi="Arial"/>
                <w:sz w:val="12"/>
                <w:szCs w:val="12"/>
                <w:b w:val="1"/>
                <w:bCs w:val="1"/>
                <w:color w:val="auto"/>
              </w:rPr>
              <w:t>expense</w:t>
            </w:r>
          </w:p>
        </w:tc>
        <w:tc>
          <w:tcPr>
            <w:tcW w:w="62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2"/>
          <w:szCs w:val="12"/>
          <w:color w:val="auto"/>
        </w:rPr>
        <w:t>(a) Includes research and discovery projects, as well as early preclinical and terminated molecules.</w:t>
      </w:r>
    </w:p>
    <w:p>
      <w:pPr>
        <w:spacing w:after="0" w:line="200" w:lineRule="exact"/>
        <w:rPr>
          <w:sz w:val="20"/>
          <w:szCs w:val="20"/>
          <w:color w:val="auto"/>
        </w:rPr>
      </w:pPr>
    </w:p>
    <w:p>
      <w:pPr>
        <w:spacing w:after="0" w:line="356"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60"/>
          </w:cols>
          <w:pgMar w:left="300" w:top="788" w:right="239" w:bottom="1440" w:gutter="0" w:footer="0" w:header="0"/>
        </w:sectPr>
      </w:pPr>
    </w:p>
    <w:bookmarkStart w:id="28" w:name="page29"/>
    <w:bookmarkEnd w:id="28"/>
    <w:p>
      <w:pPr>
        <w:ind w:left="440"/>
        <w:spacing w:after="0"/>
        <w:rPr>
          <w:sz w:val="20"/>
          <w:szCs w:val="20"/>
          <w:color w:val="auto"/>
        </w:rPr>
      </w:pPr>
      <w:r>
        <w:rPr>
          <w:rFonts w:ascii="Arial" w:cs="Arial" w:eastAsia="Arial" w:hAnsi="Arial"/>
          <w:sz w:val="12"/>
          <w:szCs w:val="12"/>
          <w:color w:val="auto"/>
        </w:rPr>
        <w:t>Our research and development expense for the three months ended September 30, 2021 increased by $5.1 million compared to the three months ended September 30, 2020 primarily due to:</w:t>
      </w:r>
    </w:p>
    <w:p>
      <w:pPr>
        <w:spacing w:after="0" w:line="118" w:lineRule="exact"/>
        <w:rPr>
          <w:sz w:val="20"/>
          <w:szCs w:val="20"/>
          <w:color w:val="auto"/>
        </w:rPr>
      </w:pPr>
    </w:p>
    <w:p>
      <w:pPr>
        <w:ind w:left="640" w:hanging="208"/>
        <w:spacing w:after="0"/>
        <w:tabs>
          <w:tab w:leader="none" w:pos="640" w:val="left"/>
        </w:tabs>
        <w:numPr>
          <w:ilvl w:val="0"/>
          <w:numId w:val="15"/>
        </w:numPr>
        <w:rPr>
          <w:rFonts w:ascii="Arial" w:cs="Arial" w:eastAsia="Arial" w:hAnsi="Arial"/>
          <w:sz w:val="12"/>
          <w:szCs w:val="12"/>
          <w:b w:val="1"/>
          <w:bCs w:val="1"/>
          <w:i w:val="1"/>
          <w:iCs w:val="1"/>
          <w:color w:val="252525"/>
        </w:rPr>
      </w:pPr>
      <w:r>
        <w:rPr>
          <w:rFonts w:ascii="Arial" w:cs="Arial" w:eastAsia="Arial" w:hAnsi="Arial"/>
          <w:sz w:val="12"/>
          <w:szCs w:val="12"/>
          <w:color w:val="auto"/>
        </w:rPr>
        <w:t>increased development, manufacturing and clinical trial costs related to MGC018;</w:t>
      </w:r>
    </w:p>
    <w:p>
      <w:pPr>
        <w:spacing w:after="0" w:line="117" w:lineRule="exact"/>
        <w:rPr>
          <w:rFonts w:ascii="Arial" w:cs="Arial" w:eastAsia="Arial" w:hAnsi="Arial"/>
          <w:sz w:val="12"/>
          <w:szCs w:val="12"/>
          <w:b w:val="1"/>
          <w:bCs w:val="1"/>
          <w:i w:val="1"/>
          <w:iCs w:val="1"/>
          <w:color w:val="252525"/>
        </w:rPr>
      </w:pPr>
    </w:p>
    <w:p>
      <w:pPr>
        <w:ind w:left="640" w:hanging="208"/>
        <w:spacing w:after="0"/>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increased development of discovery projects and preclinical molecules;</w:t>
      </w:r>
    </w:p>
    <w:p>
      <w:pPr>
        <w:spacing w:after="0" w:line="117" w:lineRule="exact"/>
        <w:rPr>
          <w:rFonts w:ascii="Arial" w:cs="Arial" w:eastAsia="Arial" w:hAnsi="Arial"/>
          <w:sz w:val="12"/>
          <w:szCs w:val="12"/>
          <w:color w:val="auto"/>
        </w:rPr>
      </w:pPr>
    </w:p>
    <w:p>
      <w:pPr>
        <w:ind w:left="640" w:hanging="208"/>
        <w:spacing w:after="0"/>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increased clinical trial enrollment costs related to enoblituzumab; and</w:t>
      </w:r>
    </w:p>
    <w:p>
      <w:pPr>
        <w:spacing w:after="0" w:line="117" w:lineRule="exact"/>
        <w:rPr>
          <w:rFonts w:ascii="Arial" w:cs="Arial" w:eastAsia="Arial" w:hAnsi="Arial"/>
          <w:sz w:val="12"/>
          <w:szCs w:val="12"/>
          <w:color w:val="auto"/>
        </w:rPr>
      </w:pPr>
    </w:p>
    <w:p>
      <w:pPr>
        <w:ind w:left="640" w:hanging="208"/>
        <w:spacing w:after="0"/>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increased clinical trial costs related to IMGC936.</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These increases were partially offset by:</w:t>
      </w:r>
    </w:p>
    <w:p>
      <w:pPr>
        <w:spacing w:after="0" w:line="109" w:lineRule="exact"/>
        <w:rPr>
          <w:sz w:val="20"/>
          <w:szCs w:val="20"/>
          <w:color w:val="auto"/>
        </w:rPr>
      </w:pPr>
    </w:p>
    <w:p>
      <w:pPr>
        <w:ind w:left="640" w:hanging="208"/>
        <w:spacing w:after="0"/>
        <w:tabs>
          <w:tab w:leader="none" w:pos="6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decreased clinical trial and BLA support costs for margetuximab; and</w:t>
      </w:r>
    </w:p>
    <w:p>
      <w:pPr>
        <w:spacing w:after="0" w:line="108" w:lineRule="exact"/>
        <w:rPr>
          <w:rFonts w:ascii="Arial" w:cs="Arial" w:eastAsia="Arial" w:hAnsi="Arial"/>
          <w:sz w:val="12"/>
          <w:szCs w:val="12"/>
          <w:color w:val="auto"/>
        </w:rPr>
      </w:pPr>
    </w:p>
    <w:p>
      <w:pPr>
        <w:ind w:left="640" w:hanging="208"/>
        <w:spacing w:after="0"/>
        <w:tabs>
          <w:tab w:leader="none" w:pos="6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decreased development and manufacturing costs related to flotetuzumab.</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Our research and development expense for the nine months ended September 30, 2021 increased by $7.8 million compared to the nine months ended September 30, 2020 primarily due to:</w:t>
      </w:r>
    </w:p>
    <w:p>
      <w:pPr>
        <w:spacing w:after="0" w:line="109" w:lineRule="exact"/>
        <w:rPr>
          <w:sz w:val="20"/>
          <w:szCs w:val="20"/>
          <w:color w:val="auto"/>
        </w:rPr>
      </w:pPr>
    </w:p>
    <w:p>
      <w:pPr>
        <w:ind w:left="640" w:hanging="208"/>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increased MGC018 development, manufacturing and clinical trial costs related to our Phase 1 dose expansion study;</w:t>
      </w:r>
    </w:p>
    <w:p>
      <w:pPr>
        <w:spacing w:after="0" w:line="117" w:lineRule="exact"/>
        <w:rPr>
          <w:rFonts w:ascii="Arial" w:cs="Arial" w:eastAsia="Arial" w:hAnsi="Arial"/>
          <w:sz w:val="12"/>
          <w:szCs w:val="12"/>
          <w:color w:val="auto"/>
        </w:rPr>
      </w:pPr>
    </w:p>
    <w:p>
      <w:pPr>
        <w:ind w:left="640" w:hanging="208"/>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increased development of discovery projects and preclinical molecules;</w:t>
      </w:r>
    </w:p>
    <w:p>
      <w:pPr>
        <w:spacing w:after="0" w:line="117" w:lineRule="exact"/>
        <w:rPr>
          <w:rFonts w:ascii="Arial" w:cs="Arial" w:eastAsia="Arial" w:hAnsi="Arial"/>
          <w:sz w:val="12"/>
          <w:szCs w:val="12"/>
          <w:color w:val="auto"/>
        </w:rPr>
      </w:pPr>
    </w:p>
    <w:p>
      <w:pPr>
        <w:ind w:left="640" w:hanging="208"/>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increased flotetuzumab development and clinical trial costs related to our Phase 1/2 dose expansion study;</w:t>
      </w:r>
    </w:p>
    <w:p>
      <w:pPr>
        <w:spacing w:after="0" w:line="117" w:lineRule="exact"/>
        <w:rPr>
          <w:rFonts w:ascii="Arial" w:cs="Arial" w:eastAsia="Arial" w:hAnsi="Arial"/>
          <w:sz w:val="12"/>
          <w:szCs w:val="12"/>
          <w:color w:val="auto"/>
        </w:rPr>
      </w:pPr>
    </w:p>
    <w:p>
      <w:pPr>
        <w:ind w:left="640" w:hanging="208"/>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IND preparation activities for MGD024; and</w:t>
      </w:r>
    </w:p>
    <w:p>
      <w:pPr>
        <w:spacing w:after="0" w:line="117" w:lineRule="exact"/>
        <w:rPr>
          <w:rFonts w:ascii="Arial" w:cs="Arial" w:eastAsia="Arial" w:hAnsi="Arial"/>
          <w:sz w:val="12"/>
          <w:szCs w:val="12"/>
          <w:color w:val="auto"/>
        </w:rPr>
      </w:pPr>
    </w:p>
    <w:p>
      <w:pPr>
        <w:ind w:left="640" w:hanging="208"/>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increased clinical trial costs related to our MGD019 Phase 1 dose expansion study.</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These increases were partially offset by:</w:t>
      </w:r>
    </w:p>
    <w:p>
      <w:pPr>
        <w:spacing w:after="0" w:line="109" w:lineRule="exact"/>
        <w:rPr>
          <w:sz w:val="20"/>
          <w:szCs w:val="20"/>
          <w:color w:val="auto"/>
        </w:rPr>
      </w:pPr>
    </w:p>
    <w:p>
      <w:pPr>
        <w:ind w:left="640" w:hanging="208"/>
        <w:spacing w:after="0"/>
        <w:tabs>
          <w:tab w:leader="none" w:pos="640" w:val="left"/>
        </w:tabs>
        <w:numPr>
          <w:ilvl w:val="0"/>
          <w:numId w:val="18"/>
        </w:numPr>
        <w:rPr>
          <w:rFonts w:ascii="Arial" w:cs="Arial" w:eastAsia="Arial" w:hAnsi="Arial"/>
          <w:sz w:val="12"/>
          <w:szCs w:val="12"/>
          <w:b w:val="1"/>
          <w:bCs w:val="1"/>
          <w:i w:val="1"/>
          <w:iCs w:val="1"/>
          <w:color w:val="252525"/>
        </w:rPr>
      </w:pPr>
      <w:r>
        <w:rPr>
          <w:rFonts w:ascii="Arial" w:cs="Arial" w:eastAsia="Arial" w:hAnsi="Arial"/>
          <w:sz w:val="12"/>
          <w:szCs w:val="12"/>
          <w:color w:val="auto"/>
        </w:rPr>
        <w:t>decreased clinical trial and BLA support costs for margetuximab;</w:t>
      </w:r>
    </w:p>
    <w:p>
      <w:pPr>
        <w:spacing w:after="0" w:line="117" w:lineRule="exact"/>
        <w:rPr>
          <w:rFonts w:ascii="Arial" w:cs="Arial" w:eastAsia="Arial" w:hAnsi="Arial"/>
          <w:sz w:val="12"/>
          <w:szCs w:val="12"/>
          <w:b w:val="1"/>
          <w:bCs w:val="1"/>
          <w:i w:val="1"/>
          <w:iCs w:val="1"/>
          <w:color w:val="252525"/>
        </w:rPr>
      </w:pPr>
    </w:p>
    <w:p>
      <w:pPr>
        <w:ind w:left="640" w:hanging="208"/>
        <w:spacing w:after="0"/>
        <w:tabs>
          <w:tab w:leader="none" w:pos="6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decreased development and manufacturing costs related to retifanlimab due to timing of manufacturing activities for Incyte under the Incyte supply agreements;</w:t>
      </w:r>
    </w:p>
    <w:p>
      <w:pPr>
        <w:spacing w:after="0" w:line="117" w:lineRule="exact"/>
        <w:rPr>
          <w:rFonts w:ascii="Arial" w:cs="Arial" w:eastAsia="Arial" w:hAnsi="Arial"/>
          <w:sz w:val="12"/>
          <w:szCs w:val="12"/>
          <w:color w:val="auto"/>
        </w:rPr>
      </w:pPr>
    </w:p>
    <w:p>
      <w:pPr>
        <w:ind w:left="640" w:hanging="208"/>
        <w:spacing w:after="0"/>
        <w:tabs>
          <w:tab w:leader="none" w:pos="6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decreased development and manufacturing costs related to tebotelimab; and</w:t>
      </w:r>
    </w:p>
    <w:p>
      <w:pPr>
        <w:spacing w:after="0" w:line="117" w:lineRule="exact"/>
        <w:rPr>
          <w:rFonts w:ascii="Arial" w:cs="Arial" w:eastAsia="Arial" w:hAnsi="Arial"/>
          <w:sz w:val="12"/>
          <w:szCs w:val="12"/>
          <w:color w:val="auto"/>
        </w:rPr>
      </w:pPr>
    </w:p>
    <w:p>
      <w:pPr>
        <w:ind w:left="640" w:hanging="208"/>
        <w:spacing w:after="0"/>
        <w:tabs>
          <w:tab w:leader="none" w:pos="6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decreased development and manufacturing costs related to our NIAID contract.</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2"/>
          <w:szCs w:val="12"/>
          <w:color w:val="auto"/>
        </w:rPr>
        <w:t>We expect our research and development expense will continue to increase as we progress our pipeline of product candidates.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Selling, General and Administrative Expense</w:t>
      </w:r>
    </w:p>
    <w:p>
      <w:pPr>
        <w:spacing w:after="0" w:line="118" w:lineRule="exact"/>
        <w:rPr>
          <w:sz w:val="20"/>
          <w:szCs w:val="20"/>
          <w:color w:val="auto"/>
        </w:rPr>
      </w:pPr>
    </w:p>
    <w:p>
      <w:pPr>
        <w:ind w:right="20" w:firstLine="439"/>
        <w:spacing w:after="0" w:line="268" w:lineRule="auto"/>
        <w:rPr>
          <w:sz w:val="20"/>
          <w:szCs w:val="20"/>
          <w:color w:val="auto"/>
        </w:rPr>
      </w:pPr>
      <w:r>
        <w:rPr>
          <w:rFonts w:ascii="Arial" w:cs="Arial" w:eastAsia="Arial" w:hAnsi="Arial"/>
          <w:sz w:val="12"/>
          <w:szCs w:val="12"/>
          <w:color w:val="auto"/>
        </w:rPr>
        <w:t>Selling, general and administrative expenses increased by $7.4 million for the three months ended September 30, 2021 compared to the three months ended September 30, 2020, and by $17.3 million for the nine months ended September 30, 2021 compared to the nine months ended September 30, 2020, due to costs related to the launch of MARGENZA, as well as increased labor-related costs and legal expenses. We expect our selling, general and administrative expense to continue to increase as we continue the launch of MARGENZA.</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Income</w:t>
      </w:r>
    </w:p>
    <w:p>
      <w:pPr>
        <w:spacing w:after="0" w:line="118" w:lineRule="exact"/>
        <w:rPr>
          <w:sz w:val="20"/>
          <w:szCs w:val="20"/>
          <w:color w:val="auto"/>
        </w:rPr>
      </w:pPr>
    </w:p>
    <w:p>
      <w:pPr>
        <w:ind w:firstLine="439"/>
        <w:spacing w:after="0" w:line="282" w:lineRule="auto"/>
        <w:rPr>
          <w:sz w:val="20"/>
          <w:szCs w:val="20"/>
          <w:color w:val="auto"/>
        </w:rPr>
      </w:pPr>
      <w:r>
        <w:rPr>
          <w:rFonts w:ascii="Arial" w:cs="Arial" w:eastAsia="Arial" w:hAnsi="Arial"/>
          <w:sz w:val="12"/>
          <w:szCs w:val="12"/>
          <w:color w:val="auto"/>
        </w:rPr>
        <w:t>The increase in other income for the three months ended September 30, 2021 compared to the three months ended September 30, 2020 is primarily due to increased investment income. The decrease in other income for the nine months ended September 30, 2021 compared to the three and nine months ended September 30, 2020 is primarily due to decreased investment income.</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22" w:lineRule="exact"/>
        <w:rPr>
          <w:sz w:val="20"/>
          <w:szCs w:val="20"/>
          <w:color w:val="auto"/>
        </w:rPr>
      </w:pPr>
    </w:p>
    <w:p>
      <w:pPr>
        <w:ind w:right="20" w:firstLine="439"/>
        <w:spacing w:after="0" w:line="282" w:lineRule="auto"/>
        <w:rPr>
          <w:sz w:val="20"/>
          <w:szCs w:val="20"/>
          <w:color w:val="auto"/>
        </w:rPr>
      </w:pPr>
      <w:r>
        <w:rPr>
          <w:rFonts w:ascii="Arial" w:cs="Arial" w:eastAsia="Arial" w:hAnsi="Arial"/>
          <w:sz w:val="12"/>
          <w:szCs w:val="12"/>
          <w:color w:val="auto"/>
        </w:rPr>
        <w:t>Our multiple product candidates currently under development will require significant additional research and development efforts that include extensive preclinical studies and clinical testing, and regulatory approval prior to commercial use.</w:t>
      </w: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20"/>
          </w:cols>
          <w:pgMar w:left="300" w:top="788" w:right="379" w:bottom="1440" w:gutter="0" w:footer="0" w:header="0"/>
        </w:sectPr>
      </w:pPr>
    </w:p>
    <w:bookmarkStart w:id="29" w:name="page30"/>
    <w:bookmarkEnd w:id="29"/>
    <w:p>
      <w:pPr>
        <w:ind w:left="440"/>
        <w:spacing w:after="0"/>
        <w:rPr>
          <w:sz w:val="20"/>
          <w:szCs w:val="20"/>
          <w:color w:val="auto"/>
        </w:rPr>
      </w:pPr>
      <w:r>
        <w:rPr>
          <w:rFonts w:ascii="Arial" w:cs="Arial" w:eastAsia="Arial" w:hAnsi="Arial"/>
          <w:sz w:val="11"/>
          <w:szCs w:val="11"/>
          <w:color w:val="auto"/>
        </w:rPr>
        <w:t>As a biotechnology company, we have primarily funded our operations with proceeds from the sale of our common stock in equity offerings, revenue from our multiple collaboration agreements, and contracts and grants</w:t>
      </w:r>
    </w:p>
    <w:p>
      <w:pPr>
        <w:spacing w:after="0" w:line="47"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from NIAID. Management regularly reviews our available liquidity relative to our operating budget and forecast to monitor the sufficiency of our working capital, and anticipates continuing to draw upon available sources of capital, including equity and debt instruments, to support our product development activities. There can be no assurances that new sources of capital will be available to us on commercially acceptable terms, if at all. Also, any future collaborations, strategic alliances and marketing, distribution or licensing arrangements may require us to give up some or all rights to a product or technology at less than its full potential value. If we are unable to enter into new arrangements or to perform under current or future agreements or obtain additional capital, we will assess our capital resources and may be required to delay, reduce the scope of, or eliminate one or more of our product research and development programs or clinical studies, and/or downsize our organization</w:t>
      </w:r>
      <w:r>
        <w:rPr>
          <w:rFonts w:ascii="Arial" w:cs="Arial" w:eastAsia="Arial" w:hAnsi="Arial"/>
          <w:sz w:val="12"/>
          <w:szCs w:val="12"/>
          <w:color w:val="EE2724"/>
        </w:rPr>
        <w:t>.</w:t>
      </w:r>
      <w:r>
        <w:rPr>
          <w:rFonts w:ascii="Arial" w:cs="Arial" w:eastAsia="Arial" w:hAnsi="Arial"/>
          <w:sz w:val="12"/>
          <w:szCs w:val="12"/>
          <w:color w:val="auto"/>
        </w:rPr>
        <w:t xml:space="preserve"> Although it is difficult to predict our funding requirements, we anticipate that our cash, cash equivalents and marketable securities as of September 30, 2021, plus consideration received from Zai Lab in July 2021, as well as anticipated and potential collaboration payments, and product revenues should enable us to fund our operations through 2023, assuming our programs and collaborations advance as currently contemplated.</w:t>
      </w:r>
    </w:p>
    <w:p>
      <w:pPr>
        <w:spacing w:after="0" w:line="91" w:lineRule="exact"/>
        <w:rPr>
          <w:sz w:val="20"/>
          <w:szCs w:val="20"/>
          <w:color w:val="auto"/>
        </w:rPr>
      </w:pPr>
    </w:p>
    <w:p>
      <w:pPr>
        <w:ind w:right="400" w:firstLine="439"/>
        <w:spacing w:after="0" w:line="330" w:lineRule="auto"/>
        <w:rPr>
          <w:sz w:val="20"/>
          <w:szCs w:val="20"/>
          <w:color w:val="auto"/>
        </w:rPr>
      </w:pPr>
      <w:r>
        <w:rPr>
          <w:rFonts w:ascii="Arial" w:cs="Arial" w:eastAsia="Arial" w:hAnsi="Arial"/>
          <w:sz w:val="11"/>
          <w:szCs w:val="11"/>
          <w:color w:val="auto"/>
        </w:rPr>
        <w:t>Similar to the other risk factors pertinent to our business, the COVID-19 pandemic might unfavorably impact our ability to generate such additional funding. Given the uncertainty in the rapidly changing market and economic conditions related to the COVID-19 pandemic and its variants, we will continue to evaluate the nature and extent of the impact of the pandemic on our business and financial position.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800" w:type="dxa"/>
            <w:vAlign w:val="bottom"/>
          </w:tcPr>
          <w:p>
            <w:pPr>
              <w:spacing w:after="0"/>
              <w:rPr>
                <w:sz w:val="20"/>
                <w:szCs w:val="20"/>
                <w:color w:val="auto"/>
              </w:rPr>
            </w:pPr>
            <w:r>
              <w:rPr>
                <w:rFonts w:ascii="Arial" w:cs="Arial" w:eastAsia="Arial" w:hAnsi="Arial"/>
                <w:sz w:val="12"/>
                <w:szCs w:val="12"/>
                <w:b w:val="1"/>
                <w:bCs w:val="1"/>
                <w:i w:val="1"/>
                <w:iCs w:val="1"/>
                <w:color w:val="auto"/>
              </w:rPr>
              <w:t>Cash Flows</w:t>
            </w:r>
          </w:p>
        </w:tc>
        <w:tc>
          <w:tcPr>
            <w:tcW w:w="1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56"/>
        </w:trPr>
        <w:tc>
          <w:tcPr>
            <w:tcW w:w="6800" w:type="dxa"/>
            <w:vAlign w:val="bottom"/>
          </w:tcPr>
          <w:p>
            <w:pPr>
              <w:ind w:left="440"/>
              <w:spacing w:after="0"/>
              <w:rPr>
                <w:sz w:val="20"/>
                <w:szCs w:val="20"/>
                <w:color w:val="auto"/>
              </w:rPr>
            </w:pPr>
            <w:r>
              <w:rPr>
                <w:rFonts w:ascii="Arial" w:cs="Arial" w:eastAsia="Arial" w:hAnsi="Arial"/>
                <w:sz w:val="12"/>
                <w:szCs w:val="12"/>
                <w:color w:val="auto"/>
              </w:rPr>
              <w:t>The following table represents a summary of our cash flows for the nine months ended September 30, 2021 and 2020:</w:t>
            </w:r>
          </w:p>
        </w:tc>
        <w:tc>
          <w:tcPr>
            <w:tcW w:w="1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329"/>
        </w:trPr>
        <w:tc>
          <w:tcPr>
            <w:tcW w:w="68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3"/>
              </w:rPr>
              <w:t>Nine Months Ended September 30,</w:t>
            </w:r>
          </w:p>
        </w:tc>
        <w:tc>
          <w:tcPr>
            <w:tcW w:w="1040" w:type="dxa"/>
            <w:vAlign w:val="bottom"/>
            <w:tcBorders>
              <w:bottom w:val="single" w:sz="8" w:color="auto"/>
            </w:tcBorders>
          </w:tcPr>
          <w:p>
            <w:pPr>
              <w:spacing w:after="0"/>
              <w:rPr>
                <w:sz w:val="24"/>
                <w:szCs w:val="24"/>
                <w:color w:val="auto"/>
              </w:rPr>
            </w:pPr>
          </w:p>
        </w:tc>
      </w:tr>
      <w:tr>
        <w:trPr>
          <w:trHeight w:val="145"/>
        </w:trPr>
        <w:tc>
          <w:tcPr>
            <w:tcW w:w="6800" w:type="dxa"/>
            <w:vAlign w:val="bottom"/>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99"/>
              <w:spacing w:after="0"/>
              <w:rPr>
                <w:sz w:val="20"/>
                <w:szCs w:val="20"/>
                <w:color w:val="auto"/>
              </w:rPr>
            </w:pPr>
            <w:r>
              <w:rPr>
                <w:rFonts w:ascii="Arial" w:cs="Arial" w:eastAsia="Arial" w:hAnsi="Arial"/>
                <w:sz w:val="12"/>
                <w:szCs w:val="12"/>
                <w:b w:val="1"/>
                <w:bCs w:val="1"/>
                <w:color w:val="auto"/>
                <w:w w:val="97"/>
              </w:rPr>
              <w:t>2020</w:t>
            </w:r>
          </w:p>
        </w:tc>
      </w:tr>
      <w:tr>
        <w:trPr>
          <w:trHeight w:val="172"/>
        </w:trPr>
        <w:tc>
          <w:tcPr>
            <w:tcW w:w="6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20" w:type="dxa"/>
            <w:vAlign w:val="bottom"/>
            <w:gridSpan w:val="3"/>
          </w:tcPr>
          <w:p>
            <w:pPr>
              <w:jc w:val="right"/>
              <w:ind w:right="399"/>
              <w:spacing w:after="0"/>
              <w:rPr>
                <w:sz w:val="20"/>
                <w:szCs w:val="20"/>
                <w:color w:val="auto"/>
              </w:rPr>
            </w:pPr>
            <w:r>
              <w:rPr>
                <w:rFonts w:ascii="Arial" w:cs="Arial" w:eastAsia="Arial" w:hAnsi="Arial"/>
                <w:sz w:val="12"/>
                <w:szCs w:val="12"/>
                <w:b w:val="1"/>
                <w:bCs w:val="1"/>
                <w:color w:val="auto"/>
              </w:rPr>
              <w:t>(dollars in millions)</w:t>
            </w:r>
          </w:p>
        </w:tc>
        <w:tc>
          <w:tcPr>
            <w:tcW w:w="1040" w:type="dxa"/>
            <w:vAlign w:val="bottom"/>
          </w:tcPr>
          <w:p>
            <w:pPr>
              <w:spacing w:after="0"/>
              <w:rPr>
                <w:sz w:val="14"/>
                <w:szCs w:val="14"/>
                <w:color w:val="auto"/>
              </w:rPr>
            </w:pPr>
          </w:p>
        </w:tc>
      </w:tr>
      <w:tr>
        <w:trPr>
          <w:trHeight w:val="156"/>
        </w:trPr>
        <w:tc>
          <w:tcPr>
            <w:tcW w:w="6800" w:type="dxa"/>
            <w:vAlign w:val="bottom"/>
            <w:shd w:val="clear" w:color="auto" w:fill="CCEEFF"/>
          </w:tcPr>
          <w:p>
            <w:pPr>
              <w:ind w:left="440"/>
              <w:spacing w:after="0"/>
              <w:rPr>
                <w:sz w:val="20"/>
                <w:szCs w:val="20"/>
                <w:color w:val="auto"/>
              </w:rPr>
            </w:pPr>
            <w:r>
              <w:rPr>
                <w:rFonts w:ascii="Arial" w:cs="Arial" w:eastAsia="Arial" w:hAnsi="Arial"/>
                <w:sz w:val="12"/>
                <w:szCs w:val="12"/>
                <w:b w:val="1"/>
                <w:bCs w:val="1"/>
                <w:color w:val="auto"/>
              </w:rPr>
              <w:t>Net cash provided by (used in):</w:t>
            </w:r>
          </w:p>
        </w:tc>
        <w:tc>
          <w:tcPr>
            <w:tcW w:w="14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55"/>
        </w:trPr>
        <w:tc>
          <w:tcPr>
            <w:tcW w:w="6800" w:type="dxa"/>
            <w:vAlign w:val="bottom"/>
          </w:tcPr>
          <w:p>
            <w:pPr>
              <w:ind w:left="520"/>
              <w:spacing w:after="0"/>
              <w:rPr>
                <w:sz w:val="20"/>
                <w:szCs w:val="20"/>
                <w:color w:val="auto"/>
              </w:rPr>
            </w:pPr>
            <w:r>
              <w:rPr>
                <w:rFonts w:ascii="Arial" w:cs="Arial" w:eastAsia="Arial" w:hAnsi="Arial"/>
                <w:sz w:val="12"/>
                <w:szCs w:val="12"/>
                <w:color w:val="auto"/>
              </w:rPr>
              <w:t>Operating activities</w:t>
            </w:r>
          </w:p>
        </w:tc>
        <w:tc>
          <w:tcPr>
            <w:tcW w:w="1480" w:type="dxa"/>
            <w:vAlign w:val="bottom"/>
          </w:tcPr>
          <w:p>
            <w:pPr>
              <w:jc w:val="right"/>
              <w:ind w:right="919"/>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(89.5)</w:t>
            </w:r>
          </w:p>
        </w:tc>
        <w:tc>
          <w:tcPr>
            <w:tcW w:w="100" w:type="dxa"/>
            <w:vAlign w:val="bottom"/>
          </w:tcPr>
          <w:p>
            <w:pPr>
              <w:spacing w:after="0"/>
              <w:rPr>
                <w:sz w:val="13"/>
                <w:szCs w:val="13"/>
                <w:color w:val="auto"/>
              </w:rPr>
            </w:pPr>
          </w:p>
        </w:tc>
        <w:tc>
          <w:tcPr>
            <w:tcW w:w="1140" w:type="dxa"/>
            <w:vAlign w:val="bottom"/>
          </w:tcPr>
          <w:p>
            <w:pPr>
              <w:jc w:val="right"/>
              <w:ind w:right="579"/>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(106.4)</w:t>
            </w:r>
          </w:p>
        </w:tc>
      </w:tr>
      <w:tr>
        <w:trPr>
          <w:trHeight w:val="156"/>
        </w:trPr>
        <w:tc>
          <w:tcPr>
            <w:tcW w:w="68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Investing activities</w:t>
            </w:r>
          </w:p>
        </w:tc>
        <w:tc>
          <w:tcPr>
            <w:tcW w:w="14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w:t>
            </w:r>
          </w:p>
        </w:tc>
      </w:tr>
      <w:tr>
        <w:trPr>
          <w:trHeight w:val="155"/>
        </w:trPr>
        <w:tc>
          <w:tcPr>
            <w:tcW w:w="6800" w:type="dxa"/>
            <w:vAlign w:val="bottom"/>
            <w:tcBorders>
              <w:bottom w:val="single" w:sz="8" w:color="CCEEFF"/>
            </w:tcBorders>
          </w:tcPr>
          <w:p>
            <w:pPr>
              <w:ind w:left="520"/>
              <w:spacing w:after="0"/>
              <w:rPr>
                <w:sz w:val="20"/>
                <w:szCs w:val="20"/>
                <w:color w:val="auto"/>
              </w:rPr>
            </w:pPr>
            <w:r>
              <w:rPr>
                <w:rFonts w:ascii="Arial" w:cs="Arial" w:eastAsia="Arial" w:hAnsi="Arial"/>
                <w:sz w:val="12"/>
                <w:szCs w:val="12"/>
                <w:color w:val="auto"/>
              </w:rPr>
              <w:t>Financing activities</w:t>
            </w:r>
          </w:p>
        </w:tc>
        <w:tc>
          <w:tcPr>
            <w:tcW w:w="14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122.0</w:t>
            </w:r>
          </w:p>
        </w:tc>
        <w:tc>
          <w:tcPr>
            <w:tcW w:w="10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173.2</w:t>
            </w:r>
          </w:p>
        </w:tc>
      </w:tr>
      <w:tr>
        <w:trPr>
          <w:trHeight w:val="161"/>
        </w:trPr>
        <w:tc>
          <w:tcPr>
            <w:tcW w:w="6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b w:val="1"/>
                <w:bCs w:val="1"/>
                <w:color w:val="auto"/>
              </w:rPr>
              <w:t>Net change in cash and cash equivalents</w:t>
            </w:r>
          </w:p>
        </w:tc>
        <w:tc>
          <w:tcPr>
            <w:tcW w:w="148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2"/>
                <w:szCs w:val="12"/>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9.4</w:t>
            </w: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2"/>
                <w:szCs w:val="12"/>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75.2</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Operating Activities</w:t>
      </w:r>
    </w:p>
    <w:p>
      <w:pPr>
        <w:spacing w:after="0" w:line="118" w:lineRule="exact"/>
        <w:rPr>
          <w:sz w:val="20"/>
          <w:szCs w:val="20"/>
          <w:color w:val="auto"/>
        </w:rPr>
      </w:pPr>
    </w:p>
    <w:p>
      <w:pPr>
        <w:ind w:right="40" w:firstLine="439"/>
        <w:spacing w:after="0" w:line="252" w:lineRule="auto"/>
        <w:rPr>
          <w:sz w:val="20"/>
          <w:szCs w:val="20"/>
          <w:color w:val="auto"/>
        </w:rPr>
      </w:pPr>
      <w:r>
        <w:rPr>
          <w:rFonts w:ascii="Arial" w:cs="Arial" w:eastAsia="Arial" w:hAnsi="Arial"/>
          <w:sz w:val="12"/>
          <w:szCs w:val="12"/>
          <w:color w:val="auto"/>
        </w:rPr>
        <w:t>Net cash used in operating activities reflects, among other things, the amounts used to advance our clinical trials and preclinical activities. The principal use of cash in operating activities for all periods presented was primarily the result of our net loss, adjusted for non-cash items. The nine months ended September 30, 2021 benefited from the $25.0 million upfront payment under the 2021 Zai Lab Agreement and the $10.4 million premium over the share price under the Stock Purchase Agreement with Zai Lab.</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Investing Activities</w:t>
      </w:r>
    </w:p>
    <w:p>
      <w:pPr>
        <w:spacing w:after="0" w:line="109" w:lineRule="exact"/>
        <w:rPr>
          <w:sz w:val="20"/>
          <w:szCs w:val="20"/>
          <w:color w:val="auto"/>
        </w:rPr>
      </w:pPr>
    </w:p>
    <w:p>
      <w:pPr>
        <w:ind w:right="260" w:firstLine="439"/>
        <w:spacing w:after="0" w:line="282" w:lineRule="auto"/>
        <w:rPr>
          <w:sz w:val="20"/>
          <w:szCs w:val="20"/>
          <w:color w:val="auto"/>
        </w:rPr>
      </w:pPr>
      <w:r>
        <w:rPr>
          <w:rFonts w:ascii="Arial" w:cs="Arial" w:eastAsia="Arial" w:hAnsi="Arial"/>
          <w:sz w:val="12"/>
          <w:szCs w:val="12"/>
          <w:color w:val="auto"/>
        </w:rPr>
        <w:t>Net cash used in investing activities during the nine months ended September 30, 2021 is primarily due to purchases of marketable securities, partially offset by maturities of marketable securities. Net cash provided by investing activities during the nine months ended September 30, 2020 is primarily due to maturities of marketable securities, partially offset by purchases of marketable securities.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Financing Activities</w:t>
      </w:r>
    </w:p>
    <w:p>
      <w:pPr>
        <w:spacing w:after="0" w:line="118" w:lineRule="exact"/>
        <w:rPr>
          <w:sz w:val="20"/>
          <w:szCs w:val="20"/>
          <w:color w:val="auto"/>
        </w:rPr>
      </w:pPr>
    </w:p>
    <w:p>
      <w:pPr>
        <w:ind w:firstLine="439"/>
        <w:spacing w:after="0" w:line="282" w:lineRule="auto"/>
        <w:rPr>
          <w:sz w:val="20"/>
          <w:szCs w:val="20"/>
          <w:color w:val="auto"/>
        </w:rPr>
      </w:pPr>
      <w:r>
        <w:rPr>
          <w:rFonts w:ascii="Arial" w:cs="Arial" w:eastAsia="Arial" w:hAnsi="Arial"/>
          <w:sz w:val="12"/>
          <w:szCs w:val="12"/>
          <w:color w:val="auto"/>
        </w:rPr>
        <w:t>Net cash provided by financing activities for the nine months ended September 30, 2021 reflects net cash proceeds from our securities offerings of approximately $98.2 million and approximately $19.6 million from Zai Lab under the Stock Purchase Agreement.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do not have any off-balance sheet arrangements, as defined under the rules and regulations of the Securities and Exchange Commission (SEC).</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679" w:right="299" w:bottom="1440" w:gutter="0" w:footer="0" w:header="0"/>
        </w:sectPr>
      </w:pPr>
    </w:p>
    <w:bookmarkStart w:id="30" w:name="page31"/>
    <w:bookmarkEnd w:id="30"/>
    <w:p>
      <w:pPr>
        <w:spacing w:after="0"/>
        <w:tabs>
          <w:tab w:leader="none" w:pos="90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149" w:lineRule="exact"/>
        <w:rPr>
          <w:sz w:val="20"/>
          <w:szCs w:val="20"/>
          <w:color w:val="auto"/>
        </w:rPr>
      </w:pPr>
    </w:p>
    <w:p>
      <w:pPr>
        <w:ind w:firstLine="439"/>
        <w:spacing w:after="0" w:line="290" w:lineRule="auto"/>
        <w:rPr>
          <w:sz w:val="20"/>
          <w:szCs w:val="20"/>
          <w:color w:val="auto"/>
        </w:rPr>
      </w:pPr>
      <w:r>
        <w:rPr>
          <w:rFonts w:ascii="Arial" w:cs="Arial" w:eastAsia="Arial" w:hAnsi="Arial"/>
          <w:sz w:val="11"/>
          <w:szCs w:val="11"/>
          <w:color w:val="auto"/>
        </w:rPr>
        <w:t xml:space="preserve">Our primary objective when considering our investment activities is to preserve capital in order to fund our operations. We also seek to maximize income from our investments without assuming significant risk. Our current investment policy is to invest principally in deposits and securities issued by the U.S. government and its agencies, Government Sponsored Enterprise agency debt obligations, corporate debt obligations and money market instruments. As of September 30, 2021, we had cash, cash equivalents and marketable securities of $298.9 million. Our primary exposure to market risk is related to changes in interest rates. </w:t>
      </w:r>
      <w:r>
        <w:rPr>
          <w:rFonts w:ascii="Arial" w:cs="Arial" w:eastAsia="Arial" w:hAnsi="Arial"/>
          <w:sz w:val="11"/>
          <w:szCs w:val="11"/>
          <w:color w:val="252525"/>
        </w:rPr>
        <w:t>Due to the short-term maturities of our</w:t>
      </w:r>
      <w:r>
        <w:rPr>
          <w:rFonts w:ascii="Arial" w:cs="Arial" w:eastAsia="Arial" w:hAnsi="Arial"/>
          <w:sz w:val="11"/>
          <w:szCs w:val="11"/>
          <w:color w:val="auto"/>
        </w:rPr>
        <w:t xml:space="preserve"> </w:t>
      </w:r>
      <w:r>
        <w:rPr>
          <w:rFonts w:ascii="Arial" w:cs="Arial" w:eastAsia="Arial" w:hAnsi="Arial"/>
          <w:sz w:val="11"/>
          <w:szCs w:val="11"/>
          <w:color w:val="252525"/>
        </w:rPr>
        <w:t>cash equivalents and marketable securities and the low risk profile of our marketable securities, an immediate 100 basis point change in interest rates would not have a material effect on the fair market value of our cash equivalents and marketable securities. We have the ability to hold our marketable securities until maturity, and we therefore do not expect a change in market interest rates to affect our operating results or cash flows to any significant degree.</w:t>
      </w:r>
    </w:p>
    <w:p>
      <w:pPr>
        <w:spacing w:after="0" w:line="228"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Disclosure Controls and Procedures</w:t>
      </w:r>
    </w:p>
    <w:p>
      <w:pPr>
        <w:spacing w:after="0" w:line="85" w:lineRule="exact"/>
        <w:rPr>
          <w:sz w:val="20"/>
          <w:szCs w:val="20"/>
          <w:color w:val="auto"/>
        </w:rPr>
      </w:pPr>
    </w:p>
    <w:p>
      <w:pPr>
        <w:ind w:right="40" w:firstLine="439"/>
        <w:spacing w:after="0" w:line="261" w:lineRule="auto"/>
        <w:rPr>
          <w:sz w:val="20"/>
          <w:szCs w:val="20"/>
          <w:color w:val="auto"/>
        </w:rPr>
      </w:pPr>
      <w:r>
        <w:rPr>
          <w:rFonts w:ascii="Arial" w:cs="Arial" w:eastAsia="Arial" w:hAnsi="Arial"/>
          <w:sz w:val="12"/>
          <w:szCs w:val="12"/>
          <w:color w:val="auto"/>
        </w:rPr>
        <w:t>Our management, including our principal executive officer and principal financial officer, has evaluated the effectiveness of our disclosure controls and procedures as of September 30, 2021. Our disclosure controls and procedures are designed to provide reasonable assurance that the information required to be disclosed in our periodic reports filed with the SEC (such as this Quarterly Report on Form 10-Q) has been appropriately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 Based on their evaluation of our disclosure controls and procedures as of September 30, 2021, our principal executive officer and principal financial officer have concluded that our disclosure controls and procedures are effective at the reasonable assurance level.</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w:t>
      </w:r>
    </w:p>
    <w:p>
      <w:pPr>
        <w:spacing w:after="0" w:line="85" w:lineRule="exact"/>
        <w:rPr>
          <w:sz w:val="20"/>
          <w:szCs w:val="20"/>
          <w:color w:val="auto"/>
        </w:rPr>
      </w:pPr>
    </w:p>
    <w:p>
      <w:pPr>
        <w:ind w:right="360" w:firstLine="439"/>
        <w:spacing w:after="0" w:line="282" w:lineRule="auto"/>
        <w:rPr>
          <w:sz w:val="20"/>
          <w:szCs w:val="20"/>
          <w:color w:val="auto"/>
        </w:rPr>
      </w:pPr>
      <w:r>
        <w:rPr>
          <w:rFonts w:ascii="Arial" w:cs="Arial" w:eastAsia="Arial" w:hAnsi="Arial"/>
          <w:sz w:val="12"/>
          <w:szCs w:val="12"/>
          <w:color w:val="auto"/>
        </w:rPr>
        <w:t>There were no changes in our internal control over financial reporting during the three months ended September 30, 2021 that materially affected, or are reasonably likely to materially effect, our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II. OTHER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85" w:lineRule="exact"/>
        <w:rPr>
          <w:sz w:val="20"/>
          <w:szCs w:val="20"/>
          <w:color w:val="auto"/>
        </w:rPr>
      </w:pPr>
    </w:p>
    <w:p>
      <w:pPr>
        <w:ind w:right="300" w:firstLine="439"/>
        <w:spacing w:after="0" w:line="346" w:lineRule="auto"/>
        <w:rPr>
          <w:sz w:val="20"/>
          <w:szCs w:val="20"/>
          <w:color w:val="auto"/>
        </w:rPr>
      </w:pPr>
      <w:r>
        <w:rPr>
          <w:rFonts w:ascii="Arial" w:cs="Arial" w:eastAsia="Arial" w:hAnsi="Arial"/>
          <w:sz w:val="10"/>
          <w:szCs w:val="10"/>
          <w:color w:val="auto"/>
        </w:rPr>
        <w:t>In the ordinary course of business, we are or may be involved in various legal or regulatory proceedings, claims or class actions related to alleged patent infringements and other intellectual property rights, or alleged violation of commercial, corporate, securities, labor and employment, and other matters incidental to our business. We do not currently, however, expect such legal proceedings to have a material adverse effect on our business, financial condition or results of operations. However, depending on the nature and timing of a given dispute, an eventual unfavorable resolution could materially affect our current or future results of operations or cash flows.</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See note 9, Commitments and Contingencies, to the consolidated financial statements of this Quarterly Report on Form 10-Q for more information.</w:t>
      </w:r>
    </w:p>
    <w:p>
      <w:pPr>
        <w:spacing w:after="0" w:line="196" w:lineRule="exact"/>
        <w:rPr>
          <w:sz w:val="20"/>
          <w:szCs w:val="20"/>
          <w:color w:val="auto"/>
        </w:rPr>
      </w:pPr>
    </w:p>
    <w:p>
      <w:pPr>
        <w:spacing w:after="0"/>
        <w:tabs>
          <w:tab w:leader="none" w:pos="92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0"/>
          <w:szCs w:val="10"/>
          <w:b w:val="1"/>
          <w:bCs w:val="1"/>
          <w:color w:val="auto"/>
        </w:rPr>
        <w:t>Risk Factors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There have been no material changes in the risk factors described in “Item 1A. Risk Factors” of our Annual Report on Form 10-K for the year ended December 31, 2020.</w:t>
      </w:r>
    </w:p>
    <w:p>
      <w:pPr>
        <w:spacing w:after="0" w:line="2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85" w:lineRule="exact"/>
        <w:rPr>
          <w:sz w:val="20"/>
          <w:szCs w:val="20"/>
          <w:color w:val="auto"/>
        </w:rPr>
      </w:pPr>
    </w:p>
    <w:p>
      <w:pPr>
        <w:ind w:right="60" w:firstLine="439"/>
        <w:spacing w:after="0" w:line="263" w:lineRule="auto"/>
        <w:rPr>
          <w:sz w:val="20"/>
          <w:szCs w:val="20"/>
          <w:color w:val="auto"/>
        </w:rPr>
      </w:pPr>
      <w:r>
        <w:rPr>
          <w:rFonts w:ascii="Arial" w:cs="Arial" w:eastAsia="Arial" w:hAnsi="Arial"/>
          <w:sz w:val="12"/>
          <w:szCs w:val="12"/>
          <w:color w:val="auto"/>
        </w:rPr>
        <w:t>On June 15, 2021, we entered into a stock purchase agreement in which we agreed to issue and sell to Zai Lab an aggregate of 958,467 newly issued shares of our common stock (Shares), with a per share purchase price of $31.30 for aggregate gross proceeds of approximately $30.0 million. We completed the private placement on July 1, 2021. Our offering and sale of the Shares were made in reliance on an exemption from registration under Section 4(a)(2) of the Securities Act of 1933, as amended. For more information, please refer to Part I, Item 2, “Management’s Discussion and Analysis of Financial Condition and Results of Operation - Collaborations - Zai Lab" in this Quarterly Report on Form 10-Q.</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wp:posOffset>
            </wp:positionV>
            <wp:extent cx="720217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59"/>
        </w:trPr>
        <w:tc>
          <w:tcPr>
            <w:tcW w:w="620" w:type="dxa"/>
            <w:vAlign w:val="bottom"/>
          </w:tcPr>
          <w:p>
            <w:pPr>
              <w:spacing w:after="0"/>
              <w:rPr>
                <w:sz w:val="20"/>
                <w:szCs w:val="20"/>
                <w:color w:val="auto"/>
              </w:rPr>
            </w:pPr>
            <w:r>
              <w:rPr>
                <w:rFonts w:ascii="Arial" w:cs="Arial" w:eastAsia="Arial" w:hAnsi="Arial"/>
                <w:sz w:val="12"/>
                <w:szCs w:val="12"/>
                <w:b w:val="1"/>
                <w:bCs w:val="1"/>
                <w:color w:val="auto"/>
              </w:rPr>
              <w:t>Item 6.</w:t>
            </w:r>
          </w:p>
        </w:tc>
        <w:tc>
          <w:tcPr>
            <w:tcW w:w="10680" w:type="dxa"/>
            <w:vAlign w:val="bottom"/>
            <w:gridSpan w:val="6"/>
          </w:tcPr>
          <w:p>
            <w:pPr>
              <w:ind w:left="160"/>
              <w:spacing w:after="0"/>
              <w:rPr>
                <w:sz w:val="20"/>
                <w:szCs w:val="20"/>
                <w:color w:val="auto"/>
              </w:rPr>
            </w:pPr>
            <w:r>
              <w:rPr>
                <w:rFonts w:ascii="Arial" w:cs="Arial" w:eastAsia="Arial" w:hAnsi="Arial"/>
                <w:sz w:val="12"/>
                <w:szCs w:val="12"/>
                <w:b w:val="1"/>
                <w:bCs w:val="1"/>
                <w:color w:val="auto"/>
              </w:rPr>
              <w:t>Exhibits</w:t>
            </w:r>
          </w:p>
        </w:tc>
      </w:tr>
      <w:tr>
        <w:trPr>
          <w:trHeight w:val="211"/>
        </w:trPr>
        <w:tc>
          <w:tcPr>
            <w:tcW w:w="620" w:type="dxa"/>
            <w:vAlign w:val="bottom"/>
          </w:tcPr>
          <w:p>
            <w:pPr>
              <w:spacing w:after="0"/>
              <w:rPr>
                <w:sz w:val="20"/>
                <w:szCs w:val="20"/>
                <w:color w:val="auto"/>
              </w:rPr>
            </w:pPr>
            <w:r>
              <w:rPr>
                <w:rFonts w:ascii="Arial" w:cs="Arial" w:eastAsia="Arial" w:hAnsi="Arial"/>
                <w:sz w:val="12"/>
                <w:szCs w:val="12"/>
                <w:color w:val="auto"/>
              </w:rPr>
              <w:t>31.1</w:t>
            </w:r>
          </w:p>
        </w:tc>
        <w:tc>
          <w:tcPr>
            <w:tcW w:w="1040" w:type="dxa"/>
            <w:vAlign w:val="bottom"/>
          </w:tcPr>
          <w:p>
            <w:pPr>
              <w:spacing w:after="0"/>
              <w:rPr>
                <w:sz w:val="18"/>
                <w:szCs w:val="18"/>
                <w:color w:val="auto"/>
              </w:rPr>
            </w:pPr>
          </w:p>
        </w:tc>
        <w:tc>
          <w:tcPr>
            <w:tcW w:w="2880" w:type="dxa"/>
            <w:vAlign w:val="bottom"/>
            <w:tcBorders>
              <w:bottom w:val="single" w:sz="8" w:color="0000FF"/>
            </w:tcBorders>
            <w:gridSpan w:val="4"/>
          </w:tcPr>
          <w:p>
            <w:pPr>
              <w:spacing w:after="0"/>
              <w:rPr>
                <w:rFonts w:ascii="Arial" w:cs="Arial" w:eastAsia="Arial" w:hAnsi="Arial"/>
                <w:sz w:val="12"/>
                <w:szCs w:val="12"/>
                <w:color w:val="0000FF"/>
                <w:w w:val="94"/>
              </w:rPr>
            </w:pPr>
            <w:hyperlink w:anchor="page34">
              <w:r>
                <w:rPr>
                  <w:rFonts w:ascii="Arial" w:cs="Arial" w:eastAsia="Arial" w:hAnsi="Arial"/>
                  <w:sz w:val="12"/>
                  <w:szCs w:val="12"/>
                  <w:color w:val="0000FF"/>
                  <w:w w:val="94"/>
                </w:rPr>
                <w:t>Rule 13a-14(a) Certification of Principal Executive Officer</w:t>
              </w:r>
            </w:hyperlink>
          </w:p>
        </w:tc>
        <w:tc>
          <w:tcPr>
            <w:tcW w:w="6760" w:type="dxa"/>
            <w:vAlign w:val="bottom"/>
          </w:tcPr>
          <w:p>
            <w:pPr>
              <w:spacing w:after="0"/>
              <w:rPr>
                <w:sz w:val="18"/>
                <w:szCs w:val="18"/>
                <w:color w:val="auto"/>
              </w:rPr>
            </w:pPr>
          </w:p>
        </w:tc>
      </w:tr>
      <w:tr>
        <w:trPr>
          <w:trHeight w:val="318"/>
        </w:trPr>
        <w:tc>
          <w:tcPr>
            <w:tcW w:w="620" w:type="dxa"/>
            <w:vAlign w:val="bottom"/>
          </w:tcPr>
          <w:p>
            <w:pPr>
              <w:spacing w:after="0"/>
              <w:rPr>
                <w:sz w:val="20"/>
                <w:szCs w:val="20"/>
                <w:color w:val="auto"/>
              </w:rPr>
            </w:pPr>
            <w:r>
              <w:rPr>
                <w:rFonts w:ascii="Arial" w:cs="Arial" w:eastAsia="Arial" w:hAnsi="Arial"/>
                <w:sz w:val="12"/>
                <w:szCs w:val="12"/>
                <w:color w:val="auto"/>
              </w:rPr>
              <w:t>31.2</w:t>
            </w:r>
          </w:p>
        </w:tc>
        <w:tc>
          <w:tcPr>
            <w:tcW w:w="1040" w:type="dxa"/>
            <w:vAlign w:val="bottom"/>
          </w:tcPr>
          <w:p>
            <w:pPr>
              <w:spacing w:after="0"/>
              <w:rPr>
                <w:sz w:val="24"/>
                <w:szCs w:val="24"/>
                <w:color w:val="auto"/>
              </w:rPr>
            </w:pPr>
          </w:p>
        </w:tc>
        <w:tc>
          <w:tcPr>
            <w:tcW w:w="9640" w:type="dxa"/>
            <w:vAlign w:val="bottom"/>
            <w:gridSpan w:val="5"/>
          </w:tcPr>
          <w:p>
            <w:pPr>
              <w:spacing w:after="0"/>
              <w:rPr>
                <w:rFonts w:ascii="Arial" w:cs="Arial" w:eastAsia="Arial" w:hAnsi="Arial"/>
                <w:sz w:val="12"/>
                <w:szCs w:val="12"/>
                <w:color w:val="0000FF"/>
              </w:rPr>
            </w:pPr>
            <w:hyperlink w:anchor="page35">
              <w:r>
                <w:rPr>
                  <w:rFonts w:ascii="Arial" w:cs="Arial" w:eastAsia="Arial" w:hAnsi="Arial"/>
                  <w:sz w:val="12"/>
                  <w:szCs w:val="12"/>
                  <w:color w:val="0000FF"/>
                </w:rPr>
                <w:t>Rule 13a-14(a) Certification of Principal Financial Officer</w:t>
              </w:r>
            </w:hyperlink>
          </w:p>
        </w:tc>
      </w:tr>
      <w:tr>
        <w:trPr>
          <w:trHeight w:val="318"/>
        </w:trPr>
        <w:tc>
          <w:tcPr>
            <w:tcW w:w="620" w:type="dxa"/>
            <w:vAlign w:val="bottom"/>
          </w:tcPr>
          <w:p>
            <w:pPr>
              <w:spacing w:after="0"/>
              <w:rPr>
                <w:sz w:val="20"/>
                <w:szCs w:val="20"/>
                <w:color w:val="auto"/>
              </w:rPr>
            </w:pPr>
            <w:r>
              <w:rPr>
                <w:rFonts w:ascii="Arial" w:cs="Arial" w:eastAsia="Arial" w:hAnsi="Arial"/>
                <w:sz w:val="12"/>
                <w:szCs w:val="12"/>
                <w:color w:val="auto"/>
              </w:rPr>
              <w:t>32.1</w:t>
            </w:r>
          </w:p>
        </w:tc>
        <w:tc>
          <w:tcPr>
            <w:tcW w:w="1040" w:type="dxa"/>
            <w:vAlign w:val="bottom"/>
          </w:tcPr>
          <w:p>
            <w:pPr>
              <w:spacing w:after="0"/>
              <w:rPr>
                <w:sz w:val="24"/>
                <w:szCs w:val="24"/>
                <w:color w:val="auto"/>
              </w:rPr>
            </w:pPr>
          </w:p>
        </w:tc>
        <w:tc>
          <w:tcPr>
            <w:tcW w:w="2840" w:type="dxa"/>
            <w:vAlign w:val="bottom"/>
            <w:tcBorders>
              <w:top w:val="single" w:sz="8" w:color="0000FF"/>
            </w:tcBorders>
            <w:gridSpan w:val="3"/>
          </w:tcPr>
          <w:p>
            <w:pPr>
              <w:spacing w:after="0"/>
              <w:rPr>
                <w:rFonts w:ascii="Arial" w:cs="Arial" w:eastAsia="Arial" w:hAnsi="Arial"/>
                <w:sz w:val="12"/>
                <w:szCs w:val="12"/>
                <w:color w:val="0000FF"/>
                <w:w w:val="96"/>
              </w:rPr>
            </w:pPr>
            <w:hyperlink w:anchor="page36">
              <w:r>
                <w:rPr>
                  <w:rFonts w:ascii="Arial" w:cs="Arial" w:eastAsia="Arial" w:hAnsi="Arial"/>
                  <w:sz w:val="12"/>
                  <w:szCs w:val="12"/>
                  <w:color w:val="0000FF"/>
                  <w:w w:val="96"/>
                </w:rPr>
                <w:t>Section 1350 Certification of Principal Executive Officer</w:t>
              </w:r>
            </w:hyperlink>
          </w:p>
        </w:tc>
        <w:tc>
          <w:tcPr>
            <w:tcW w:w="6800" w:type="dxa"/>
            <w:vAlign w:val="bottom"/>
            <w:gridSpan w:val="2"/>
          </w:tcPr>
          <w:p>
            <w:pPr>
              <w:spacing w:after="0"/>
              <w:rPr>
                <w:sz w:val="24"/>
                <w:szCs w:val="24"/>
                <w:color w:val="auto"/>
              </w:rPr>
            </w:pPr>
          </w:p>
        </w:tc>
      </w:tr>
      <w:tr>
        <w:trPr>
          <w:trHeight w:val="318"/>
        </w:trPr>
        <w:tc>
          <w:tcPr>
            <w:tcW w:w="620" w:type="dxa"/>
            <w:vAlign w:val="bottom"/>
          </w:tcPr>
          <w:p>
            <w:pPr>
              <w:spacing w:after="0"/>
              <w:rPr>
                <w:sz w:val="20"/>
                <w:szCs w:val="20"/>
                <w:color w:val="auto"/>
              </w:rPr>
            </w:pPr>
            <w:r>
              <w:rPr>
                <w:rFonts w:ascii="Arial" w:cs="Arial" w:eastAsia="Arial" w:hAnsi="Arial"/>
                <w:sz w:val="12"/>
                <w:szCs w:val="12"/>
                <w:color w:val="auto"/>
              </w:rPr>
              <w:t>32.2</w:t>
            </w:r>
          </w:p>
        </w:tc>
        <w:tc>
          <w:tcPr>
            <w:tcW w:w="1040" w:type="dxa"/>
            <w:vAlign w:val="bottom"/>
          </w:tcPr>
          <w:p>
            <w:pPr>
              <w:spacing w:after="0"/>
              <w:rPr>
                <w:sz w:val="24"/>
                <w:szCs w:val="24"/>
                <w:color w:val="auto"/>
              </w:rPr>
            </w:pPr>
          </w:p>
        </w:tc>
        <w:tc>
          <w:tcPr>
            <w:tcW w:w="2780" w:type="dxa"/>
            <w:vAlign w:val="bottom"/>
            <w:tcBorders>
              <w:top w:val="single" w:sz="8" w:color="0000FF"/>
            </w:tcBorders>
            <w:gridSpan w:val="2"/>
          </w:tcPr>
          <w:p>
            <w:pPr>
              <w:spacing w:after="0"/>
              <w:rPr>
                <w:rFonts w:ascii="Arial" w:cs="Arial" w:eastAsia="Arial" w:hAnsi="Arial"/>
                <w:sz w:val="12"/>
                <w:szCs w:val="12"/>
                <w:color w:val="0000FF"/>
                <w:w w:val="95"/>
              </w:rPr>
            </w:pPr>
            <w:hyperlink w:anchor="page37">
              <w:r>
                <w:rPr>
                  <w:rFonts w:ascii="Arial" w:cs="Arial" w:eastAsia="Arial" w:hAnsi="Arial"/>
                  <w:sz w:val="12"/>
                  <w:szCs w:val="12"/>
                  <w:color w:val="0000FF"/>
                  <w:w w:val="95"/>
                </w:rPr>
                <w:t>Section 1350 Certification of Principal Financial Officer</w:t>
              </w:r>
            </w:hyperlink>
          </w:p>
        </w:tc>
        <w:tc>
          <w:tcPr>
            <w:tcW w:w="6860" w:type="dxa"/>
            <w:vAlign w:val="bottom"/>
            <w:gridSpan w:val="3"/>
          </w:tcPr>
          <w:p>
            <w:pPr>
              <w:spacing w:after="0"/>
              <w:rPr>
                <w:sz w:val="24"/>
                <w:szCs w:val="24"/>
                <w:color w:val="auto"/>
              </w:rPr>
            </w:pPr>
          </w:p>
        </w:tc>
      </w:tr>
      <w:tr>
        <w:trPr>
          <w:trHeight w:val="345"/>
        </w:trPr>
        <w:tc>
          <w:tcPr>
            <w:tcW w:w="620" w:type="dxa"/>
            <w:vAlign w:val="bottom"/>
          </w:tcPr>
          <w:p>
            <w:pPr>
              <w:spacing w:after="0"/>
              <w:rPr>
                <w:sz w:val="20"/>
                <w:szCs w:val="20"/>
                <w:color w:val="auto"/>
              </w:rPr>
            </w:pPr>
            <w:r>
              <w:rPr>
                <w:rFonts w:ascii="Arial" w:cs="Arial" w:eastAsia="Arial" w:hAnsi="Arial"/>
                <w:sz w:val="12"/>
                <w:szCs w:val="12"/>
                <w:color w:val="auto"/>
              </w:rPr>
              <w:t>101.INS</w:t>
            </w:r>
          </w:p>
        </w:tc>
        <w:tc>
          <w:tcPr>
            <w:tcW w:w="1040" w:type="dxa"/>
            <w:vAlign w:val="bottom"/>
          </w:tcPr>
          <w:p>
            <w:pPr>
              <w:spacing w:after="0"/>
              <w:rPr>
                <w:sz w:val="24"/>
                <w:szCs w:val="24"/>
                <w:color w:val="auto"/>
              </w:rPr>
            </w:pPr>
          </w:p>
        </w:tc>
        <w:tc>
          <w:tcPr>
            <w:tcW w:w="2740" w:type="dxa"/>
            <w:vAlign w:val="bottom"/>
            <w:tcBorders>
              <w:top w:val="single" w:sz="8" w:color="0000FF"/>
            </w:tcBorders>
          </w:tcPr>
          <w:p>
            <w:pPr>
              <w:spacing w:after="0"/>
              <w:rPr>
                <w:sz w:val="20"/>
                <w:szCs w:val="20"/>
                <w:color w:val="auto"/>
              </w:rPr>
            </w:pPr>
            <w:r>
              <w:rPr>
                <w:rFonts w:ascii="Arial" w:cs="Arial" w:eastAsia="Arial" w:hAnsi="Arial"/>
                <w:sz w:val="12"/>
                <w:szCs w:val="12"/>
                <w:color w:val="auto"/>
              </w:rPr>
              <w:t>XBRL Instance Document</w:t>
            </w:r>
          </w:p>
        </w:tc>
        <w:tc>
          <w:tcPr>
            <w:tcW w:w="6900" w:type="dxa"/>
            <w:vAlign w:val="bottom"/>
            <w:gridSpan w:val="4"/>
          </w:tcPr>
          <w:p>
            <w:pPr>
              <w:spacing w:after="0"/>
              <w:rPr>
                <w:sz w:val="24"/>
                <w:szCs w:val="24"/>
                <w:color w:val="auto"/>
              </w:rPr>
            </w:pPr>
          </w:p>
        </w:tc>
      </w:tr>
      <w:tr>
        <w:trPr>
          <w:trHeight w:val="338"/>
        </w:trPr>
        <w:tc>
          <w:tcPr>
            <w:tcW w:w="620" w:type="dxa"/>
            <w:vAlign w:val="bottom"/>
          </w:tcPr>
          <w:p>
            <w:pPr>
              <w:spacing w:after="0"/>
              <w:rPr>
                <w:sz w:val="20"/>
                <w:szCs w:val="20"/>
                <w:color w:val="auto"/>
              </w:rPr>
            </w:pPr>
            <w:r>
              <w:rPr>
                <w:rFonts w:ascii="Arial" w:cs="Arial" w:eastAsia="Arial" w:hAnsi="Arial"/>
                <w:sz w:val="12"/>
                <w:szCs w:val="12"/>
                <w:color w:val="auto"/>
              </w:rPr>
              <w:t>101.SCH</w:t>
            </w:r>
          </w:p>
        </w:tc>
        <w:tc>
          <w:tcPr>
            <w:tcW w:w="1040" w:type="dxa"/>
            <w:vAlign w:val="bottom"/>
          </w:tcPr>
          <w:p>
            <w:pPr>
              <w:spacing w:after="0"/>
              <w:rPr>
                <w:sz w:val="24"/>
                <w:szCs w:val="24"/>
                <w:color w:val="auto"/>
              </w:rPr>
            </w:pPr>
          </w:p>
        </w:tc>
        <w:tc>
          <w:tcPr>
            <w:tcW w:w="9640" w:type="dxa"/>
            <w:vAlign w:val="bottom"/>
            <w:gridSpan w:val="5"/>
          </w:tcPr>
          <w:p>
            <w:pPr>
              <w:spacing w:after="0"/>
              <w:rPr>
                <w:sz w:val="20"/>
                <w:szCs w:val="20"/>
                <w:color w:val="auto"/>
              </w:rPr>
            </w:pPr>
            <w:r>
              <w:rPr>
                <w:rFonts w:ascii="Arial" w:cs="Arial" w:eastAsia="Arial" w:hAnsi="Arial"/>
                <w:sz w:val="12"/>
                <w:szCs w:val="12"/>
                <w:color w:val="auto"/>
              </w:rPr>
              <w:t>XBRL Schema Document</w:t>
            </w:r>
          </w:p>
        </w:tc>
      </w:tr>
      <w:tr>
        <w:trPr>
          <w:trHeight w:val="338"/>
        </w:trPr>
        <w:tc>
          <w:tcPr>
            <w:tcW w:w="620" w:type="dxa"/>
            <w:vAlign w:val="bottom"/>
          </w:tcPr>
          <w:p>
            <w:pPr>
              <w:spacing w:after="0"/>
              <w:rPr>
                <w:sz w:val="20"/>
                <w:szCs w:val="20"/>
                <w:color w:val="auto"/>
              </w:rPr>
            </w:pPr>
            <w:r>
              <w:rPr>
                <w:rFonts w:ascii="Arial" w:cs="Arial" w:eastAsia="Arial" w:hAnsi="Arial"/>
                <w:sz w:val="12"/>
                <w:szCs w:val="12"/>
                <w:color w:val="auto"/>
              </w:rPr>
              <w:t>101.CAL</w:t>
            </w:r>
          </w:p>
        </w:tc>
        <w:tc>
          <w:tcPr>
            <w:tcW w:w="1040" w:type="dxa"/>
            <w:vAlign w:val="bottom"/>
          </w:tcPr>
          <w:p>
            <w:pPr>
              <w:spacing w:after="0"/>
              <w:rPr>
                <w:sz w:val="24"/>
                <w:szCs w:val="24"/>
                <w:color w:val="auto"/>
              </w:rPr>
            </w:pPr>
          </w:p>
        </w:tc>
        <w:tc>
          <w:tcPr>
            <w:tcW w:w="9640" w:type="dxa"/>
            <w:vAlign w:val="bottom"/>
            <w:gridSpan w:val="5"/>
          </w:tcPr>
          <w:p>
            <w:pPr>
              <w:spacing w:after="0"/>
              <w:rPr>
                <w:sz w:val="20"/>
                <w:szCs w:val="20"/>
                <w:color w:val="auto"/>
              </w:rPr>
            </w:pPr>
            <w:r>
              <w:rPr>
                <w:rFonts w:ascii="Arial" w:cs="Arial" w:eastAsia="Arial" w:hAnsi="Arial"/>
                <w:sz w:val="12"/>
                <w:szCs w:val="12"/>
                <w:color w:val="auto"/>
              </w:rPr>
              <w:t>XBRL Calculation Linkbase Document</w:t>
            </w:r>
          </w:p>
        </w:tc>
      </w:tr>
      <w:tr>
        <w:trPr>
          <w:trHeight w:val="338"/>
        </w:trPr>
        <w:tc>
          <w:tcPr>
            <w:tcW w:w="620" w:type="dxa"/>
            <w:vAlign w:val="bottom"/>
          </w:tcPr>
          <w:p>
            <w:pPr>
              <w:spacing w:after="0"/>
              <w:rPr>
                <w:sz w:val="20"/>
                <w:szCs w:val="20"/>
                <w:color w:val="auto"/>
              </w:rPr>
            </w:pPr>
            <w:r>
              <w:rPr>
                <w:rFonts w:ascii="Arial" w:cs="Arial" w:eastAsia="Arial" w:hAnsi="Arial"/>
                <w:sz w:val="12"/>
                <w:szCs w:val="12"/>
                <w:color w:val="auto"/>
              </w:rPr>
              <w:t>101.DEF</w:t>
            </w:r>
          </w:p>
        </w:tc>
        <w:tc>
          <w:tcPr>
            <w:tcW w:w="1040" w:type="dxa"/>
            <w:vAlign w:val="bottom"/>
          </w:tcPr>
          <w:p>
            <w:pPr>
              <w:spacing w:after="0"/>
              <w:rPr>
                <w:sz w:val="24"/>
                <w:szCs w:val="24"/>
                <w:color w:val="auto"/>
              </w:rPr>
            </w:pPr>
          </w:p>
        </w:tc>
        <w:tc>
          <w:tcPr>
            <w:tcW w:w="9640" w:type="dxa"/>
            <w:vAlign w:val="bottom"/>
            <w:gridSpan w:val="5"/>
          </w:tcPr>
          <w:p>
            <w:pPr>
              <w:spacing w:after="0"/>
              <w:rPr>
                <w:sz w:val="20"/>
                <w:szCs w:val="20"/>
                <w:color w:val="auto"/>
              </w:rPr>
            </w:pPr>
            <w:r>
              <w:rPr>
                <w:rFonts w:ascii="Arial" w:cs="Arial" w:eastAsia="Arial" w:hAnsi="Arial"/>
                <w:sz w:val="12"/>
                <w:szCs w:val="12"/>
                <w:color w:val="auto"/>
              </w:rPr>
              <w:t>XBRL Definition Linkbase Document</w:t>
            </w:r>
          </w:p>
        </w:tc>
      </w:tr>
      <w:tr>
        <w:trPr>
          <w:trHeight w:val="338"/>
        </w:trPr>
        <w:tc>
          <w:tcPr>
            <w:tcW w:w="620" w:type="dxa"/>
            <w:vAlign w:val="bottom"/>
          </w:tcPr>
          <w:p>
            <w:pPr>
              <w:spacing w:after="0"/>
              <w:rPr>
                <w:sz w:val="20"/>
                <w:szCs w:val="20"/>
                <w:color w:val="auto"/>
              </w:rPr>
            </w:pPr>
            <w:r>
              <w:rPr>
                <w:rFonts w:ascii="Arial" w:cs="Arial" w:eastAsia="Arial" w:hAnsi="Arial"/>
                <w:sz w:val="12"/>
                <w:szCs w:val="12"/>
                <w:color w:val="auto"/>
              </w:rPr>
              <w:t>101.LAB</w:t>
            </w:r>
          </w:p>
        </w:tc>
        <w:tc>
          <w:tcPr>
            <w:tcW w:w="1040" w:type="dxa"/>
            <w:vAlign w:val="bottom"/>
          </w:tcPr>
          <w:p>
            <w:pPr>
              <w:spacing w:after="0"/>
              <w:rPr>
                <w:sz w:val="24"/>
                <w:szCs w:val="24"/>
                <w:color w:val="auto"/>
              </w:rPr>
            </w:pPr>
          </w:p>
        </w:tc>
        <w:tc>
          <w:tcPr>
            <w:tcW w:w="9640" w:type="dxa"/>
            <w:vAlign w:val="bottom"/>
            <w:gridSpan w:val="5"/>
          </w:tcPr>
          <w:p>
            <w:pPr>
              <w:spacing w:after="0"/>
              <w:rPr>
                <w:sz w:val="20"/>
                <w:szCs w:val="20"/>
                <w:color w:val="auto"/>
              </w:rPr>
            </w:pPr>
            <w:r>
              <w:rPr>
                <w:rFonts w:ascii="Arial" w:cs="Arial" w:eastAsia="Arial" w:hAnsi="Arial"/>
                <w:sz w:val="12"/>
                <w:szCs w:val="12"/>
                <w:color w:val="auto"/>
              </w:rPr>
              <w:t>XBRL Labels Linkbase Document</w:t>
            </w:r>
          </w:p>
        </w:tc>
      </w:tr>
      <w:tr>
        <w:trPr>
          <w:trHeight w:val="338"/>
        </w:trPr>
        <w:tc>
          <w:tcPr>
            <w:tcW w:w="620" w:type="dxa"/>
            <w:vAlign w:val="bottom"/>
          </w:tcPr>
          <w:p>
            <w:pPr>
              <w:spacing w:after="0"/>
              <w:rPr>
                <w:sz w:val="20"/>
                <w:szCs w:val="20"/>
                <w:color w:val="auto"/>
              </w:rPr>
            </w:pPr>
            <w:r>
              <w:rPr>
                <w:rFonts w:ascii="Arial" w:cs="Arial" w:eastAsia="Arial" w:hAnsi="Arial"/>
                <w:sz w:val="12"/>
                <w:szCs w:val="12"/>
                <w:color w:val="auto"/>
              </w:rPr>
              <w:t>101.PRE</w:t>
            </w:r>
          </w:p>
        </w:tc>
        <w:tc>
          <w:tcPr>
            <w:tcW w:w="1040" w:type="dxa"/>
            <w:vAlign w:val="bottom"/>
          </w:tcPr>
          <w:p>
            <w:pPr>
              <w:spacing w:after="0"/>
              <w:rPr>
                <w:sz w:val="24"/>
                <w:szCs w:val="24"/>
                <w:color w:val="auto"/>
              </w:rPr>
            </w:pPr>
          </w:p>
        </w:tc>
        <w:tc>
          <w:tcPr>
            <w:tcW w:w="9640" w:type="dxa"/>
            <w:vAlign w:val="bottom"/>
            <w:gridSpan w:val="5"/>
          </w:tcPr>
          <w:p>
            <w:pPr>
              <w:spacing w:after="0"/>
              <w:rPr>
                <w:sz w:val="20"/>
                <w:szCs w:val="20"/>
                <w:color w:val="auto"/>
              </w:rPr>
            </w:pPr>
            <w:r>
              <w:rPr>
                <w:rFonts w:ascii="Arial" w:cs="Arial" w:eastAsia="Arial" w:hAnsi="Arial"/>
                <w:sz w:val="12"/>
                <w:szCs w:val="12"/>
                <w:color w:val="auto"/>
              </w:rPr>
              <w:t>XBRL Presentation Linkbase Document</w:t>
            </w:r>
          </w:p>
        </w:tc>
      </w:tr>
      <w:tr>
        <w:trPr>
          <w:trHeight w:val="302"/>
        </w:trPr>
        <w:tc>
          <w:tcPr>
            <w:tcW w:w="620" w:type="dxa"/>
            <w:vAlign w:val="bottom"/>
          </w:tcPr>
          <w:p>
            <w:pPr>
              <w:spacing w:after="0"/>
              <w:rPr>
                <w:sz w:val="20"/>
                <w:szCs w:val="20"/>
                <w:color w:val="auto"/>
              </w:rPr>
            </w:pPr>
            <w:r>
              <w:rPr>
                <w:rFonts w:ascii="Arial" w:cs="Arial" w:eastAsia="Arial" w:hAnsi="Arial"/>
                <w:sz w:val="12"/>
                <w:szCs w:val="12"/>
                <w:color w:val="auto"/>
              </w:rPr>
              <w:t>104</w:t>
            </w:r>
          </w:p>
        </w:tc>
        <w:tc>
          <w:tcPr>
            <w:tcW w:w="1040" w:type="dxa"/>
            <w:vAlign w:val="bottom"/>
          </w:tcPr>
          <w:p>
            <w:pPr>
              <w:spacing w:after="0"/>
              <w:rPr>
                <w:sz w:val="24"/>
                <w:szCs w:val="24"/>
                <w:color w:val="auto"/>
              </w:rPr>
            </w:pPr>
          </w:p>
        </w:tc>
        <w:tc>
          <w:tcPr>
            <w:tcW w:w="9640" w:type="dxa"/>
            <w:vAlign w:val="bottom"/>
            <w:gridSpan w:val="5"/>
          </w:tcPr>
          <w:p>
            <w:pPr>
              <w:spacing w:after="0"/>
              <w:rPr>
                <w:sz w:val="20"/>
                <w:szCs w:val="20"/>
                <w:color w:val="auto"/>
              </w:rPr>
            </w:pPr>
            <w:r>
              <w:rPr>
                <w:rFonts w:ascii="Arial" w:cs="Arial" w:eastAsia="Arial" w:hAnsi="Arial"/>
                <w:sz w:val="12"/>
                <w:szCs w:val="12"/>
                <w:color w:val="auto"/>
              </w:rPr>
              <w:t>Cover Page Interactive Data (formatted as Inline XBRL and contained in Exhibit 101 filed herewith)</w:t>
            </w:r>
          </w:p>
        </w:tc>
      </w:tr>
      <w:tr>
        <w:trPr>
          <w:trHeight w:val="951"/>
        </w:trPr>
        <w:tc>
          <w:tcPr>
            <w:tcW w:w="6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-23495</wp:posOffset>
            </wp:positionV>
            <wp:extent cx="311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-23495</wp:posOffset>
            </wp:positionV>
            <wp:extent cx="3111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02" w:right="299" w:bottom="1440" w:gutter="0" w:footer="0" w:header="0"/>
        </w:sectPr>
      </w:pPr>
    </w:p>
    <w:bookmarkStart w:id="32" w:name="page33"/>
    <w:bookmarkEnd w:id="32"/>
    <w:p>
      <w:pPr>
        <w:ind w:left="4820"/>
        <w:spacing w:after="0"/>
        <w:rPr>
          <w:sz w:val="20"/>
          <w:szCs w:val="20"/>
          <w:color w:val="auto"/>
        </w:rPr>
      </w:pPr>
      <w:r>
        <w:rPr>
          <w:rFonts w:ascii="Arial" w:cs="Arial" w:eastAsia="Arial" w:hAnsi="Arial"/>
          <w:sz w:val="12"/>
          <w:szCs w:val="12"/>
          <w:b w:val="1"/>
          <w:bCs w:val="1"/>
          <w:u w:val="single" w:color="auto"/>
          <w:color w:val="auto"/>
        </w:rPr>
        <w:t>SIGNATURES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36" w:lineRule="exact"/>
        <w:rPr>
          <w:sz w:val="20"/>
          <w:szCs w:val="20"/>
          <w:color w:val="auto"/>
        </w:rPr>
      </w:pPr>
    </w:p>
    <w:p>
      <w:pPr>
        <w:ind w:left="5440"/>
        <w:spacing w:after="0"/>
        <w:rPr>
          <w:sz w:val="20"/>
          <w:szCs w:val="20"/>
          <w:color w:val="auto"/>
        </w:rPr>
      </w:pPr>
      <w:r>
        <w:rPr>
          <w:rFonts w:ascii="Arial" w:cs="Arial" w:eastAsia="Arial" w:hAnsi="Arial"/>
          <w:sz w:val="12"/>
          <w:szCs w:val="12"/>
          <w:color w:val="auto"/>
        </w:rPr>
        <w:t>MACROGENICS, INC.</w:t>
      </w:r>
    </w:p>
    <w:p>
      <w:pPr>
        <w:spacing w:after="0" w:line="200" w:lineRule="exact"/>
        <w:rPr>
          <w:sz w:val="20"/>
          <w:szCs w:val="20"/>
          <w:color w:val="auto"/>
        </w:rPr>
      </w:pPr>
    </w:p>
    <w:tbl>
      <w:tblPr>
        <w:tblLayout w:type="fixed"/>
        <w:tblInd w:w="5440" w:type="dxa"/>
        <w:tblCellMar>
          <w:top w:w="0" w:type="dxa"/>
          <w:left w:w="0" w:type="dxa"/>
          <w:bottom w:w="0" w:type="dxa"/>
          <w:right w:w="0" w:type="dxa"/>
        </w:tblCellMar>
      </w:tblPr>
      <w:tr>
        <w:trPr>
          <w:trHeight w:val="155"/>
        </w:trPr>
        <w:tc>
          <w:tcPr>
            <w:tcW w:w="220" w:type="dxa"/>
            <w:vAlign w:val="bottom"/>
          </w:tcPr>
          <w:p>
            <w:pPr>
              <w:spacing w:after="0"/>
              <w:rPr>
                <w:sz w:val="20"/>
                <w:szCs w:val="20"/>
                <w:color w:val="auto"/>
              </w:rPr>
            </w:pPr>
            <w:r>
              <w:rPr>
                <w:rFonts w:ascii="Arial" w:cs="Arial" w:eastAsia="Arial" w:hAnsi="Arial"/>
                <w:sz w:val="12"/>
                <w:szCs w:val="12"/>
                <w:color w:val="auto"/>
              </w:rPr>
              <w:t>BY:</w:t>
            </w:r>
          </w:p>
        </w:tc>
        <w:tc>
          <w:tcPr>
            <w:tcW w:w="5160" w:type="dxa"/>
            <w:vAlign w:val="bottom"/>
            <w:tcBorders>
              <w:bottom w:val="single" w:sz="8" w:color="auto"/>
            </w:tcBorders>
          </w:tcPr>
          <w:p>
            <w:pPr>
              <w:ind w:left="440"/>
              <w:spacing w:after="0"/>
              <w:rPr>
                <w:sz w:val="20"/>
                <w:szCs w:val="20"/>
                <w:color w:val="auto"/>
              </w:rPr>
            </w:pPr>
            <w:r>
              <w:rPr>
                <w:rFonts w:ascii="Arial" w:cs="Arial" w:eastAsia="Arial" w:hAnsi="Arial"/>
                <w:sz w:val="12"/>
                <w:szCs w:val="12"/>
                <w:color w:val="auto"/>
              </w:rPr>
              <w:t>/s/ Scott Koenig</w:t>
            </w:r>
          </w:p>
        </w:tc>
      </w:tr>
      <w:tr>
        <w:trPr>
          <w:trHeight w:val="144"/>
        </w:trPr>
        <w:tc>
          <w:tcPr>
            <w:tcW w:w="220" w:type="dxa"/>
            <w:vAlign w:val="bottom"/>
          </w:tcPr>
          <w:p>
            <w:pPr>
              <w:spacing w:after="0"/>
              <w:rPr>
                <w:sz w:val="12"/>
                <w:szCs w:val="12"/>
                <w:color w:val="auto"/>
              </w:rPr>
            </w:pPr>
          </w:p>
        </w:tc>
        <w:tc>
          <w:tcPr>
            <w:tcW w:w="5160" w:type="dxa"/>
            <w:vAlign w:val="bottom"/>
          </w:tcPr>
          <w:p>
            <w:pPr>
              <w:ind w:left="440"/>
              <w:spacing w:after="0"/>
              <w:rPr>
                <w:sz w:val="20"/>
                <w:szCs w:val="20"/>
                <w:color w:val="auto"/>
              </w:rPr>
            </w:pPr>
            <w:r>
              <w:rPr>
                <w:rFonts w:ascii="Arial" w:cs="Arial" w:eastAsia="Arial" w:hAnsi="Arial"/>
                <w:sz w:val="12"/>
                <w:szCs w:val="12"/>
                <w:color w:val="auto"/>
              </w:rPr>
              <w:t>Scott Koenig, M.D., Ph.D.</w:t>
            </w:r>
          </w:p>
        </w:tc>
      </w:tr>
      <w:tr>
        <w:trPr>
          <w:trHeight w:val="155"/>
        </w:trPr>
        <w:tc>
          <w:tcPr>
            <w:tcW w:w="220" w:type="dxa"/>
            <w:vAlign w:val="bottom"/>
          </w:tcPr>
          <w:p>
            <w:pPr>
              <w:spacing w:after="0"/>
              <w:rPr>
                <w:sz w:val="13"/>
                <w:szCs w:val="13"/>
                <w:color w:val="auto"/>
              </w:rPr>
            </w:pPr>
          </w:p>
        </w:tc>
        <w:tc>
          <w:tcPr>
            <w:tcW w:w="5160" w:type="dxa"/>
            <w:vAlign w:val="bottom"/>
          </w:tcPr>
          <w:p>
            <w:pPr>
              <w:ind w:left="440"/>
              <w:spacing w:after="0"/>
              <w:rPr>
                <w:sz w:val="20"/>
                <w:szCs w:val="20"/>
                <w:color w:val="auto"/>
              </w:rPr>
            </w:pPr>
            <w:r>
              <w:rPr>
                <w:rFonts w:ascii="Arial" w:cs="Arial" w:eastAsia="Arial" w:hAnsi="Arial"/>
                <w:sz w:val="12"/>
                <w:szCs w:val="12"/>
                <w:color w:val="auto"/>
              </w:rPr>
              <w:t>President and Chief Executive Officer</w:t>
            </w:r>
          </w:p>
        </w:tc>
      </w:tr>
      <w:tr>
        <w:trPr>
          <w:trHeight w:val="155"/>
        </w:trPr>
        <w:tc>
          <w:tcPr>
            <w:tcW w:w="220" w:type="dxa"/>
            <w:vAlign w:val="bottom"/>
          </w:tcPr>
          <w:p>
            <w:pPr>
              <w:spacing w:after="0"/>
              <w:rPr>
                <w:sz w:val="13"/>
                <w:szCs w:val="13"/>
                <w:color w:val="auto"/>
              </w:rPr>
            </w:pPr>
          </w:p>
        </w:tc>
        <w:tc>
          <w:tcPr>
            <w:tcW w:w="5160" w:type="dxa"/>
            <w:vAlign w:val="bottom"/>
          </w:tcPr>
          <w:p>
            <w:pPr>
              <w:ind w:left="440"/>
              <w:spacing w:after="0"/>
              <w:rPr>
                <w:sz w:val="20"/>
                <w:szCs w:val="20"/>
                <w:color w:val="auto"/>
              </w:rPr>
            </w:pPr>
            <w:r>
              <w:rPr>
                <w:rFonts w:ascii="Arial" w:cs="Arial" w:eastAsia="Arial" w:hAnsi="Arial"/>
                <w:sz w:val="12"/>
                <w:szCs w:val="12"/>
                <w:color w:val="auto"/>
              </w:rPr>
              <w:t>(Principal Executive Officer)</w:t>
            </w:r>
          </w:p>
        </w:tc>
      </w:tr>
      <w:tr>
        <w:trPr>
          <w:trHeight w:val="338"/>
        </w:trPr>
        <w:tc>
          <w:tcPr>
            <w:tcW w:w="220" w:type="dxa"/>
            <w:vAlign w:val="bottom"/>
          </w:tcPr>
          <w:p>
            <w:pPr>
              <w:spacing w:after="0"/>
              <w:rPr>
                <w:sz w:val="20"/>
                <w:szCs w:val="20"/>
                <w:color w:val="auto"/>
              </w:rPr>
            </w:pPr>
            <w:r>
              <w:rPr>
                <w:rFonts w:ascii="Arial" w:cs="Arial" w:eastAsia="Arial" w:hAnsi="Arial"/>
                <w:sz w:val="12"/>
                <w:szCs w:val="12"/>
                <w:color w:val="auto"/>
              </w:rPr>
              <w:t>BY:</w:t>
            </w:r>
          </w:p>
        </w:tc>
        <w:tc>
          <w:tcPr>
            <w:tcW w:w="5160" w:type="dxa"/>
            <w:vAlign w:val="bottom"/>
            <w:tcBorders>
              <w:bottom w:val="single" w:sz="8" w:color="auto"/>
            </w:tcBorders>
          </w:tcPr>
          <w:p>
            <w:pPr>
              <w:ind w:left="440"/>
              <w:spacing w:after="0"/>
              <w:rPr>
                <w:sz w:val="20"/>
                <w:szCs w:val="20"/>
                <w:color w:val="auto"/>
              </w:rPr>
            </w:pPr>
            <w:r>
              <w:rPr>
                <w:rFonts w:ascii="Arial" w:cs="Arial" w:eastAsia="Arial" w:hAnsi="Arial"/>
                <w:sz w:val="12"/>
                <w:szCs w:val="12"/>
                <w:color w:val="auto"/>
              </w:rPr>
              <w:t>/s/ James Karrels</w:t>
            </w:r>
          </w:p>
        </w:tc>
      </w:tr>
      <w:tr>
        <w:trPr>
          <w:trHeight w:val="144"/>
        </w:trPr>
        <w:tc>
          <w:tcPr>
            <w:tcW w:w="220" w:type="dxa"/>
            <w:vAlign w:val="bottom"/>
          </w:tcPr>
          <w:p>
            <w:pPr>
              <w:spacing w:after="0"/>
              <w:rPr>
                <w:sz w:val="12"/>
                <w:szCs w:val="12"/>
                <w:color w:val="auto"/>
              </w:rPr>
            </w:pPr>
          </w:p>
        </w:tc>
        <w:tc>
          <w:tcPr>
            <w:tcW w:w="5160" w:type="dxa"/>
            <w:vAlign w:val="bottom"/>
          </w:tcPr>
          <w:p>
            <w:pPr>
              <w:ind w:left="440"/>
              <w:spacing w:after="0"/>
              <w:rPr>
                <w:sz w:val="20"/>
                <w:szCs w:val="20"/>
                <w:color w:val="auto"/>
              </w:rPr>
            </w:pPr>
            <w:r>
              <w:rPr>
                <w:rFonts w:ascii="Arial" w:cs="Arial" w:eastAsia="Arial" w:hAnsi="Arial"/>
                <w:sz w:val="12"/>
                <w:szCs w:val="12"/>
                <w:color w:val="auto"/>
              </w:rPr>
              <w:t>James Karrels</w:t>
            </w:r>
          </w:p>
        </w:tc>
      </w:tr>
      <w:tr>
        <w:trPr>
          <w:trHeight w:val="155"/>
        </w:trPr>
        <w:tc>
          <w:tcPr>
            <w:tcW w:w="220" w:type="dxa"/>
            <w:vAlign w:val="bottom"/>
          </w:tcPr>
          <w:p>
            <w:pPr>
              <w:spacing w:after="0"/>
              <w:rPr>
                <w:sz w:val="13"/>
                <w:szCs w:val="13"/>
                <w:color w:val="auto"/>
              </w:rPr>
            </w:pPr>
          </w:p>
        </w:tc>
        <w:tc>
          <w:tcPr>
            <w:tcW w:w="5160" w:type="dxa"/>
            <w:vAlign w:val="bottom"/>
          </w:tcPr>
          <w:p>
            <w:pPr>
              <w:ind w:left="440"/>
              <w:spacing w:after="0"/>
              <w:rPr>
                <w:sz w:val="20"/>
                <w:szCs w:val="20"/>
                <w:color w:val="auto"/>
              </w:rPr>
            </w:pPr>
            <w:r>
              <w:rPr>
                <w:rFonts w:ascii="Arial" w:cs="Arial" w:eastAsia="Arial" w:hAnsi="Arial"/>
                <w:sz w:val="12"/>
                <w:szCs w:val="12"/>
                <w:color w:val="auto"/>
              </w:rPr>
              <w:t>Senior Vice President and Chief Financial Officer</w:t>
            </w:r>
          </w:p>
        </w:tc>
      </w:tr>
      <w:tr>
        <w:trPr>
          <w:trHeight w:val="155"/>
        </w:trPr>
        <w:tc>
          <w:tcPr>
            <w:tcW w:w="220" w:type="dxa"/>
            <w:vAlign w:val="bottom"/>
          </w:tcPr>
          <w:p>
            <w:pPr>
              <w:spacing w:after="0"/>
              <w:rPr>
                <w:sz w:val="13"/>
                <w:szCs w:val="13"/>
                <w:color w:val="auto"/>
              </w:rPr>
            </w:pPr>
          </w:p>
        </w:tc>
        <w:tc>
          <w:tcPr>
            <w:tcW w:w="5160" w:type="dxa"/>
            <w:vAlign w:val="bottom"/>
          </w:tcPr>
          <w:p>
            <w:pPr>
              <w:ind w:left="440"/>
              <w:spacing w:after="0"/>
              <w:rPr>
                <w:sz w:val="20"/>
                <w:szCs w:val="20"/>
                <w:color w:val="auto"/>
              </w:rPr>
            </w:pPr>
            <w:r>
              <w:rPr>
                <w:rFonts w:ascii="Arial" w:cs="Arial" w:eastAsia="Arial" w:hAnsi="Arial"/>
                <w:sz w:val="12"/>
                <w:szCs w:val="12"/>
                <w:color w:val="auto"/>
              </w:rPr>
              <w:t>(Principal Financial Officer)</w:t>
            </w:r>
          </w:p>
        </w:tc>
      </w:tr>
    </w:tbl>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Dated: November 2, 2021</w:t>
      </w:r>
    </w:p>
    <w:p>
      <w:pPr>
        <w:sectPr>
          <w:pgSz w:w="11900" w:h="16838" w:orient="portrait"/>
          <w:cols w:equalWidth="0" w:num="1">
            <w:col w:w="10820"/>
          </w:cols>
          <w:pgMar w:left="740" w:top="67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2"/>
          <w:szCs w:val="12"/>
          <w:color w:val="auto"/>
        </w:rPr>
        <w:t>EXHIBIT 31.1</w:t>
      </w:r>
    </w:p>
    <w:p>
      <w:pPr>
        <w:spacing w:after="0" w:line="173" w:lineRule="exact"/>
        <w:rPr>
          <w:sz w:val="20"/>
          <w:szCs w:val="20"/>
          <w:color w:val="auto"/>
        </w:rPr>
      </w:pPr>
    </w:p>
    <w:p>
      <w:pPr>
        <w:ind w:left="7"/>
        <w:spacing w:after="0"/>
        <w:rPr>
          <w:sz w:val="20"/>
          <w:szCs w:val="20"/>
          <w:color w:val="auto"/>
        </w:rPr>
      </w:pPr>
      <w:r>
        <w:rPr>
          <w:rFonts w:ascii="Arial" w:cs="Arial" w:eastAsia="Arial" w:hAnsi="Arial"/>
          <w:sz w:val="12"/>
          <w:szCs w:val="12"/>
          <w:color w:val="auto"/>
        </w:rPr>
        <w:t>I, Scott Koenig, certify that:</w:t>
      </w:r>
    </w:p>
    <w:p>
      <w:pPr>
        <w:spacing w:after="0" w:line="173" w:lineRule="exact"/>
        <w:rPr>
          <w:sz w:val="20"/>
          <w:szCs w:val="20"/>
          <w:color w:val="auto"/>
        </w:rPr>
      </w:pPr>
    </w:p>
    <w:p>
      <w:pPr>
        <w:ind w:left="327" w:hanging="327"/>
        <w:spacing w:after="0"/>
        <w:tabs>
          <w:tab w:leader="none" w:pos="327" w:val="left"/>
        </w:tabs>
        <w:numPr>
          <w:ilvl w:val="0"/>
          <w:numId w:val="19"/>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for the period ended September 30, 2021 of MacroGenics, Inc.;</w:t>
      </w:r>
    </w:p>
    <w:p>
      <w:pPr>
        <w:spacing w:after="0" w:line="117" w:lineRule="exact"/>
        <w:rPr>
          <w:rFonts w:ascii="Arial" w:cs="Arial" w:eastAsia="Arial" w:hAnsi="Arial"/>
          <w:sz w:val="12"/>
          <w:szCs w:val="12"/>
          <w:color w:val="auto"/>
        </w:rPr>
      </w:pPr>
    </w:p>
    <w:p>
      <w:pPr>
        <w:ind w:left="327" w:hanging="327"/>
        <w:spacing w:after="0" w:line="282" w:lineRule="auto"/>
        <w:tabs>
          <w:tab w:leader="none" w:pos="327" w:val="left"/>
        </w:tabs>
        <w:numPr>
          <w:ilvl w:val="0"/>
          <w:numId w:val="1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12"/>
          <w:szCs w:val="12"/>
          <w:color w:val="auto"/>
        </w:rPr>
      </w:pPr>
    </w:p>
    <w:p>
      <w:pPr>
        <w:ind w:left="327" w:hanging="327"/>
        <w:spacing w:after="0" w:line="282" w:lineRule="auto"/>
        <w:tabs>
          <w:tab w:leader="none" w:pos="327" w:val="left"/>
        </w:tabs>
        <w:numPr>
          <w:ilvl w:val="0"/>
          <w:numId w:val="1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7" w:lineRule="exact"/>
        <w:rPr>
          <w:rFonts w:ascii="Arial" w:cs="Arial" w:eastAsia="Arial" w:hAnsi="Arial"/>
          <w:sz w:val="12"/>
          <w:szCs w:val="12"/>
          <w:color w:val="auto"/>
        </w:rPr>
      </w:pPr>
    </w:p>
    <w:p>
      <w:pPr>
        <w:ind w:left="327" w:hanging="327"/>
        <w:spacing w:after="0" w:line="282" w:lineRule="auto"/>
        <w:tabs>
          <w:tab w:leader="none" w:pos="327"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2"/>
          <w:szCs w:val="12"/>
          <w:color w:val="auto"/>
        </w:rPr>
      </w:pPr>
    </w:p>
    <w:p>
      <w:pPr>
        <w:ind w:left="767" w:right="20" w:hanging="328"/>
        <w:spacing w:after="0" w:line="282" w:lineRule="auto"/>
        <w:tabs>
          <w:tab w:leader="none" w:pos="760" w:val="left"/>
        </w:tabs>
        <w:numPr>
          <w:ilvl w:val="1"/>
          <w:numId w:val="1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2"/>
          <w:szCs w:val="12"/>
          <w:color w:val="auto"/>
        </w:rPr>
      </w:pPr>
    </w:p>
    <w:p>
      <w:pPr>
        <w:ind w:left="767" w:hanging="328"/>
        <w:spacing w:after="0" w:line="282" w:lineRule="auto"/>
        <w:tabs>
          <w:tab w:leader="none" w:pos="767" w:val="left"/>
        </w:tabs>
        <w:numPr>
          <w:ilvl w:val="1"/>
          <w:numId w:val="1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2"/>
          <w:szCs w:val="12"/>
          <w:color w:val="auto"/>
        </w:rPr>
      </w:pPr>
    </w:p>
    <w:p>
      <w:pPr>
        <w:ind w:left="767" w:hanging="328"/>
        <w:spacing w:after="0" w:line="282" w:lineRule="auto"/>
        <w:tabs>
          <w:tab w:leader="none" w:pos="760" w:val="left"/>
        </w:tabs>
        <w:numPr>
          <w:ilvl w:val="1"/>
          <w:numId w:val="1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12"/>
          <w:szCs w:val="12"/>
          <w:color w:val="auto"/>
        </w:rPr>
      </w:pPr>
    </w:p>
    <w:p>
      <w:pPr>
        <w:ind w:left="767" w:right="20" w:hanging="328"/>
        <w:spacing w:after="0" w:line="282" w:lineRule="auto"/>
        <w:tabs>
          <w:tab w:leader="none" w:pos="767" w:val="left"/>
        </w:tabs>
        <w:numPr>
          <w:ilvl w:val="1"/>
          <w:numId w:val="1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Arial" w:cs="Arial" w:eastAsia="Arial" w:hAnsi="Arial"/>
          <w:sz w:val="12"/>
          <w:szCs w:val="12"/>
          <w:color w:val="auto"/>
        </w:rPr>
      </w:pPr>
    </w:p>
    <w:p>
      <w:pPr>
        <w:ind w:left="327" w:hanging="327"/>
        <w:spacing w:after="0" w:line="282" w:lineRule="auto"/>
        <w:tabs>
          <w:tab w:leader="none" w:pos="327"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12"/>
          <w:szCs w:val="12"/>
          <w:color w:val="auto"/>
        </w:rPr>
      </w:pPr>
    </w:p>
    <w:p>
      <w:pPr>
        <w:ind w:left="767" w:right="20" w:hanging="328"/>
        <w:spacing w:after="0" w:line="282" w:lineRule="auto"/>
        <w:tabs>
          <w:tab w:leader="none" w:pos="760" w:val="left"/>
        </w:tabs>
        <w:numPr>
          <w:ilvl w:val="1"/>
          <w:numId w:val="1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12"/>
          <w:szCs w:val="12"/>
          <w:color w:val="auto"/>
        </w:rPr>
      </w:pPr>
    </w:p>
    <w:p>
      <w:pPr>
        <w:ind w:left="767" w:hanging="328"/>
        <w:spacing w:after="0"/>
        <w:tabs>
          <w:tab w:leader="none" w:pos="767" w:val="left"/>
        </w:tabs>
        <w:numPr>
          <w:ilvl w:val="1"/>
          <w:numId w:val="1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7" w:lineRule="exact"/>
        <w:rPr>
          <w:sz w:val="20"/>
          <w:szCs w:val="20"/>
          <w:color w:val="auto"/>
        </w:rPr>
      </w:pPr>
    </w:p>
    <w:p>
      <w:pPr>
        <w:ind w:left="3067"/>
        <w:spacing w:after="0"/>
        <w:rPr>
          <w:sz w:val="20"/>
          <w:szCs w:val="20"/>
          <w:color w:val="auto"/>
        </w:rPr>
      </w:pPr>
      <w:r>
        <w:rPr>
          <w:rFonts w:ascii="Arial" w:cs="Arial" w:eastAsia="Arial" w:hAnsi="Arial"/>
          <w:sz w:val="12"/>
          <w:szCs w:val="12"/>
          <w:u w:val="single" w:color="auto"/>
          <w:color w:val="auto"/>
        </w:rPr>
        <w:t>/s/ Scott Koenig</w:t>
      </w:r>
    </w:p>
    <w:p>
      <w:pPr>
        <w:spacing w:after="0" w:line="17" w:lineRule="exact"/>
        <w:rPr>
          <w:sz w:val="20"/>
          <w:szCs w:val="20"/>
          <w:color w:val="auto"/>
        </w:rPr>
      </w:pPr>
    </w:p>
    <w:p>
      <w:pPr>
        <w:ind w:left="3067"/>
        <w:spacing w:after="0"/>
        <w:rPr>
          <w:sz w:val="20"/>
          <w:szCs w:val="20"/>
          <w:color w:val="auto"/>
        </w:rPr>
      </w:pPr>
      <w:r>
        <w:rPr>
          <w:rFonts w:ascii="Arial" w:cs="Arial" w:eastAsia="Arial" w:hAnsi="Arial"/>
          <w:sz w:val="12"/>
          <w:szCs w:val="12"/>
          <w:color w:val="auto"/>
        </w:rPr>
        <w:t>Scott Koenig, M.D., Ph.D.</w:t>
      </w:r>
    </w:p>
    <w:p>
      <w:pPr>
        <w:spacing w:after="0" w:line="8" w:lineRule="exact"/>
        <w:rPr>
          <w:sz w:val="20"/>
          <w:szCs w:val="20"/>
          <w:color w:val="auto"/>
        </w:rPr>
      </w:pPr>
    </w:p>
    <w:p>
      <w:pPr>
        <w:ind w:left="3067"/>
        <w:spacing w:after="0"/>
        <w:rPr>
          <w:sz w:val="20"/>
          <w:szCs w:val="20"/>
          <w:color w:val="auto"/>
        </w:rPr>
      </w:pPr>
      <w:r>
        <w:rPr>
          <w:rFonts w:ascii="Arial" w:cs="Arial" w:eastAsia="Arial" w:hAnsi="Arial"/>
          <w:sz w:val="12"/>
          <w:szCs w:val="12"/>
          <w:color w:val="auto"/>
        </w:rPr>
        <w:t>President and Chief Executive Officer</w:t>
      </w:r>
    </w:p>
    <w:p>
      <w:pPr>
        <w:spacing w:after="0" w:line="8" w:lineRule="exact"/>
        <w:rPr>
          <w:sz w:val="20"/>
          <w:szCs w:val="20"/>
          <w:color w:val="auto"/>
        </w:rPr>
      </w:pPr>
    </w:p>
    <w:p>
      <w:pPr>
        <w:ind w:left="3067"/>
        <w:spacing w:after="0"/>
        <w:rPr>
          <w:sz w:val="20"/>
          <w:szCs w:val="20"/>
          <w:color w:val="auto"/>
        </w:rPr>
      </w:pPr>
      <w:r>
        <w:rPr>
          <w:rFonts w:ascii="Arial" w:cs="Arial" w:eastAsia="Arial" w:hAnsi="Arial"/>
          <w:sz w:val="12"/>
          <w:szCs w:val="12"/>
          <w:color w:val="auto"/>
        </w:rPr>
        <w:t>(Principal Executive Officer)</w:t>
      </w:r>
    </w:p>
    <w:p>
      <w:pPr>
        <w:spacing w:after="0" w:line="8" w:lineRule="exact"/>
        <w:rPr>
          <w:sz w:val="20"/>
          <w:szCs w:val="20"/>
          <w:color w:val="auto"/>
        </w:rPr>
      </w:pPr>
    </w:p>
    <w:p>
      <w:pPr>
        <w:ind w:left="7"/>
        <w:spacing w:after="0"/>
        <w:rPr>
          <w:sz w:val="20"/>
          <w:szCs w:val="20"/>
          <w:color w:val="auto"/>
        </w:rPr>
      </w:pPr>
      <w:r>
        <w:rPr>
          <w:rFonts w:ascii="Arial" w:cs="Arial" w:eastAsia="Arial" w:hAnsi="Arial"/>
          <w:sz w:val="12"/>
          <w:szCs w:val="12"/>
          <w:color w:val="auto"/>
        </w:rPr>
        <w:t>Dated: November 2, 2021</w:t>
      </w:r>
    </w:p>
    <w:p>
      <w:pPr>
        <w:sectPr>
          <w:pgSz w:w="11900" w:h="16838" w:orient="portrait"/>
          <w:cols w:equalWidth="0" w:num="1">
            <w:col w:w="11307"/>
          </w:cols>
          <w:pgMar w:left="293" w:top="898" w:right="299" w:bottom="1440" w:gutter="0" w:footer="0" w:header="0"/>
        </w:sectPr>
      </w:pPr>
    </w:p>
    <w:bookmarkStart w:id="34" w:name="page35"/>
    <w:bookmarkEnd w:id="34"/>
    <w:p>
      <w:pPr>
        <w:jc w:val="right"/>
        <w:spacing w:after="0"/>
        <w:rPr>
          <w:sz w:val="20"/>
          <w:szCs w:val="20"/>
          <w:color w:val="auto"/>
        </w:rPr>
      </w:pPr>
      <w:r>
        <w:rPr>
          <w:rFonts w:ascii="Arial" w:cs="Arial" w:eastAsia="Arial" w:hAnsi="Arial"/>
          <w:sz w:val="12"/>
          <w:szCs w:val="12"/>
          <w:color w:val="auto"/>
        </w:rPr>
        <w:t>EXHIBIT 31.2</w:t>
      </w:r>
    </w:p>
    <w:p>
      <w:pPr>
        <w:spacing w:after="0" w:line="17" w:lineRule="exact"/>
        <w:rPr>
          <w:sz w:val="20"/>
          <w:szCs w:val="20"/>
          <w:color w:val="auto"/>
        </w:rPr>
      </w:pPr>
    </w:p>
    <w:p>
      <w:pPr>
        <w:ind w:left="7"/>
        <w:spacing w:after="0"/>
        <w:rPr>
          <w:sz w:val="20"/>
          <w:szCs w:val="20"/>
          <w:color w:val="auto"/>
        </w:rPr>
      </w:pPr>
      <w:r>
        <w:rPr>
          <w:rFonts w:ascii="Arial" w:cs="Arial" w:eastAsia="Arial" w:hAnsi="Arial"/>
          <w:sz w:val="12"/>
          <w:szCs w:val="12"/>
          <w:color w:val="auto"/>
        </w:rPr>
        <w:t>I, James Karrels, certify that:</w:t>
      </w:r>
    </w:p>
    <w:p>
      <w:pPr>
        <w:spacing w:after="0" w:line="164" w:lineRule="exact"/>
        <w:rPr>
          <w:sz w:val="20"/>
          <w:szCs w:val="20"/>
          <w:color w:val="auto"/>
        </w:rPr>
      </w:pPr>
    </w:p>
    <w:p>
      <w:pPr>
        <w:ind w:left="327" w:hanging="327"/>
        <w:spacing w:after="0"/>
        <w:tabs>
          <w:tab w:leader="none" w:pos="327" w:val="left"/>
        </w:tabs>
        <w:numPr>
          <w:ilvl w:val="0"/>
          <w:numId w:val="20"/>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for the period ended September 30, 2021 of MacroGenics, Inc.;</w:t>
      </w:r>
    </w:p>
    <w:p>
      <w:pPr>
        <w:spacing w:after="0" w:line="117" w:lineRule="exact"/>
        <w:rPr>
          <w:rFonts w:ascii="Arial" w:cs="Arial" w:eastAsia="Arial" w:hAnsi="Arial"/>
          <w:sz w:val="12"/>
          <w:szCs w:val="12"/>
          <w:color w:val="auto"/>
        </w:rPr>
      </w:pPr>
    </w:p>
    <w:p>
      <w:pPr>
        <w:ind w:left="327" w:hanging="327"/>
        <w:spacing w:after="0" w:line="282" w:lineRule="auto"/>
        <w:tabs>
          <w:tab w:leader="none" w:pos="327" w:val="left"/>
        </w:tabs>
        <w:numPr>
          <w:ilvl w:val="0"/>
          <w:numId w:val="2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12"/>
          <w:szCs w:val="12"/>
          <w:color w:val="auto"/>
        </w:rPr>
      </w:pPr>
    </w:p>
    <w:p>
      <w:pPr>
        <w:ind w:left="327" w:hanging="327"/>
        <w:spacing w:after="0" w:line="282" w:lineRule="auto"/>
        <w:tabs>
          <w:tab w:leader="none" w:pos="327" w:val="left"/>
        </w:tabs>
        <w:numPr>
          <w:ilvl w:val="0"/>
          <w:numId w:val="2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7" w:lineRule="exact"/>
        <w:rPr>
          <w:rFonts w:ascii="Arial" w:cs="Arial" w:eastAsia="Arial" w:hAnsi="Arial"/>
          <w:sz w:val="12"/>
          <w:szCs w:val="12"/>
          <w:color w:val="auto"/>
        </w:rPr>
      </w:pPr>
    </w:p>
    <w:p>
      <w:pPr>
        <w:ind w:left="327" w:hanging="327"/>
        <w:spacing w:after="0" w:line="282" w:lineRule="auto"/>
        <w:tabs>
          <w:tab w:leader="none" w:pos="327"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2"/>
          <w:szCs w:val="12"/>
          <w:color w:val="auto"/>
        </w:rPr>
      </w:pPr>
    </w:p>
    <w:p>
      <w:pPr>
        <w:ind w:left="767" w:right="20" w:hanging="328"/>
        <w:spacing w:after="0" w:line="282" w:lineRule="auto"/>
        <w:tabs>
          <w:tab w:leader="none" w:pos="760" w:val="left"/>
        </w:tabs>
        <w:numPr>
          <w:ilvl w:val="1"/>
          <w:numId w:val="2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2"/>
          <w:szCs w:val="12"/>
          <w:color w:val="auto"/>
        </w:rPr>
      </w:pPr>
    </w:p>
    <w:p>
      <w:pPr>
        <w:ind w:left="767" w:hanging="328"/>
        <w:spacing w:after="0" w:line="282" w:lineRule="auto"/>
        <w:tabs>
          <w:tab w:leader="none" w:pos="767" w:val="left"/>
        </w:tabs>
        <w:numPr>
          <w:ilvl w:val="1"/>
          <w:numId w:val="2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2"/>
          <w:szCs w:val="12"/>
          <w:color w:val="auto"/>
        </w:rPr>
      </w:pPr>
    </w:p>
    <w:p>
      <w:pPr>
        <w:ind w:left="767" w:hanging="328"/>
        <w:spacing w:after="0" w:line="282" w:lineRule="auto"/>
        <w:tabs>
          <w:tab w:leader="none" w:pos="760" w:val="left"/>
        </w:tabs>
        <w:numPr>
          <w:ilvl w:val="1"/>
          <w:numId w:val="2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12"/>
          <w:szCs w:val="12"/>
          <w:color w:val="auto"/>
        </w:rPr>
      </w:pPr>
    </w:p>
    <w:p>
      <w:pPr>
        <w:ind w:left="767" w:right="20" w:hanging="328"/>
        <w:spacing w:after="0" w:line="282" w:lineRule="auto"/>
        <w:tabs>
          <w:tab w:leader="none" w:pos="767" w:val="left"/>
        </w:tabs>
        <w:numPr>
          <w:ilvl w:val="1"/>
          <w:numId w:val="2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Arial" w:cs="Arial" w:eastAsia="Arial" w:hAnsi="Arial"/>
          <w:sz w:val="12"/>
          <w:szCs w:val="12"/>
          <w:color w:val="auto"/>
        </w:rPr>
      </w:pPr>
    </w:p>
    <w:p>
      <w:pPr>
        <w:ind w:left="327" w:hanging="327"/>
        <w:spacing w:after="0" w:line="282" w:lineRule="auto"/>
        <w:tabs>
          <w:tab w:leader="none" w:pos="327"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12"/>
          <w:szCs w:val="12"/>
          <w:color w:val="auto"/>
        </w:rPr>
      </w:pPr>
    </w:p>
    <w:p>
      <w:pPr>
        <w:ind w:left="767" w:right="20" w:hanging="328"/>
        <w:spacing w:after="0" w:line="282" w:lineRule="auto"/>
        <w:tabs>
          <w:tab w:leader="none" w:pos="760" w:val="left"/>
        </w:tabs>
        <w:numPr>
          <w:ilvl w:val="1"/>
          <w:numId w:val="2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12"/>
          <w:szCs w:val="12"/>
          <w:color w:val="auto"/>
        </w:rPr>
      </w:pPr>
    </w:p>
    <w:p>
      <w:pPr>
        <w:ind w:left="767" w:hanging="328"/>
        <w:spacing w:after="0"/>
        <w:tabs>
          <w:tab w:leader="none" w:pos="767" w:val="left"/>
        </w:tabs>
        <w:numPr>
          <w:ilvl w:val="1"/>
          <w:numId w:val="2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7" w:lineRule="exact"/>
        <w:rPr>
          <w:sz w:val="20"/>
          <w:szCs w:val="20"/>
          <w:color w:val="auto"/>
        </w:rPr>
      </w:pPr>
    </w:p>
    <w:p>
      <w:pPr>
        <w:ind w:left="3067"/>
        <w:spacing w:after="0"/>
        <w:rPr>
          <w:sz w:val="20"/>
          <w:szCs w:val="20"/>
          <w:color w:val="auto"/>
        </w:rPr>
      </w:pPr>
      <w:r>
        <w:rPr>
          <w:rFonts w:ascii="Arial" w:cs="Arial" w:eastAsia="Arial" w:hAnsi="Arial"/>
          <w:sz w:val="12"/>
          <w:szCs w:val="12"/>
          <w:u w:val="single" w:color="auto"/>
          <w:color w:val="auto"/>
        </w:rPr>
        <w:t>/s/ James Karrels</w:t>
      </w:r>
    </w:p>
    <w:p>
      <w:pPr>
        <w:spacing w:after="0" w:line="17" w:lineRule="exact"/>
        <w:rPr>
          <w:sz w:val="20"/>
          <w:szCs w:val="20"/>
          <w:color w:val="auto"/>
        </w:rPr>
      </w:pPr>
    </w:p>
    <w:p>
      <w:pPr>
        <w:ind w:left="3067"/>
        <w:spacing w:after="0"/>
        <w:rPr>
          <w:sz w:val="20"/>
          <w:szCs w:val="20"/>
          <w:color w:val="auto"/>
        </w:rPr>
      </w:pPr>
      <w:r>
        <w:rPr>
          <w:rFonts w:ascii="Arial" w:cs="Arial" w:eastAsia="Arial" w:hAnsi="Arial"/>
          <w:sz w:val="12"/>
          <w:szCs w:val="12"/>
          <w:color w:val="auto"/>
        </w:rPr>
        <w:t>James Karrels</w:t>
      </w:r>
    </w:p>
    <w:p>
      <w:pPr>
        <w:spacing w:after="0" w:line="8" w:lineRule="exact"/>
        <w:rPr>
          <w:sz w:val="20"/>
          <w:szCs w:val="20"/>
          <w:color w:val="auto"/>
        </w:rPr>
      </w:pPr>
    </w:p>
    <w:p>
      <w:pPr>
        <w:ind w:left="3067"/>
        <w:spacing w:after="0"/>
        <w:rPr>
          <w:sz w:val="20"/>
          <w:szCs w:val="20"/>
          <w:color w:val="auto"/>
        </w:rPr>
      </w:pPr>
      <w:r>
        <w:rPr>
          <w:rFonts w:ascii="Arial" w:cs="Arial" w:eastAsia="Arial" w:hAnsi="Arial"/>
          <w:sz w:val="12"/>
          <w:szCs w:val="12"/>
          <w:color w:val="auto"/>
        </w:rPr>
        <w:t>Senior Vice President and Chief Financial Officer</w:t>
      </w:r>
    </w:p>
    <w:p>
      <w:pPr>
        <w:spacing w:after="0" w:line="8" w:lineRule="exact"/>
        <w:rPr>
          <w:sz w:val="20"/>
          <w:szCs w:val="20"/>
          <w:color w:val="auto"/>
        </w:rPr>
      </w:pPr>
    </w:p>
    <w:p>
      <w:pPr>
        <w:ind w:left="3067"/>
        <w:spacing w:after="0"/>
        <w:rPr>
          <w:sz w:val="20"/>
          <w:szCs w:val="20"/>
          <w:color w:val="auto"/>
        </w:rPr>
      </w:pPr>
      <w:r>
        <w:rPr>
          <w:rFonts w:ascii="Arial" w:cs="Arial" w:eastAsia="Arial" w:hAnsi="Arial"/>
          <w:sz w:val="12"/>
          <w:szCs w:val="12"/>
          <w:color w:val="auto"/>
        </w:rPr>
        <w:t>(Principal Financial Officer)</w:t>
      </w:r>
    </w:p>
    <w:p>
      <w:pPr>
        <w:spacing w:after="0" w:line="8" w:lineRule="exact"/>
        <w:rPr>
          <w:sz w:val="20"/>
          <w:szCs w:val="20"/>
          <w:color w:val="auto"/>
        </w:rPr>
      </w:pPr>
    </w:p>
    <w:p>
      <w:pPr>
        <w:ind w:left="7"/>
        <w:spacing w:after="0"/>
        <w:rPr>
          <w:sz w:val="20"/>
          <w:szCs w:val="20"/>
          <w:color w:val="auto"/>
        </w:rPr>
      </w:pPr>
      <w:r>
        <w:rPr>
          <w:rFonts w:ascii="Arial" w:cs="Arial" w:eastAsia="Arial" w:hAnsi="Arial"/>
          <w:sz w:val="12"/>
          <w:szCs w:val="12"/>
          <w:color w:val="auto"/>
        </w:rPr>
        <w:t>Dated: November 2, 2021</w:t>
      </w:r>
    </w:p>
    <w:p>
      <w:pPr>
        <w:sectPr>
          <w:pgSz w:w="11900" w:h="16838" w:orient="portrait"/>
          <w:cols w:equalWidth="0" w:num="1">
            <w:col w:w="11307"/>
          </w:cols>
          <w:pgMar w:left="293" w:top="1063" w:right="299" w:bottom="1440" w:gutter="0" w:footer="0" w:header="0"/>
        </w:sectPr>
      </w:pPr>
    </w:p>
    <w:bookmarkStart w:id="35" w:name="page36"/>
    <w:bookmarkEnd w:id="35"/>
    <w:p>
      <w:pPr>
        <w:jc w:val="right"/>
        <w:spacing w:after="0"/>
        <w:rPr>
          <w:sz w:val="20"/>
          <w:szCs w:val="20"/>
          <w:color w:val="auto"/>
        </w:rPr>
      </w:pPr>
      <w:r>
        <w:rPr>
          <w:rFonts w:ascii="Arial" w:cs="Arial" w:eastAsia="Arial" w:hAnsi="Arial"/>
          <w:sz w:val="12"/>
          <w:szCs w:val="12"/>
          <w:color w:val="auto"/>
        </w:rPr>
        <w:t>EXHIBIT 32.1</w:t>
      </w:r>
    </w:p>
    <w:p>
      <w:pPr>
        <w:spacing w:after="0" w:line="169"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Certification of Principal Executive Officer</w:t>
      </w:r>
    </w:p>
    <w:p>
      <w:pPr>
        <w:spacing w:after="0" w:line="21"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Pursuant to 18 U.S.C. 1350</w:t>
      </w:r>
    </w:p>
    <w:p>
      <w:pPr>
        <w:spacing w:after="0" w:line="8"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(Section 906 of the Sarbanes-Oxley Act of 2002</w:t>
      </w:r>
      <w:r>
        <w:rPr>
          <w:rFonts w:ascii="Arial" w:cs="Arial" w:eastAsia="Arial" w:hAnsi="Arial"/>
          <w:sz w:val="12"/>
          <w:szCs w:val="12"/>
          <w:color w:val="auto"/>
        </w:rPr>
        <w:t>)</w:t>
      </w:r>
    </w:p>
    <w:p>
      <w:pPr>
        <w:spacing w:after="0" w:line="164" w:lineRule="exact"/>
        <w:rPr>
          <w:sz w:val="20"/>
          <w:szCs w:val="20"/>
          <w:color w:val="auto"/>
        </w:rPr>
      </w:pPr>
    </w:p>
    <w:p>
      <w:pPr>
        <w:ind w:left="7" w:right="280"/>
        <w:spacing w:after="0" w:line="282" w:lineRule="auto"/>
        <w:rPr>
          <w:sz w:val="20"/>
          <w:szCs w:val="20"/>
          <w:color w:val="auto"/>
        </w:rPr>
      </w:pPr>
      <w:r>
        <w:rPr>
          <w:rFonts w:ascii="Arial" w:cs="Arial" w:eastAsia="Arial" w:hAnsi="Arial"/>
          <w:sz w:val="12"/>
          <w:szCs w:val="12"/>
          <w:color w:val="auto"/>
        </w:rPr>
        <w:t>I, Scott Koenig, President and Chief Executive Officer (principal executive officer) of MacroGenics, Inc. (the Registrant), certify, to the best of my knowledge, based upon a review of the Quarterly Report on Form 10-Q for the period ended September 30, 2021 of the Registrant (the Report), that:</w:t>
      </w:r>
    </w:p>
    <w:p>
      <w:pPr>
        <w:spacing w:after="0" w:line="133" w:lineRule="exact"/>
        <w:rPr>
          <w:sz w:val="20"/>
          <w:szCs w:val="20"/>
          <w:color w:val="auto"/>
        </w:rPr>
      </w:pPr>
    </w:p>
    <w:p>
      <w:pPr>
        <w:ind w:left="447" w:hanging="447"/>
        <w:spacing w:after="0"/>
        <w:tabs>
          <w:tab w:leader="none" w:pos="447"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of the Securities Exchange Act of 1934, as amended; and</w:t>
      </w:r>
    </w:p>
    <w:p>
      <w:pPr>
        <w:spacing w:after="0" w:line="117" w:lineRule="exact"/>
        <w:rPr>
          <w:rFonts w:ascii="Arial" w:cs="Arial" w:eastAsia="Arial" w:hAnsi="Arial"/>
          <w:sz w:val="12"/>
          <w:szCs w:val="12"/>
          <w:color w:val="auto"/>
        </w:rPr>
      </w:pPr>
    </w:p>
    <w:p>
      <w:pPr>
        <w:ind w:left="447" w:hanging="447"/>
        <w:spacing w:after="0"/>
        <w:tabs>
          <w:tab w:leader="none" w:pos="447"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47" w:lineRule="exact"/>
        <w:rPr>
          <w:sz w:val="20"/>
          <w:szCs w:val="20"/>
          <w:color w:val="auto"/>
        </w:rPr>
      </w:pPr>
    </w:p>
    <w:p>
      <w:pPr>
        <w:ind w:left="3067"/>
        <w:spacing w:after="0"/>
        <w:rPr>
          <w:sz w:val="20"/>
          <w:szCs w:val="20"/>
          <w:color w:val="auto"/>
        </w:rPr>
      </w:pPr>
      <w:r>
        <w:rPr>
          <w:rFonts w:ascii="Arial" w:cs="Arial" w:eastAsia="Arial" w:hAnsi="Arial"/>
          <w:sz w:val="12"/>
          <w:szCs w:val="12"/>
          <w:u w:val="single" w:color="auto"/>
          <w:color w:val="auto"/>
        </w:rPr>
        <w:t>/s/ Scott Koenig</w:t>
      </w:r>
    </w:p>
    <w:p>
      <w:pPr>
        <w:spacing w:after="0" w:line="17" w:lineRule="exact"/>
        <w:rPr>
          <w:sz w:val="20"/>
          <w:szCs w:val="20"/>
          <w:color w:val="auto"/>
        </w:rPr>
      </w:pPr>
    </w:p>
    <w:p>
      <w:pPr>
        <w:ind w:left="3067"/>
        <w:spacing w:after="0"/>
        <w:rPr>
          <w:sz w:val="20"/>
          <w:szCs w:val="20"/>
          <w:color w:val="auto"/>
        </w:rPr>
      </w:pPr>
      <w:r>
        <w:rPr>
          <w:rFonts w:ascii="Arial" w:cs="Arial" w:eastAsia="Arial" w:hAnsi="Arial"/>
          <w:sz w:val="12"/>
          <w:szCs w:val="12"/>
          <w:color w:val="auto"/>
        </w:rPr>
        <w:t>Name: Scott Koenig, M.D., Ph.D.</w:t>
      </w:r>
    </w:p>
    <w:p>
      <w:pPr>
        <w:spacing w:after="0" w:line="8" w:lineRule="exact"/>
        <w:rPr>
          <w:sz w:val="20"/>
          <w:szCs w:val="20"/>
          <w:color w:val="auto"/>
        </w:rPr>
      </w:pPr>
    </w:p>
    <w:p>
      <w:pPr>
        <w:ind w:left="3067"/>
        <w:spacing w:after="0"/>
        <w:rPr>
          <w:sz w:val="20"/>
          <w:szCs w:val="20"/>
          <w:color w:val="auto"/>
        </w:rPr>
      </w:pPr>
      <w:r>
        <w:rPr>
          <w:rFonts w:ascii="Arial" w:cs="Arial" w:eastAsia="Arial" w:hAnsi="Arial"/>
          <w:sz w:val="12"/>
          <w:szCs w:val="12"/>
          <w:color w:val="auto"/>
        </w:rPr>
        <w:t>Date: November 2, 2021</w:t>
      </w:r>
    </w:p>
    <w:p>
      <w:pPr>
        <w:sectPr>
          <w:pgSz w:w="11900" w:h="16838" w:orient="portrait"/>
          <w:cols w:equalWidth="0" w:num="1">
            <w:col w:w="11307"/>
          </w:cols>
          <w:pgMar w:left="293" w:top="1172" w:right="299" w:bottom="1440" w:gutter="0" w:footer="0" w:header="0"/>
        </w:sectPr>
      </w:pPr>
    </w:p>
    <w:bookmarkStart w:id="36" w:name="page37"/>
    <w:bookmarkEnd w:id="36"/>
    <w:p>
      <w:pPr>
        <w:jc w:val="right"/>
        <w:spacing w:after="0"/>
        <w:rPr>
          <w:sz w:val="20"/>
          <w:szCs w:val="20"/>
          <w:color w:val="auto"/>
        </w:rPr>
      </w:pPr>
      <w:r>
        <w:rPr>
          <w:rFonts w:ascii="Arial" w:cs="Arial" w:eastAsia="Arial" w:hAnsi="Arial"/>
          <w:sz w:val="12"/>
          <w:szCs w:val="12"/>
          <w:color w:val="auto"/>
        </w:rPr>
        <w:t>EXHIBIT 32.2</w:t>
      </w:r>
    </w:p>
    <w:p>
      <w:pPr>
        <w:spacing w:after="0" w:line="333"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Certification of Principal Financial Officer</w:t>
      </w:r>
    </w:p>
    <w:p>
      <w:pPr>
        <w:spacing w:after="0" w:line="21"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Pursuant to 18 U.S.C. 1350</w:t>
      </w:r>
    </w:p>
    <w:p>
      <w:pPr>
        <w:spacing w:after="0" w:line="8"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64" w:lineRule="exact"/>
        <w:rPr>
          <w:sz w:val="20"/>
          <w:szCs w:val="20"/>
          <w:color w:val="auto"/>
        </w:rPr>
      </w:pPr>
    </w:p>
    <w:p>
      <w:pPr>
        <w:ind w:left="7"/>
        <w:spacing w:after="0" w:line="282" w:lineRule="auto"/>
        <w:rPr>
          <w:sz w:val="20"/>
          <w:szCs w:val="20"/>
          <w:color w:val="auto"/>
        </w:rPr>
      </w:pPr>
      <w:r>
        <w:rPr>
          <w:rFonts w:ascii="Arial" w:cs="Arial" w:eastAsia="Arial" w:hAnsi="Arial"/>
          <w:sz w:val="12"/>
          <w:szCs w:val="12"/>
          <w:color w:val="auto"/>
        </w:rPr>
        <w:t>I, James Karrels, Senior Vice President and Chief Financial Officer (principal financial officer) of MacroGenics, Inc. (the Registrant), certify, to the best of my knowledge, based upon a review of the Quarterly Report on Form 10-Q for the period ended September 30, 2021 of the Registrant (the Report), that:</w:t>
      </w:r>
    </w:p>
    <w:p>
      <w:pPr>
        <w:spacing w:after="0" w:line="133" w:lineRule="exact"/>
        <w:rPr>
          <w:sz w:val="20"/>
          <w:szCs w:val="20"/>
          <w:color w:val="auto"/>
        </w:rPr>
      </w:pPr>
    </w:p>
    <w:p>
      <w:pPr>
        <w:ind w:left="447" w:hanging="447"/>
        <w:spacing w:after="0"/>
        <w:tabs>
          <w:tab w:leader="none" w:pos="447"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of the Securities Exchange Act of 1934, as amended; and</w:t>
      </w:r>
    </w:p>
    <w:p>
      <w:pPr>
        <w:spacing w:after="0" w:line="117" w:lineRule="exact"/>
        <w:rPr>
          <w:rFonts w:ascii="Arial" w:cs="Arial" w:eastAsia="Arial" w:hAnsi="Arial"/>
          <w:sz w:val="12"/>
          <w:szCs w:val="12"/>
          <w:color w:val="auto"/>
        </w:rPr>
      </w:pPr>
    </w:p>
    <w:p>
      <w:pPr>
        <w:ind w:left="447" w:hanging="447"/>
        <w:spacing w:after="0"/>
        <w:tabs>
          <w:tab w:leader="none" w:pos="447"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47" w:lineRule="exact"/>
        <w:rPr>
          <w:sz w:val="20"/>
          <w:szCs w:val="20"/>
          <w:color w:val="auto"/>
        </w:rPr>
      </w:pPr>
    </w:p>
    <w:p>
      <w:pPr>
        <w:ind w:left="3067"/>
        <w:spacing w:after="0"/>
        <w:rPr>
          <w:sz w:val="20"/>
          <w:szCs w:val="20"/>
          <w:color w:val="auto"/>
        </w:rPr>
      </w:pPr>
      <w:r>
        <w:rPr>
          <w:rFonts w:ascii="Arial" w:cs="Arial" w:eastAsia="Arial" w:hAnsi="Arial"/>
          <w:sz w:val="12"/>
          <w:szCs w:val="12"/>
          <w:u w:val="single" w:color="auto"/>
          <w:color w:val="auto"/>
        </w:rPr>
        <w:t>/s/ James Karrels</w:t>
      </w:r>
    </w:p>
    <w:p>
      <w:pPr>
        <w:spacing w:after="0" w:line="17" w:lineRule="exact"/>
        <w:rPr>
          <w:sz w:val="20"/>
          <w:szCs w:val="20"/>
          <w:color w:val="auto"/>
        </w:rPr>
      </w:pPr>
    </w:p>
    <w:p>
      <w:pPr>
        <w:ind w:left="3067"/>
        <w:spacing w:after="0"/>
        <w:rPr>
          <w:sz w:val="20"/>
          <w:szCs w:val="20"/>
          <w:color w:val="auto"/>
        </w:rPr>
      </w:pPr>
      <w:r>
        <w:rPr>
          <w:rFonts w:ascii="Arial" w:cs="Arial" w:eastAsia="Arial" w:hAnsi="Arial"/>
          <w:sz w:val="12"/>
          <w:szCs w:val="12"/>
          <w:color w:val="auto"/>
        </w:rPr>
        <w:t>Name: James Karrels</w:t>
      </w:r>
    </w:p>
    <w:p>
      <w:pPr>
        <w:spacing w:after="0" w:line="8" w:lineRule="exact"/>
        <w:rPr>
          <w:sz w:val="20"/>
          <w:szCs w:val="20"/>
          <w:color w:val="auto"/>
        </w:rPr>
      </w:pPr>
    </w:p>
    <w:p>
      <w:pPr>
        <w:ind w:left="3067"/>
        <w:spacing w:after="0"/>
        <w:rPr>
          <w:sz w:val="20"/>
          <w:szCs w:val="20"/>
          <w:color w:val="auto"/>
        </w:rPr>
      </w:pPr>
      <w:r>
        <w:rPr>
          <w:rFonts w:ascii="Arial" w:cs="Arial" w:eastAsia="Arial" w:hAnsi="Arial"/>
          <w:sz w:val="12"/>
          <w:szCs w:val="12"/>
          <w:color w:val="auto"/>
        </w:rPr>
        <w:t>Date: November 2, 2021</w:t>
      </w:r>
    </w:p>
    <w:sectPr>
      <w:pgSz w:w="11900" w:h="16838" w:orient="portrait"/>
      <w:cols w:equalWidth="0" w:num="1">
        <w:col w:w="11307"/>
      </w:cols>
      <w:pgMar w:left="293" w:top="117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1)"/>
      <w:numFmt w:val="lowerRoman"/>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2021-11-02T15:15:37Z</dcterms:created>
  <dcterms:modified xsi:type="dcterms:W3CDTF">2021-11-02T15:15:37Z</dcterms:modified>
</cp:coreProperties>
</file>