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 INFORMATION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Proxy Statement Pursuant to Section 14(a) of the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Exchange Act of 1934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4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180" w:val="left"/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80" w:hanging="53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7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3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8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3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80" w:hanging="532"/>
        <w:spacing w:after="0"/>
        <w:tabs>
          <w:tab w:leader="none" w:pos="5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80" w:hanging="532"/>
        <w:spacing w:after="0"/>
        <w:tabs>
          <w:tab w:leader="none" w:pos="5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MACROGENICS, INC.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500" w:hanging="474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500" w:hanging="474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8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474"/>
        <w:spacing w:after="0"/>
        <w:tabs>
          <w:tab w:leader="none" w:pos="5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917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917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2026-04-08T15:08:24Z</dcterms:created>
  <dcterms:modified xsi:type="dcterms:W3CDTF">2026-04-08T15:08:24Z</dcterms:modified>
</cp:coreProperties>
</file>