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52" w:lineRule="exact"/>
        <w:rPr>
          <w:sz w:val="24"/>
          <w:szCs w:val="24"/>
          <w:color w:val="auto"/>
        </w:rPr>
      </w:pPr>
    </w:p>
    <w:p>
      <w:pPr>
        <w:ind w:left="3980" w:right="1740" w:hanging="3959"/>
        <w:spacing w:after="0" w:line="335" w:lineRule="auto"/>
        <w:tabs>
          <w:tab w:leader="none" w:pos="1019"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60" w:lineRule="exact"/>
        <w:rPr>
          <w:sz w:val="24"/>
          <w:szCs w:val="24"/>
          <w:color w:val="auto"/>
        </w:rPr>
      </w:pPr>
    </w:p>
    <w:p>
      <w:pPr>
        <w:ind w:left="1020" w:hanging="999"/>
        <w:spacing w:after="0"/>
        <w:tabs>
          <w:tab w:leader="none" w:pos="10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2" w:lineRule="exact"/>
        <w:rPr>
          <w:sz w:val="24"/>
          <w:szCs w:val="24"/>
          <w:color w:val="auto"/>
        </w:rPr>
      </w:pPr>
    </w:p>
    <w:p>
      <w:pPr>
        <w:ind w:left="4120"/>
        <w:spacing w:after="0"/>
        <w:tabs>
          <w:tab w:leader="none" w:pos="68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001-36112</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MACROGENICS,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w:t>
      </w:r>
    </w:p>
    <w:p>
      <w:pPr>
        <w:sectPr>
          <w:pgSz w:w="11900" w:h="16838" w:orient="portrait"/>
          <w:cols w:equalWidth="0" w:num="1">
            <w:col w:w="11240"/>
          </w:cols>
          <w:pgMar w:left="320" w:top="959" w:right="339" w:bottom="1440" w:gutter="0" w:footer="0" w:header="0"/>
        </w:sectPr>
      </w:pPr>
    </w:p>
    <w:p>
      <w:pPr>
        <w:spacing w:after="0" w:line="24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color w:val="auto"/>
        </w:rPr>
        <w:t>Delaware</w:t>
      </w:r>
    </w:p>
    <w:p>
      <w:pPr>
        <w:spacing w:after="0" w:line="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i w:val="1"/>
          <w:iCs w:val="1"/>
          <w:color w:val="auto"/>
        </w:rPr>
        <w:t>(State of organization)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06-1591613</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400" w:space="720"/>
            <w:col w:w="4120"/>
          </w:cols>
          <w:pgMar w:left="320" w:top="959" w:right="339" w:bottom="1440" w:gutter="0" w:footer="0" w:header="0"/>
          <w:type w:val="continuous"/>
        </w:sectPr>
      </w:pP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9704 Medical Center Drive, Rockville, Maryland 20850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and zip code)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251-5172</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w:t>
      </w:r>
    </w:p>
    <w:p>
      <w:pPr>
        <w:sectPr>
          <w:pgSz w:w="11900" w:h="16838" w:orient="portrait"/>
          <w:cols w:equalWidth="0" w:num="1">
            <w:col w:w="11240"/>
          </w:cols>
          <w:pgMar w:left="320" w:top="959" w:right="339" w:bottom="1440" w:gutter="0" w:footer="0" w:header="0"/>
          <w:type w:val="continuous"/>
        </w:sect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9" w:lineRule="exact"/>
        <w:rPr>
          <w:sz w:val="24"/>
          <w:szCs w:val="24"/>
          <w:color w:val="auto"/>
        </w:rPr>
      </w:pPr>
    </w:p>
    <w:tbl>
      <w:tblPr>
        <w:tblLayout w:type="fixed"/>
        <w:tblInd w:w="21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4"/>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MGNX</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Exchange Act.</w:t>
      </w:r>
    </w:p>
    <w:p>
      <w:pPr>
        <w:spacing w:after="0" w:line="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222222"/>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222222"/>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668655</wp:posOffset>
            </wp:positionV>
            <wp:extent cx="716280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1" w:name="page2"/>
    <w:bookmarkEnd w:id="1"/>
    <w:p>
      <w:pPr>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of</w:t>
            </w:r>
          </w:p>
        </w:tc>
        <w:tc>
          <w:tcPr>
            <w:tcW w:w="3080" w:type="dxa"/>
            <w:vAlign w:val="bottom"/>
          </w:tcPr>
          <w:p>
            <w:pPr>
              <w:ind w:left="1220"/>
              <w:spacing w:after="0" w:line="191" w:lineRule="exact"/>
              <w:rPr>
                <w:sz w:val="20"/>
                <w:szCs w:val="20"/>
                <w:color w:val="auto"/>
              </w:rPr>
            </w:pPr>
            <w:r>
              <w:rPr>
                <w:rFonts w:ascii="Times New Roman" w:cs="Times New Roman" w:eastAsia="Times New Roman" w:hAnsi="Times New Roman"/>
                <w:sz w:val="17"/>
                <w:szCs w:val="17"/>
                <w:color w:val="auto"/>
              </w:rPr>
              <w:t>the</w:t>
            </w:r>
          </w:p>
        </w:tc>
        <w:tc>
          <w:tcPr>
            <w:tcW w:w="4800" w:type="dxa"/>
            <w:vAlign w:val="bottom"/>
          </w:tcPr>
          <w:p>
            <w:pPr>
              <w:ind w:left="1660"/>
              <w:spacing w:after="0" w:line="191" w:lineRule="exact"/>
              <w:rPr>
                <w:sz w:val="20"/>
                <w:szCs w:val="20"/>
                <w:color w:val="auto"/>
              </w:rPr>
            </w:pPr>
            <w:r>
              <w:rPr>
                <w:rFonts w:ascii="Times New Roman" w:cs="Times New Roman" w:eastAsia="Times New Roman" w:hAnsi="Times New Roman"/>
                <w:sz w:val="17"/>
                <w:szCs w:val="17"/>
                <w:color w:val="auto"/>
              </w:rPr>
              <w:t>Exchange</w:t>
            </w:r>
          </w:p>
        </w:tc>
        <w:tc>
          <w:tcPr>
            <w:tcW w:w="1140" w:type="dxa"/>
            <w:vAlign w:val="bottom"/>
          </w:tcPr>
          <w:p>
            <w:pPr>
              <w:ind w:left="840"/>
              <w:spacing w:after="0" w:line="191" w:lineRule="exact"/>
              <w:rPr>
                <w:sz w:val="20"/>
                <w:szCs w:val="20"/>
                <w:color w:val="auto"/>
              </w:rPr>
            </w:pPr>
            <w:r>
              <w:rPr>
                <w:rFonts w:ascii="Times New Roman" w:cs="Times New Roman" w:eastAsia="Times New Roman" w:hAnsi="Times New Roman"/>
                <w:sz w:val="17"/>
                <w:szCs w:val="17"/>
                <w:color w:val="auto"/>
                <w:w w:val="97"/>
              </w:rPr>
              <w:t>Act.</w:t>
            </w:r>
          </w:p>
        </w:tc>
      </w:tr>
      <w:tr>
        <w:trPr>
          <w:trHeight w:val="274"/>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Accelerated filer</w:t>
            </w:r>
          </w:p>
        </w:tc>
        <w:tc>
          <w:tcPr>
            <w:tcW w:w="11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1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r>
      <w:tr>
        <w:trPr>
          <w:trHeight w:val="29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w:t>
      </w:r>
    </w:p>
    <w:p>
      <w:pPr>
        <w:spacing w:after="0" w:line="3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29" w:lineRule="exact"/>
        <w:rPr>
          <w:sz w:val="20"/>
          <w:szCs w:val="20"/>
          <w:color w:val="auto"/>
        </w:rPr>
      </w:pPr>
    </w:p>
    <w:p>
      <w:pPr>
        <w:jc w:val="both"/>
        <w:ind w:right="8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222222"/>
        </w:rPr>
        <w:t>☑</w:t>
      </w:r>
    </w:p>
    <w:p>
      <w:pPr>
        <w:spacing w:after="0" w:line="190" w:lineRule="exact"/>
        <w:rPr>
          <w:sz w:val="20"/>
          <w:szCs w:val="20"/>
          <w:color w:val="auto"/>
        </w:rPr>
      </w:pPr>
    </w:p>
    <w:p>
      <w:pPr>
        <w:ind w:right="280"/>
        <w:spacing w:after="0" w:line="25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pacing w:after="0" w:line="173" w:lineRule="exact"/>
        <w:rPr>
          <w:sz w:val="20"/>
          <w:szCs w:val="20"/>
          <w:color w:val="auto"/>
        </w:rPr>
      </w:pPr>
    </w:p>
    <w:p>
      <w:pPr>
        <w:ind w:right="280"/>
        <w:spacing w:after="0" w:line="25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par value $0.01 per share, held by non-affiliates of the registrant on June 30, 2025, the last business day of the registrant's most recently completed second fiscal quarter, was approximately $73.9 million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on March 5, 2026 was 63,555,837.</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Portions of MacroGenics, Inc.'s definitive proxy statement for the 2026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497205</wp:posOffset>
            </wp:positionV>
            <wp:extent cx="716280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3920" w:type="dxa"/>
            <w:vAlign w:val="bottom"/>
            <w:gridSpan w:val="8"/>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13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1C</w:t>
            </w:r>
          </w:p>
        </w:tc>
        <w:tc>
          <w:tcPr>
            <w:tcW w:w="1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2580" w:type="dxa"/>
            <w:vAlign w:val="bottom"/>
            <w:gridSpan w:val="2"/>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3580" w:type="dxa"/>
            <w:vAlign w:val="bottom"/>
            <w:gridSpan w:val="5"/>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Legal Proceedings</w:t>
            </w:r>
          </w:p>
        </w:tc>
      </w:tr>
      <w:tr>
        <w:trPr>
          <w:trHeight w:val="20"/>
        </w:trPr>
        <w:tc>
          <w:tcPr>
            <w:tcW w:w="13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0"/>
        </w:trPr>
        <w:tc>
          <w:tcPr>
            <w:tcW w:w="1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3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7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Reserved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41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tcBorders>
              <w:top w:val="single" w:sz="8" w:color="0000FF"/>
            </w:tcBorders>
            <w:gridSpan w:val="3"/>
          </w:tcPr>
          <w:p>
            <w:pPr>
              <w:spacing w:after="0"/>
              <w:rPr>
                <w:sz w:val="17"/>
                <w:szCs w:val="17"/>
                <w:color w:val="auto"/>
              </w:rPr>
            </w:pPr>
          </w:p>
        </w:tc>
        <w:tc>
          <w:tcPr>
            <w:tcW w:w="1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62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1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0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9C</w:t>
            </w:r>
          </w:p>
        </w:tc>
        <w:tc>
          <w:tcPr>
            <w:tcW w:w="4720" w:type="dxa"/>
            <w:vAlign w:val="bottom"/>
            <w:tcBorders>
              <w:bottom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04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320" w:type="dxa"/>
            <w:vAlign w:val="bottom"/>
            <w:vMerge w:val="continue"/>
          </w:tcPr>
          <w:p>
            <w:pPr>
              <w:spacing w:after="0"/>
              <w:rPr>
                <w:sz w:val="3"/>
                <w:szCs w:val="3"/>
                <w:color w:val="auto"/>
              </w:rPr>
            </w:pPr>
          </w:p>
        </w:tc>
        <w:tc>
          <w:tcPr>
            <w:tcW w:w="4720" w:type="dxa"/>
            <w:vAlign w:val="bottom"/>
            <w:gridSpan w:val="8"/>
          </w:tcPr>
          <w:p>
            <w:pPr>
              <w:spacing w:after="0"/>
              <w:rPr>
                <w:sz w:val="3"/>
                <w:szCs w:val="3"/>
                <w:color w:val="auto"/>
              </w:rPr>
            </w:pPr>
          </w:p>
        </w:tc>
        <w:tc>
          <w:tcPr>
            <w:tcW w:w="3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2400" w:type="dxa"/>
            <w:vAlign w:val="bottom"/>
            <w:gridSpan w:val="2"/>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70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17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200" w:type="dxa"/>
            <w:vAlign w:val="bottom"/>
            <w:tcBorders>
              <w:top w:val="single" w:sz="8" w:color="0000FF"/>
            </w:tcBorders>
            <w:gridSpan w:val="3"/>
          </w:tcPr>
          <w:p>
            <w:pPr>
              <w:spacing w:after="0"/>
              <w:rPr>
                <w:sz w:val="17"/>
                <w:szCs w:val="17"/>
                <w:color w:val="auto"/>
              </w:rPr>
            </w:pPr>
          </w:p>
        </w:tc>
        <w:tc>
          <w:tcPr>
            <w:tcW w:w="3080" w:type="dxa"/>
            <w:vAlign w:val="bottom"/>
            <w:gridSpan w:val="3"/>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7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5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4260" w:type="dxa"/>
            <w:vAlign w:val="bottom"/>
            <w:gridSpan w:val="5"/>
          </w:tcPr>
          <w:p>
            <w:pPr>
              <w:spacing w:after="0"/>
              <w:rPr>
                <w:sz w:val="17"/>
                <w:szCs w:val="17"/>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840" w:type="dxa"/>
            <w:vAlign w:val="bottom"/>
            <w:gridSpan w:val="3"/>
          </w:tcPr>
          <w:p>
            <w:pPr>
              <w:ind w:left="880"/>
              <w:spacing w:after="0"/>
              <w:rPr>
                <w:sz w:val="20"/>
                <w:szCs w:val="20"/>
                <w:color w:val="auto"/>
              </w:rPr>
            </w:pPr>
            <w:r>
              <w:rPr>
                <w:rFonts w:ascii="Times New Roman" w:cs="Times New Roman" w:eastAsia="Times New Roman" w:hAnsi="Times New Roman"/>
                <w:sz w:val="17"/>
                <w:szCs w:val="17"/>
                <w:b w:val="1"/>
                <w:bCs w:val="1"/>
                <w:color w:val="0000FF"/>
              </w:rPr>
              <w:t>PART IV</w:t>
            </w:r>
          </w:p>
        </w:tc>
      </w:tr>
      <w:tr>
        <w:trPr>
          <w:trHeight w:val="201"/>
        </w:trPr>
        <w:tc>
          <w:tcPr>
            <w:tcW w:w="1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Item 15</w:t>
            </w:r>
          </w:p>
        </w:tc>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80" w:type="dxa"/>
            <w:vAlign w:val="bottom"/>
            <w:tcBorders>
              <w:top w:val="single" w:sz="8" w:color="0000FF"/>
            </w:tcBorders>
          </w:tcPr>
          <w:p>
            <w:pPr>
              <w:spacing w:after="0"/>
              <w:rPr>
                <w:sz w:val="17"/>
                <w:szCs w:val="17"/>
                <w:color w:val="auto"/>
              </w:rPr>
            </w:pPr>
          </w:p>
        </w:tc>
        <w:tc>
          <w:tcPr>
            <w:tcW w:w="5280" w:type="dxa"/>
            <w:vAlign w:val="bottom"/>
          </w:tcPr>
          <w:p>
            <w:pPr>
              <w:spacing w:after="0"/>
              <w:rPr>
                <w:sz w:val="17"/>
                <w:szCs w:val="17"/>
                <w:color w:val="auto"/>
              </w:rPr>
            </w:pPr>
          </w:p>
        </w:tc>
      </w:tr>
      <w:tr>
        <w:trPr>
          <w:trHeight w:val="201"/>
        </w:trPr>
        <w:tc>
          <w:tcPr>
            <w:tcW w:w="1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Item 16</w:t>
            </w:r>
          </w:p>
        </w:tc>
        <w:tc>
          <w:tcPr>
            <w:tcW w:w="1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1540" w:type="dxa"/>
            <w:vAlign w:val="bottom"/>
            <w:tcBorders>
              <w:top w:val="single" w:sz="8" w:color="0000FF"/>
            </w:tcBorders>
          </w:tcPr>
          <w:p>
            <w:pPr>
              <w:spacing w:after="0"/>
              <w:rPr>
                <w:sz w:val="17"/>
                <w:szCs w:val="17"/>
                <w:color w:val="auto"/>
              </w:rPr>
            </w:pPr>
          </w:p>
        </w:tc>
        <w:tc>
          <w:tcPr>
            <w:tcW w:w="6840" w:type="dxa"/>
            <w:vAlign w:val="bottom"/>
            <w:gridSpan w:val="3"/>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r>
      <w:tr>
        <w:trPr>
          <w:trHeight w:val="1406"/>
        </w:trPr>
        <w:tc>
          <w:tcPr>
            <w:tcW w:w="13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1"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28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67" w:lineRule="exact"/>
        <w:rPr>
          <w:sz w:val="20"/>
          <w:szCs w:val="20"/>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our product candidates;</w:t>
      </w:r>
    </w:p>
    <w:p>
      <w:pPr>
        <w:spacing w:after="0" w:line="64" w:lineRule="exact"/>
        <w:rPr>
          <w:rFonts w:ascii="Times New Roman" w:cs="Times New Roman" w:eastAsia="Times New Roman" w:hAnsi="Times New Roman"/>
          <w:sz w:val="17"/>
          <w:szCs w:val="17"/>
          <w:color w:val="auto"/>
        </w:rPr>
      </w:pPr>
    </w:p>
    <w:p>
      <w:pPr>
        <w:ind w:left="500" w:right="34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approvals for our product candidates and the labeling for any approved products;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64" w:lineRule="exact"/>
        <w:rPr>
          <w:rFonts w:ascii="Times New Roman" w:cs="Times New Roman" w:eastAsia="Times New Roman" w:hAnsi="Times New Roman"/>
          <w:sz w:val="17"/>
          <w:szCs w:val="17"/>
          <w:color w:val="auto"/>
        </w:rPr>
      </w:pPr>
    </w:p>
    <w:p>
      <w:pPr>
        <w:ind w:left="500" w:right="240" w:hanging="322"/>
        <w:spacing w:after="0" w:line="287" w:lineRule="auto"/>
        <w:tabs>
          <w:tab w:leader="none" w:pos="495"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our ability to receive research funding and achieve anticipated milestones under our collaborations, as well as our ability to offset the operating costs of our manufacturing facility from our contract development and manufacturing services;</w:t>
      </w:r>
    </w:p>
    <w:p>
      <w:pPr>
        <w:ind w:left="500" w:right="68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product candidates currently being developed by our collaborators;</w:t>
      </w:r>
    </w:p>
    <w:p>
      <w:pPr>
        <w:spacing w:after="0" w:line="64" w:lineRule="exact"/>
        <w:rPr>
          <w:rFonts w:ascii="Times New Roman" w:cs="Times New Roman" w:eastAsia="Times New Roman" w:hAnsi="Times New Roman"/>
          <w:sz w:val="17"/>
          <w:szCs w:val="17"/>
          <w:color w:val="auto"/>
        </w:rPr>
      </w:pPr>
    </w:p>
    <w:p>
      <w:pPr>
        <w:ind w:left="500" w:right="40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7"/>
          <w:szCs w:val="17"/>
          <w:color w:val="auto"/>
        </w:rPr>
      </w:pPr>
    </w:p>
    <w:p>
      <w:pPr>
        <w:ind w:left="500" w:right="72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and future operation of our existing collaborations;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the investment in our manufacturing capabilities;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products;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commercialization, marketing and manufacturing capabilities and strategy;</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competition in our industry;</w:t>
      </w:r>
    </w:p>
    <w:p>
      <w:pPr>
        <w:spacing w:after="0" w:line="64" w:lineRule="exact"/>
        <w:rPr>
          <w:rFonts w:ascii="Times New Roman" w:cs="Times New Roman" w:eastAsia="Times New Roman" w:hAnsi="Times New Roman"/>
          <w:sz w:val="17"/>
          <w:szCs w:val="17"/>
          <w:color w:val="auto"/>
        </w:rPr>
      </w:pPr>
    </w:p>
    <w:p>
      <w:pPr>
        <w:ind w:left="500" w:right="6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other risks associated with our international operations;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patents and other intellectual property;</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compliance and our failure to comply with new and existing governmental regulations including, but not limited to, tax regulations;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retirement of key members of management;</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execute our growth strategy, including any delays in our planned future growth;</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maintain effective internal controls; and</w:t>
      </w:r>
    </w:p>
    <w:p>
      <w:pPr>
        <w:spacing w:after="0" w:line="64" w:lineRule="exact"/>
        <w:rPr>
          <w:rFonts w:ascii="Times New Roman" w:cs="Times New Roman" w:eastAsia="Times New Roman" w:hAnsi="Times New Roman"/>
          <w:sz w:val="17"/>
          <w:szCs w:val="17"/>
          <w:color w:val="auto"/>
        </w:rPr>
      </w:pPr>
    </w:p>
    <w:p>
      <w:pPr>
        <w:ind w:left="500" w:right="660" w:hanging="322"/>
        <w:spacing w:after="0" w:line="294"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4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ind w:left="566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69"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7"/>
          <w:szCs w:val="17"/>
          <w:i w:val="1"/>
          <w:iCs w:val="1"/>
          <w:color w:val="auto"/>
        </w:rPr>
        <w:t>Except as otherwise indicated herein or as the context otherwise requires, references in this annual report on Form 10-K to "MacroGenics," the "company," "we," "us" and "our" refer to MacroGenics, Inc. and its consolidated subsidiaries. “MacroGenics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the MacroGenics logo, DART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TRIDENT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and the phrases Breakthrough Biologics, Life-Changing Medicines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and Developing Breakthrough Biologics, Life-Changing Medicines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are our trademarks. The other trademarks, trade names and service marks appearing in this report are the property of their respective owners.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8"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 a commercial-scale cGMP antibody manufacturing facility in our Maryland headquarters. We have utilized the facility to support our clinical programs and we also provide outsourced contract development and manufacturing services to our collaborators and other third parties for commercial and clinical products to offset a significant portion of the operating costs of this facility.</w:t>
      </w:r>
    </w:p>
    <w:p>
      <w:pPr>
        <w:spacing w:after="0" w:line="12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currently have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preclinical-stage ADC and next generation T-cell engager programs.</w:t>
      </w:r>
    </w:p>
    <w:p>
      <w:pPr>
        <w:spacing w:after="0" w:line="195" w:lineRule="exact"/>
        <w:rPr>
          <w:sz w:val="20"/>
          <w:szCs w:val="20"/>
          <w:color w:val="auto"/>
        </w:rPr>
      </w:pPr>
    </w:p>
    <w:p>
      <w:pPr>
        <w:ind w:right="120" w:firstLine="625"/>
        <w:spacing w:after="0" w:line="232" w:lineRule="auto"/>
        <w:rPr>
          <w:sz w:val="20"/>
          <w:szCs w:val="20"/>
          <w:color w:val="auto"/>
        </w:rPr>
      </w:pPr>
      <w:r>
        <w:rPr>
          <w:rFonts w:ascii="Times New Roman" w:cs="Times New Roman" w:eastAsia="Times New Roman" w:hAnsi="Times New Roman"/>
          <w:sz w:val="17"/>
          <w:szCs w:val="17"/>
          <w:color w:val="auto"/>
        </w:rPr>
        <w:t>We and our partners are developing or commercializing product candidates for which we retain certain economic rights. These include three products approved by the FDA: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monoclonal antibody (mAb) that we out-licensed;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mAb that we sold to a partner;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we sold to a partner. We are also collaborating with Gilead Sciences, Inc. (Gilead) on the development of MGD024, a bispecific DART molecule targeting CD123 and CD3 that utilizes our next-generation T-cell engager technology, as well as two additional undisclosed pre-clinical DART and TRIDENT molecule development programs.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Portfolio of Product Candidates</w:t>
      </w:r>
    </w:p>
    <w:p>
      <w:pPr>
        <w:spacing w:after="0" w:line="171"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The table below depicts the status of our diverse pipeline of investigational oncology product candidates for which we retain commercialization or other important rights in the U.S. or more broadly: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-27305</wp:posOffset>
            </wp:positionV>
            <wp:extent cx="5259705" cy="196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970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No new patients will be enrolled in LINNET study until partial clinical hold is lifted by FDA. Current study participants may continue to receive study drug.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Our Wholly-Owned Product Candidates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MGC026</w:t>
      </w:r>
    </w:p>
    <w:p>
      <w:pPr>
        <w:spacing w:after="0" w:line="24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MGC026 is an investigational ADC incorporating a B7-H3-targeting antibody and a novel TOP1i-based linker-payload, SYNtecan E™. This cleavable linker-payload is based on exatecan, a clinically validated and potent camptothecin, and is site-specifically conjugated using the GlycoConnect® technology developed by our collaboration partner, Synaffix B.V., a Lonza company (Synaffix).</w:t>
      </w:r>
    </w:p>
    <w:p>
      <w:pPr>
        <w:spacing w:after="0" w:line="190"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An ongoing Phase 1 dose escalation study of MGC026 was initiated in 2024. Study enrollment was completed in 2025 and we anticipate sharing the initial results of this trial in mid-2026. Based on the selection of a dosing regimen in dose escalation, a Phase 1 dose expansion study of MGC026 in selected indications was initiated in 2025 and is ongoing.</w:t>
      </w:r>
    </w:p>
    <w:p>
      <w:pPr>
        <w:spacing w:after="0" w:line="190"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In preclinical studies, MGC026 exhibited a favorable profile, with potent in vivo activity toward B7-H3-expressing tumor xenografts representing a range of cancer indications. MGC026 was tolerated in cynomolgus monkeys, a relevant toxicology model, at exposure levels exceeding those likely required for antitumor activity in patients. In preclinical studies, MGC026 was shown to have greater potency than B7-H3-directed antibodies conjugated to deruxtecan, (DXd), a topoisomerase-based payload utilized in other ADCs. In addition, the MGC026 payload has been shown to be less susceptible to multi-drug resistance (MDR) mechanisms than DXd and SN-38. Finally, compared with other B7-H3-targeted TOP1i ADC molecules, MGC026’s glycan conjugation is designed to abolish Fc-γ receptor binding, potentially reducing risk of lung toxicity associated with non-specific uptake by alveolar macrophages.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MGC028</w:t>
      </w:r>
    </w:p>
    <w:p>
      <w:pPr>
        <w:spacing w:after="0" w:line="249"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MGC028 is an investigational, first-in-class ADC that targets ADAM9, a member of the ADAM family of multifunctional type 1 transmembrane proteins that play a role in tumorigenesis and cancer progression and is overexpressed in multiple solid tumors. MGC028 is currently being evaluated in a Phase 1 dose escalation study in patients with advanced solid tumors. The Company anticipates reporting initial MGC028 clinical data in the second half of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MGC030</w:t>
      </w:r>
    </w:p>
    <w:p>
      <w:pPr>
        <w:spacing w:after="0" w:line="249"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auto"/>
        </w:rPr>
        <w:t>MGC030 is a first-in-class preclinical ADC that targets an undisclosed antigen expressed across several solid tumors. An Investigational New Drug (IND) application submission to the FDA for MGC030 is targeted for the third quarter of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Lorigerlimab</w:t>
      </w:r>
    </w:p>
    <w:p>
      <w:pPr>
        <w:spacing w:after="0" w:line="171"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Lorigerlimab (previously known as MGD019) is an investigational, bispecific tetravalent DART molecule designed to enable simultaneous and/or independent blockade of PD-1 and CTLA-4, with potentially enhanced CTLA-4 blockade on T cells co-expressing these immune checkpoint molecules. Approved mAbs that target the immune checkpoints PD-1 and CTLA-4 have shown enhanced clinical antitumor activity when given in combination in various cancers, including renal cell carcinoma, melanoma, non-small cell lung cancer (NSCLC), esophageal cancer and microsatellite instability-high (MSI-H) colorectal cancer.</w:t>
      </w:r>
    </w:p>
    <w:p>
      <w:pPr>
        <w:spacing w:after="0" w:line="197"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We initiated the LINNET study in patients with platinum-resistant ovarian cancer (PROC) in mid-2025. This study is evaluating lorigerlimab as monotherapy in a Simon two-stage trial in eligible patients who have previously received up to three prior lines of therapy. If a certain predefined threshold of activity is achieved in part 1 of the two-stage design, the study will be expanded with a total of up to 40 patients evaluated. In addition, the LINNET study will evaluate up to 20 patients with clear cell gynecologic cancer (CCGC) who have received at least one prior line of therapy. Any patients with PROC or CCGC who have primary platinum-refractory disease are excluded from study participation. The study’s primary endpoint is objective response rate (ORR), with multiple secondary endpoints. In February 2026, we announced the FDA’s initiation of a partial clinical hold of the LINNET study. The FDA’s partial clinical hold was initiated following the Company’s recent notification to the FDA of a temporary pause in enrollment of new participants in the LINNET trial due to the occurrence of recent safety events. The safety events that prompted the enrollment pause occurred across four patients and included Grade 4 thrombocytopenia (N=2), Grade 4 myocarditis (N=1), and Grade 4 neutropenia and concurrent septic shock (N=1) which led to a Grade 5 event.  Under the partial clinical hold, no new patients will be enrolled in the LINNET study until the partial hold is lifted by the FDA. Current study participants may continue to receive study drug. We are working closely with the FDA to resolve the partial clinical hold as soon as possible. We expect to provide a clinical update on the first part of the two-stage LINNET study in mid-2026.</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94" w:right="399" w:bottom="1440" w:gutter="0" w:footer="0" w:header="0"/>
        </w:sectPr>
      </w:pPr>
    </w:p>
    <w:bookmarkStart w:id="6" w:name="page7"/>
    <w:bookmarkEnd w:id="6"/>
    <w:p>
      <w:pPr>
        <w:ind w:right="180" w:firstLine="625"/>
        <w:spacing w:after="0" w:line="263" w:lineRule="auto"/>
        <w:rPr>
          <w:sz w:val="20"/>
          <w:szCs w:val="20"/>
          <w:color w:val="auto"/>
        </w:rPr>
      </w:pPr>
      <w:r>
        <w:rPr>
          <w:rFonts w:ascii="Times New Roman" w:cs="Times New Roman" w:eastAsia="Times New Roman" w:hAnsi="Times New Roman"/>
          <w:sz w:val="17"/>
          <w:szCs w:val="17"/>
          <w:color w:val="auto"/>
        </w:rPr>
        <w:t>In November 2025, we announced that we had determined not to pursue further development of lorigerlimab in second-line metastatic castration-resistant prostate cancer (mCRPC) based on interim data from the Phase 2 LORIKEET trial, a 150-patient randomized study evaluating lorigerlimab in combination with docetaxel and prednisone vs. docetaxel and prednisone in second-line, chemotherapy-naïve patients with mCRPC. Based on review of study data with an October 17, 2025 data cut-off, we determined that the experimental treatment arm would not reach the study’s primary goal of showing an improvement in progression-free survival (rPFS) vs. that of the control arm for the targeted patient population. We intend to present or publish the final LORIKEET data at a future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Candidates in Development under Collaborations</w:t>
      </w:r>
    </w:p>
    <w:p>
      <w:pPr>
        <w:spacing w:after="0" w:line="251" w:lineRule="exact"/>
        <w:rPr>
          <w:sz w:val="20"/>
          <w:szCs w:val="20"/>
          <w:color w:val="auto"/>
        </w:rPr>
      </w:pPr>
    </w:p>
    <w:p>
      <w:pPr>
        <w:ind w:right="440" w:firstLine="625"/>
        <w:spacing w:after="0" w:line="294" w:lineRule="auto"/>
        <w:rPr>
          <w:sz w:val="20"/>
          <w:szCs w:val="20"/>
          <w:color w:val="auto"/>
        </w:rPr>
      </w:pPr>
      <w:r>
        <w:rPr>
          <w:rFonts w:ascii="Times New Roman" w:cs="Times New Roman" w:eastAsia="Times New Roman" w:hAnsi="Times New Roman"/>
          <w:sz w:val="17"/>
          <w:szCs w:val="17"/>
          <w:color w:val="auto"/>
        </w:rPr>
        <w:t>In addition to the molecules identified above, we have out-licensed various product candidates for which we retain certain economic rights. These molecules provide potential sources of future cash flow and platform validation.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MGD024</w:t>
      </w:r>
    </w:p>
    <w:p>
      <w:pPr>
        <w:spacing w:after="0" w:line="24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MGD024 is an investigational, next-generation, bispecific CD123 × CD3 DART molecule designed to engage CD3 expressed on immune effector cells, such as T cells, to kill CD123-expressing cancer cells for the potential treatment of certain hematologic malignancies, including acute myeloid leukemia (AML) and myelodysplastic syndrome (MDS). MGD024 was designed to minimize cytokine-release syndrome, while maintaining anti-tumor cytolytic activity, and permitting intermittent dosing through a longer half-life. CD123, the interleukin-3 receptor alpha chain, is widely overexpressed in various hematologic malignancies, including AML and MDS, making it an attractive therapeutic target.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continue to enroll patients in a Phase 1 dose-escalation study of MGD024 in patients with CD123-positive neoplasms, including AML and MDS.</w:t>
      </w:r>
    </w:p>
    <w:p>
      <w:pPr>
        <w:spacing w:after="0" w:line="247"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In October 2022, we and Gilead entered into an exclusive option and collaboration agreement (Gilead Agreement) to develop and commercialize MGD024 and create up to two separate bispecific cancer target research programs using our DART platform and undertake their early development. Under the Gilead Agreement, we will continue the ongoing phase 1 trial for MGD024 according to a development plan, during which Gilead will have the right to exercise an option granted to them to obtain an exclusive license to develop and commercialize MGD024 and other bispecific antibodies of ours that bind CD123 and CD3 (CD123 Option). The agreement also grants Gilead the right, within the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us to conduct certain research and which extends the period for Gilead to select its second research target combination.</w:t>
      </w:r>
    </w:p>
    <w:p>
      <w:pPr>
        <w:spacing w:after="0" w:line="201"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In November 2025, Gilead exercised its rights under the Gilead Agreement to nominate and license an additional MacroGenics preclinical program, triggering a $25 million payment to MacroGenics. This licensed program leverages our novel, proprietary platform with the objective of improving upon the safety and efficacy of traditional T-cell engagers. As a result of this license exercise, we and Gilead are now advancing three programs under the collaboration: MGD024, a preclinical TRIDENT molecule program, and this newly licensed preclinical DART molecule program.</w:t>
      </w:r>
    </w:p>
    <w:p>
      <w:pPr>
        <w:spacing w:after="0" w:line="195" w:lineRule="exact"/>
        <w:rPr>
          <w:sz w:val="20"/>
          <w:szCs w:val="20"/>
          <w:color w:val="auto"/>
        </w:rPr>
      </w:pPr>
    </w:p>
    <w:p>
      <w:pPr>
        <w:ind w:right="180" w:firstLine="625"/>
        <w:spacing w:after="0" w:line="263" w:lineRule="auto"/>
        <w:rPr>
          <w:sz w:val="20"/>
          <w:szCs w:val="20"/>
          <w:color w:val="auto"/>
        </w:rPr>
      </w:pPr>
      <w:r>
        <w:rPr>
          <w:rFonts w:ascii="Times New Roman" w:cs="Times New Roman" w:eastAsia="Times New Roman" w:hAnsi="Times New Roman"/>
          <w:sz w:val="17"/>
          <w:szCs w:val="17"/>
          <w:color w:val="auto"/>
        </w:rPr>
        <w:t>As part of the Gilead Agreement, Gilead previously paid us a non-refundable upfront payment of $60.0 million. We remain eligible to receive up to approximately $1.6 billion in aggregate remaining option fees, and development, regulatory and commercial milestone payments across the three programs, assuming Gilead exercises the applicable options and successfully develops and commercializes the resulting product candidates. In addition, upon exercise of the CD123 Option, we are eligible to receive tiered, low double-digit royalties on worldwide net sales of MGD024 and any other CD123 products developed under the agreement, and upon exercise of the applicable Research Program Options, a flat royalty on worldwide net sales of any products resulting from the additional research programs.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Early Bispecific Research Programs</w:t>
      </w:r>
    </w:p>
    <w:p>
      <w:pPr>
        <w:spacing w:after="0" w:line="249"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In September 2023, Gilead nominated the first of two potential research programs under the Research Program Option as part of the Gilead Agreement, leveraging our DART and TRIDENT platforms for generating bispecific antibodies. This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nomination granted Gilead an exclusive option to license worldwide rights to the research program, upon achievement of a pre-defined preclinical milestone.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November 2025, Gilead nominated and licensed the second research program under the Research Program Option as part of the Gilead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licensed program leverages our novel, proprietary platform with the objective of improving upon the safety and efficacy of traditional T-cell engagers.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Partnered Marketed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TZIELD</w:t>
      </w:r>
    </w:p>
    <w:p>
      <w:pPr>
        <w:spacing w:after="0" w:line="171" w:lineRule="exact"/>
        <w:rPr>
          <w:sz w:val="20"/>
          <w:szCs w:val="20"/>
          <w:color w:val="auto"/>
        </w:rPr>
      </w:pPr>
    </w:p>
    <w:p>
      <w:pPr>
        <w:ind w:right="440" w:firstLine="625"/>
        <w:spacing w:after="0" w:line="274" w:lineRule="auto"/>
        <w:rPr>
          <w:sz w:val="20"/>
          <w:szCs w:val="20"/>
          <w:color w:val="auto"/>
        </w:rPr>
      </w:pPr>
      <w:r>
        <w:rPr>
          <w:rFonts w:ascii="Times New Roman" w:cs="Times New Roman" w:eastAsia="Times New Roman" w:hAnsi="Times New Roman"/>
          <w:sz w:val="17"/>
          <w:szCs w:val="17"/>
          <w:color w:val="auto"/>
        </w:rPr>
        <w:t>In 2018, we entered into an asset purchase agreement (Provention APA) with Provention Bio, Inc., subsequently acquired by Sanofi S.A. (Sanofi), pursuant to which they acquired our interest in teplizumab, a mAb we had been developing for the treatment of type 1 diabetes. Teplizumab was granted Breakthrough Therapy Designation by the FDA and PRIority MEdicines (PRIME) designation by the European Medicines Agency (EMA).</w:t>
      </w:r>
    </w:p>
    <w:p>
      <w:pPr>
        <w:spacing w:after="0" w:line="190"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In November 2022, the FDA approved TZIELD (teplizumab-mzwv) to delay the onset of Stage 3 type 1 diabetes (T1D) in adult and pediatric patients aged 8 years and older with Stage 2 T1D, which triggered a $60.0 million milestone payment to us.</w:t>
      </w:r>
    </w:p>
    <w:p>
      <w:pPr>
        <w:spacing w:after="0" w:line="172" w:lineRule="exact"/>
        <w:rPr>
          <w:sz w:val="20"/>
          <w:szCs w:val="20"/>
          <w:color w:val="auto"/>
        </w:rPr>
      </w:pPr>
    </w:p>
    <w:p>
      <w:pPr>
        <w:jc w:val="both"/>
        <w:ind w:right="100" w:firstLine="625"/>
        <w:spacing w:after="0" w:line="263" w:lineRule="auto"/>
        <w:rPr>
          <w:sz w:val="20"/>
          <w:szCs w:val="20"/>
          <w:color w:val="auto"/>
        </w:rPr>
      </w:pPr>
      <w:r>
        <w:rPr>
          <w:rFonts w:ascii="Times New Roman" w:cs="Times New Roman" w:eastAsia="Times New Roman" w:hAnsi="Times New Roman"/>
          <w:sz w:val="17"/>
          <w:szCs w:val="17"/>
          <w:color w:val="auto"/>
        </w:rPr>
        <w:t>In March 2023, we sold our royalty interest in TZIELD to a wholly-owned subsidiary of DRI Healthcare Trust for $100.0 million. Such royalty interest was subsequently acquired by Sanofi. In July 2023, Sanofi reported that the PROTECT placebo-controlled study investigating TZIELD in patients with newly-diagnosed stage 3 T1D met its primary endpoint by demonstrating preservation of beta cell function, which triggered a $50.0 million milestone payment to us.</w:t>
      </w:r>
    </w:p>
    <w:p>
      <w:pPr>
        <w:spacing w:after="0" w:line="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We retain the right to receive a 50% share of the royalty on global net sales above a certain annual threshold and are also eligible to receive an additional $50.0 million milestone if TZIELD achieves a specified level of net sales.</w:t>
      </w:r>
    </w:p>
    <w:p>
      <w:pPr>
        <w:spacing w:after="0" w:line="19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In August and September 2025, TZIELD was approved by the Medicines and Healthcare products Regulatory Agency (MHRA) in the United Kingdom and by the National Medical Products Administration (NMPA) in China, respectively, triggering aggregate milestone payments of $50.0 million, which we received during the fourth quarter of 2025.</w:t>
      </w:r>
    </w:p>
    <w:p>
      <w:pPr>
        <w:spacing w:after="0" w:line="190"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In October 2025, Sanofi announced that TZIELD had been accepted for expedited review in the United States for Stage 3 T1D under the FDA Commissioner’s National Priority Voucher (CNVP) pilot program. Sanofi subsequently announced that they anticipate an FDA decision for this indication in the first half of 2026.</w:t>
      </w:r>
    </w:p>
    <w:p>
      <w:pPr>
        <w:spacing w:after="0" w:line="190"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In January 2026, the European Commission approved TEIZEILD (teplizumab), as its known in the European Union, to delay the onset of Stage 3 T1D in adult and pediatric patients aged eight years and older with Stage 2 T1D. Also in January 2026, the FDA accepted for priority review a supplemental biologics license application submitted by Sanofi seeking to expand the approved age indication for TZIELD in the United States to include children aged one year and older with Stage 2 T1D. Sanofi has reported that the FDA’s target action date for the supplemental application is April 29, 2026.</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remain eligible to receive a total of up to $330.0 million in additional regulatory and commercial milestone payments related to TZIELD.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ZYNYZ</w:t>
      </w:r>
    </w:p>
    <w:p>
      <w:pPr>
        <w:spacing w:after="0" w:line="249" w:lineRule="exact"/>
        <w:rPr>
          <w:sz w:val="20"/>
          <w:szCs w:val="20"/>
          <w:color w:val="auto"/>
        </w:rPr>
      </w:pPr>
    </w:p>
    <w:p>
      <w:pPr>
        <w:ind w:right="380" w:firstLine="625"/>
        <w:spacing w:after="0" w:line="294" w:lineRule="auto"/>
        <w:rPr>
          <w:sz w:val="20"/>
          <w:szCs w:val="20"/>
          <w:color w:val="auto"/>
        </w:rPr>
      </w:pPr>
      <w:r>
        <w:rPr>
          <w:rFonts w:ascii="Times New Roman" w:cs="Times New Roman" w:eastAsia="Times New Roman" w:hAnsi="Times New Roman"/>
          <w:sz w:val="17"/>
          <w:szCs w:val="17"/>
          <w:color w:val="auto"/>
        </w:rPr>
        <w:t>In 2017, we licensed retifanlimab, a mAb targeting PD-1, to Incyte Corporation (Incyte) under a global collaboration and license agreement (Incyte License Agreement); we retain the right to develop the molecule in combination with product candidates from our pipeline.</w:t>
      </w:r>
    </w:p>
    <w:p>
      <w:pPr>
        <w:spacing w:after="0" w:line="172"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In March 2023, the FDA approved ZYNYZ (retifanlimab-dlwr) for the treatment of adult patients with metastatic or recurrent locally advanced Merkel cell carcinoma. ZYNYZ is marketed by Incyte. In May 2025, the FDA approved ZYNYZ in combination with carboplatin and paclitaxel (platinum-based chemotherapy) for the first-line treatment of adult patients with inoperable locally recurrent or metastatic squamous cell carcinoma of the anal canal (SCAC). In addition, the FDA granted approval for ZYNYZ as a single agent for the treatment of adult patients with locally recurrent or with metastatic SCAC with disease progression on or intolerance to platinum-based chemotherapy. In December 2025, Japan’s Ministry of Health, Labour and Welfare approved ZYNYZ as first-line therapy for adults with locally recurrent or metastatic SCAC. In addition, Incyte announced in March 2026 that the European Commission approved ZYNYZ in combination with carboplatin and paclitaxel for the first-line treatment of adult patients with metastatic or inoperable locally recurrent SCAC.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 w:name="page9"/>
    <w:bookmarkEnd w:id="8"/>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In June 2025, we received $70.0 million upon entering into a royalty purchase agreement with Sagard Healthcare Partners (Sagard) in exchange for a capped royalty interest on future global net sales of ZYNYZ. We will also continue to support a portion of the global commercial manufacturing needs for ZYNYZ. We remain eligible to receive up to $540.0 million in additional development, regulatory, and commercial milestones related to ZYNYZ.</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MARGENZA</w:t>
      </w:r>
    </w:p>
    <w:p>
      <w:pPr>
        <w:spacing w:after="0" w:line="249"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In October 2024, we announced that we had entered into an agreement in which TerSera Therapeutics LLC (TerSera), a privately-held biopharmaceutical company with a focus in oncology and non-opioid pain management, would acquire global rights to MARGENZA® (margetuximab-cmkb). Pursuant to the terms of the agreement, TerSera paid MacroGenics $40.0 million at the closing in November 2024; in addition, we are eligible to receive sales milestone payments from TerSera of up to an aggregate of $35.0 million. In November 2024, we paid an $8.0 million amendment fee to Eversana Life Sciences Services, LLC (Eversana), our former partner that had previously commercialized MARGENZA.</w:t>
      </w:r>
    </w:p>
    <w:p>
      <w:pPr>
        <w:spacing w:after="0" w:line="197"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MARGENZA was approved by the FDA in December 2020 in combination with chemotherapy for the treatment of adult patients with metastatic HER2-positive breast cancer who have received two or more prior anti-HER2 regimens, at least one of which was for metastatic disease. The approval was based on results from the pivotal SOPHIA Phase 3 head-to-head clinical trial evaluating the safety and efficacy of MARGENZA vs. Herceptin® (trastuzumab), both combined with chemotherapy. Margetuximab is a mAb developed using our Fc Optimization platform and targets the HER2 oncoprotein, a protein found on the surface of some cancer cells that promotes growth and is associated with aggressive disease and poor prognosis.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Program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Vobramitamab Duocarmazine</w:t>
      </w:r>
    </w:p>
    <w:p>
      <w:pPr>
        <w:spacing w:after="0" w:line="249"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Vobra duo was an investigational ADC with a cleavable peptide linker designed to deliver a DNA-alkylating duocarmycin payload to dividing and non-dividing cells on solid tumors that express B7-H3. The underlying ADC technology was licensed from Byondis B.V. (Byondis). We conducted a Phase 2 study, which we referred to as the TAMARACK study, of vobra duo in a total of 177 mCRPC patients and four patients with other cancer types. On July 30, 2024, we reported that after a review of accumulated study data though a July 9, 2024 data cut-off, we agreed with the study’s Independent Safety Monitoring Committee recommendation that study treatment be discontinued, for safety reasons, for the remaining mCRPC study participants who potentially could have received additional doses. In November 2024, we announced that we had paused all company-sponsored vobra duo development, pending assessment of trial results. In March 2025, we announced that the TAMARACK results did not support future company investment in vobra duo, and discontinued MacroGenics-based development of the molecule.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Ancillary Contract Development and Manufacturing Services</w:t>
      </w:r>
    </w:p>
    <w:p>
      <w:pPr>
        <w:spacing w:after="0" w:line="171" w:lineRule="exact"/>
        <w:rPr>
          <w:sz w:val="20"/>
          <w:szCs w:val="20"/>
          <w:color w:val="auto"/>
        </w:rPr>
      </w:pPr>
    </w:p>
    <w:p>
      <w:pPr>
        <w:ind w:right="260" w:firstLine="625"/>
        <w:spacing w:after="0" w:line="294" w:lineRule="auto"/>
        <w:rPr>
          <w:sz w:val="20"/>
          <w:szCs w:val="20"/>
          <w:color w:val="auto"/>
        </w:rPr>
      </w:pPr>
      <w:r>
        <w:rPr>
          <w:rFonts w:ascii="Times New Roman" w:cs="Times New Roman" w:eastAsia="Times New Roman" w:hAnsi="Times New Roman"/>
          <w:sz w:val="17"/>
          <w:szCs w:val="17"/>
          <w:color w:val="auto"/>
        </w:rPr>
        <w:t>We provide outsourced contract development and manufacturing services to certain clients, including collaboration partners, in our commercial-scale manufacturing facility to offset a significant portion of the operating costs of the facility.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w:t>
      </w:r>
    </w:p>
    <w:p>
      <w:pPr>
        <w:spacing w:after="0" w:line="25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In January 2022, we entered into an agreement with Incyte to provide manufacturing services to produce certain Incyte bulk drug substance over a three-year period. Under the terms of this agreement, we received an upfront payment of $10.0 million and are eligible to receive annual fixed payments paid quarterly over the term of the contract totaling $14.4 million. We will also be reimbursed for materials used to manufacture product as well as other costs incurred to provide manufacturing services. In July 2022, we and Incyte executed an amendment to the agreement which extended the term for one year and provided for an additional annual fixed payment of $5.1 million.</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December 2024, we and Incyte entered into a letter agreement whereby Incyte reserved additional manufacturing services with a fixed cost of $9.1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w:t>
      </w:r>
    </w:p>
    <w:p>
      <w:pPr>
        <w:spacing w:after="0" w:line="229" w:lineRule="exact"/>
        <w:rPr>
          <w:sz w:val="20"/>
          <w:szCs w:val="20"/>
          <w:color w:val="auto"/>
        </w:rPr>
      </w:pPr>
    </w:p>
    <w:p>
      <w:pPr>
        <w:ind w:right="400" w:firstLine="625"/>
        <w:spacing w:after="0" w:line="274" w:lineRule="auto"/>
        <w:rPr>
          <w:sz w:val="20"/>
          <w:szCs w:val="20"/>
          <w:color w:val="auto"/>
        </w:rPr>
      </w:pPr>
      <w:r>
        <w:rPr>
          <w:rFonts w:ascii="Times New Roman" w:cs="Times New Roman" w:eastAsia="Times New Roman" w:hAnsi="Times New Roman"/>
          <w:sz w:val="17"/>
          <w:szCs w:val="17"/>
          <w:color w:val="252525"/>
        </w:rPr>
        <w:t xml:space="preserve">In September 2025, we and Incyte entered into a new Manufacturing and Clinical Supply Agreement to provide manufacturing services to produce certain Incyte bulk drug substance over a three-year period beginning in January 2026. Based on the current manufacturing schedule contemplated in the agreement, Incyte will pay us a total fixed cost of </w:t>
      </w:r>
      <w:r>
        <w:rPr>
          <w:rFonts w:ascii="Times New Roman" w:cs="Times New Roman" w:eastAsia="Times New Roman" w:hAnsi="Times New Roman"/>
          <w:sz w:val="17"/>
          <w:szCs w:val="17"/>
          <w:color w:val="000000"/>
        </w:rPr>
        <w:t>$16.8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9" w:name="page10"/>
    <w:bookmarkEnd w:id="9"/>
    <w:p>
      <w:pPr>
        <w:ind w:right="720"/>
        <w:spacing w:after="0" w:line="294" w:lineRule="auto"/>
        <w:rPr>
          <w:sz w:val="20"/>
          <w:szCs w:val="20"/>
          <w:color w:val="auto"/>
        </w:rPr>
      </w:pPr>
      <w:r>
        <w:rPr>
          <w:rFonts w:ascii="Times New Roman" w:cs="Times New Roman" w:eastAsia="Times New Roman" w:hAnsi="Times New Roman"/>
          <w:sz w:val="17"/>
          <w:szCs w:val="17"/>
          <w:color w:val="auto"/>
        </w:rPr>
        <w:t xml:space="preserve">million </w:t>
      </w:r>
      <w:r>
        <w:rPr>
          <w:rFonts w:ascii="Times New Roman" w:cs="Times New Roman" w:eastAsia="Times New Roman" w:hAnsi="Times New Roman"/>
          <w:sz w:val="17"/>
          <w:szCs w:val="17"/>
          <w:color w:val="252525"/>
        </w:rPr>
        <w:t>over the term of the agreement. We will also be reimbursed for materials used to manufacture product as well as other costs incurred to provide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manufacturing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Emergent BioSolutions</w:t>
      </w:r>
    </w:p>
    <w:p>
      <w:pPr>
        <w:spacing w:after="0" w:line="251" w:lineRule="exact"/>
        <w:rPr>
          <w:sz w:val="20"/>
          <w:szCs w:val="20"/>
          <w:color w:val="auto"/>
        </w:rPr>
      </w:pPr>
    </w:p>
    <w:p>
      <w:pPr>
        <w:jc w:val="both"/>
        <w:ind w:right="140" w:firstLine="625"/>
        <w:spacing w:after="0" w:line="274" w:lineRule="auto"/>
        <w:rPr>
          <w:sz w:val="20"/>
          <w:szCs w:val="20"/>
          <w:color w:val="auto"/>
        </w:rPr>
      </w:pPr>
      <w:r>
        <w:rPr>
          <w:rFonts w:ascii="Times New Roman" w:cs="Times New Roman" w:eastAsia="Times New Roman" w:hAnsi="Times New Roman"/>
          <w:sz w:val="17"/>
          <w:szCs w:val="17"/>
          <w:color w:val="auto"/>
        </w:rPr>
        <w:t>In 2023, we entered into an agreement with Emergent BioSolutions (Emergent) to provide development and manufacturing services to produce certain Emergent bulk drug substances. Under the terms of the agreement, we receive payments in accordance with the manufacturing schedule and are reimbursed for materials used to manufacture product, as well as other costs incurred to provide development and manufacturing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TerSera</w:t>
      </w:r>
    </w:p>
    <w:p>
      <w:pPr>
        <w:spacing w:after="0" w:line="251"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In November 2024, we sold global rights to MARGENZA to TerSera. In connection with the sale, we entered into an agreement with TerSera to provide manufacturing services to produce MARGENZA. Under the terms of the agreement, we receive payments in accordance with the manufacturing schedule and are reimbursed for materials used to manufacture product, as well as other costs incurred to provide manufacturing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Therapeutic Area Focus: Cancer</w:t>
      </w:r>
    </w:p>
    <w:p>
      <w:pPr>
        <w:spacing w:after="0" w:line="249" w:lineRule="exact"/>
        <w:rPr>
          <w:sz w:val="20"/>
          <w:szCs w:val="20"/>
          <w:color w:val="auto"/>
        </w:rPr>
      </w:pPr>
    </w:p>
    <w:p>
      <w:pPr>
        <w:jc w:val="both"/>
        <w:ind w:right="120" w:firstLine="625"/>
        <w:spacing w:after="0" w:line="261" w:lineRule="auto"/>
        <w:rPr>
          <w:sz w:val="20"/>
          <w:szCs w:val="20"/>
          <w:color w:val="auto"/>
        </w:rPr>
      </w:pPr>
      <w:r>
        <w:rPr>
          <w:rFonts w:ascii="Times New Roman" w:cs="Times New Roman" w:eastAsia="Times New Roman" w:hAnsi="Times New Roman"/>
          <w:sz w:val="17"/>
          <w:szCs w:val="17"/>
          <w:color w:val="auto"/>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and/or other genetic or epigenetic modifications, causing unregulated cell division or proliferation that leads to tumor formation and growth. While tumors can grow slowly or rapidly, the dividing cells will nevertheless accumulate, and the normal organization of the tissue will become disrupted.</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spacing w:after="0" w:line="203"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We believe that our platforms position us very well strategically to actively develop approaches for the treatment of both solid tumors and hematologic malignancies.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Platforms and Technology Expertise</w:t>
      </w:r>
    </w:p>
    <w:p>
      <w:pPr>
        <w:spacing w:after="0" w:line="249"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We apply our understanding of disease biology, immune-mediated mechanisms and next-generation antibody technologies to design specifically targeted antibody-based product candidates focused on our DART, TRIDENT, T-cell engager, and licensed ADC platforms. Through these platforms, we have designed antibody-based product candidates that have the potential to improve on standard treatments by having one or more of the following attributes: (1) recognition of multiple antigens; (2) increased abilities to leverage the body's immune system to fight tumors; (3) capacity to bind more avidly or more selectively to specific antigen targets; (4) increased therapeutic windows; (5) reduced immunogenicity or (6) the ability to target and kill cancer cells that are resistant to standard treatments. Moreover, these technology platforms are complementary in certain cases and can be combined to address the complex biology of cancer.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DART and TRIDENT Platforms: Our Proprietary Approach to Engineer Multi-Specific Antibodies</w:t>
      </w:r>
    </w:p>
    <w:p>
      <w:pPr>
        <w:spacing w:after="0" w:line="251" w:lineRule="exact"/>
        <w:rPr>
          <w:sz w:val="20"/>
          <w:szCs w:val="20"/>
          <w:color w:val="auto"/>
        </w:rPr>
      </w:pPr>
    </w:p>
    <w:p>
      <w:pPr>
        <w:ind w:right="80" w:firstLine="625"/>
        <w:spacing w:after="0" w:line="294" w:lineRule="auto"/>
        <w:rPr>
          <w:sz w:val="20"/>
          <w:szCs w:val="20"/>
          <w:color w:val="auto"/>
        </w:rPr>
      </w:pPr>
      <w:r>
        <w:rPr>
          <w:rFonts w:ascii="Times New Roman" w:cs="Times New Roman" w:eastAsia="Times New Roman" w:hAnsi="Times New Roman"/>
          <w:sz w:val="17"/>
          <w:szCs w:val="17"/>
          <w:color w:val="auto"/>
        </w:rPr>
        <w:t>We use our DART platform to create derivatives of antibodies with the ability to bind to two distinct targets instead of a single target as with traditional mAbs. DART product candidates are therefore bispecific.</w:t>
      </w:r>
    </w:p>
    <w:p>
      <w:pPr>
        <w:spacing w:after="0" w:line="172"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Because cancer cells have developed ways to escape the immune system, we have created DART molecules, which are alternative antibody-like structures with unique properties compared to the parent antibody molecules from which they are derived. The two variable regions of an antibody are mono-specific and target only a single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sometimes associated with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0" w:name="page11"/>
    <w:bookmarkEnd w:id="10"/>
    <w:p>
      <w:pPr>
        <w:ind w:right="280"/>
        <w:spacing w:after="0" w:line="294" w:lineRule="auto"/>
        <w:rPr>
          <w:sz w:val="20"/>
          <w:szCs w:val="20"/>
          <w:color w:val="auto"/>
        </w:rPr>
      </w:pPr>
      <w:r>
        <w:rPr>
          <w:rFonts w:ascii="Times New Roman" w:cs="Times New Roman" w:eastAsia="Times New Roman" w:hAnsi="Times New Roman"/>
          <w:sz w:val="17"/>
          <w:szCs w:val="17"/>
          <w:color w:val="auto"/>
        </w:rPr>
        <w:t>to tailor the half-lives of the DART molecules to their clinical needs. This engineered antibody-like protein has a compact and stable structure and enables the targeting of two different antigens with a single recombinant molecule.</w:t>
      </w:r>
    </w:p>
    <w:p>
      <w:pPr>
        <w:spacing w:after="0" w:line="172" w:lineRule="exact"/>
        <w:rPr>
          <w:sz w:val="20"/>
          <w:szCs w:val="20"/>
          <w:color w:val="auto"/>
        </w:rPr>
      </w:pPr>
    </w:p>
    <w:p>
      <w:pPr>
        <w:jc w:val="both"/>
        <w:ind w:right="160" w:firstLine="625"/>
        <w:spacing w:after="0" w:line="274" w:lineRule="auto"/>
        <w:rPr>
          <w:sz w:val="20"/>
          <w:szCs w:val="20"/>
          <w:color w:val="auto"/>
        </w:rPr>
      </w:pPr>
      <w:r>
        <w:rPr>
          <w:rFonts w:ascii="Times New Roman" w:cs="Times New Roman" w:eastAsia="Times New Roman" w:hAnsi="Times New Roman"/>
          <w:sz w:val="17"/>
          <w:szCs w:val="17"/>
          <w:color w:val="auto"/>
        </w:rPr>
        <w:t>The DART platform has been specifically engineered to accommodate virtually any variable region sequence with predictable expression and antigen recognition. We believe our multi-specific platforms may provide a significant advantage over current biological interventions in cancer, autoimmune disorders and infectious diseases by enabling a range of different modalities.</w:t>
      </w:r>
    </w:p>
    <w:p>
      <w:pPr>
        <w:spacing w:after="0" w:line="190" w:lineRule="exact"/>
        <w:rPr>
          <w:sz w:val="20"/>
          <w:szCs w:val="20"/>
          <w:color w:val="auto"/>
        </w:rPr>
      </w:pPr>
    </w:p>
    <w:p>
      <w:pPr>
        <w:ind w:right="380" w:firstLine="625"/>
        <w:spacing w:after="0" w:line="274" w:lineRule="auto"/>
        <w:rPr>
          <w:sz w:val="20"/>
          <w:szCs w:val="20"/>
          <w:color w:val="auto"/>
        </w:rPr>
      </w:pPr>
      <w:r>
        <w:rPr>
          <w:rFonts w:ascii="Times New Roman" w:cs="Times New Roman" w:eastAsia="Times New Roman" w:hAnsi="Times New Roman"/>
          <w:sz w:val="17"/>
          <w:szCs w:val="17"/>
          <w:color w:val="auto"/>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spacing w:after="0" w:line="190" w:lineRule="exact"/>
        <w:rPr>
          <w:sz w:val="20"/>
          <w:szCs w:val="20"/>
          <w:color w:val="auto"/>
        </w:rPr>
      </w:pPr>
    </w:p>
    <w:p>
      <w:pPr>
        <w:ind w:right="60" w:firstLine="625"/>
        <w:spacing w:after="0" w:line="294" w:lineRule="auto"/>
        <w:rPr>
          <w:sz w:val="20"/>
          <w:szCs w:val="20"/>
          <w:color w:val="auto"/>
        </w:rPr>
      </w:pPr>
      <w:r>
        <w:rPr>
          <w:rFonts w:ascii="Times New Roman" w:cs="Times New Roman" w:eastAsia="Times New Roman" w:hAnsi="Times New Roman"/>
          <w:sz w:val="17"/>
          <w:szCs w:val="17"/>
          <w:color w:val="auto"/>
        </w:rPr>
        <w:t>We are currently developing product candidates using our DART technology, including lorigerlimab and MGD024, in clinical trials, as well as others in preclinical development.</w:t>
      </w:r>
    </w:p>
    <w:p>
      <w:pPr>
        <w:spacing w:after="0" w:line="172"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We have also advanced beyond our DART platform to establish a TRIDENT platform, which reflects the continuing evolution of our multi-specific antibody-based targeting expertise. Built on the DART module, the trivalent TRIDENT platform incorporates in an Ig-like format an additional domain capable of engaging an independent antigen. With the inclusion of a third targeting arm, TRIDENT molecules enable a broader range of mechanisms of action than simpler bispecific targeting, allowing, for instance, the engagement of up to three antigens on a single or on different cells or enabling enhanced target selectivity by modulating the avidity of one of two antigens. Product candidates using this technology are currently in preclinical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Licensed ADC Platforms</w:t>
      </w:r>
    </w:p>
    <w:p>
      <w:pPr>
        <w:spacing w:after="0" w:line="251"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We have licensed ADC platforms from collaboration partners to leverage their past investment in proprietary linker-toxin technology and know-how. While we don’t necessarily believe there is a single best linker-toxin technology capable of addressing all targets and indications, we have selected what we believe are best-in-class technologies for construction of each of our ADC product candidates. For example, we are currently utilizing linker payload technologies developed by Synaffix for multiple molecules, including MGC026, MGC028 and MGC030.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Collaborations</w:t>
      </w:r>
    </w:p>
    <w:p>
      <w:pPr>
        <w:spacing w:after="0" w:line="24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Throughout our company's history, we have entered into collaborations with other biopharmaceutical companies and plan to continue to do so. We enter into collaborations when there is a strategic advantage to us and when we believe the financial terms of the collaboration are favorable for helping us meet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spacing w:after="0" w:line="199"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9" w:lineRule="exact"/>
        <w:rPr>
          <w:sz w:val="20"/>
          <w:szCs w:val="20"/>
          <w:color w:val="auto"/>
        </w:rPr>
      </w:pPr>
    </w:p>
    <w:p>
      <w:pPr>
        <w:ind w:right="240" w:firstLine="625"/>
        <w:spacing w:after="0" w:line="265" w:lineRule="auto"/>
        <w:rPr>
          <w:sz w:val="20"/>
          <w:szCs w:val="20"/>
          <w:color w:val="auto"/>
        </w:rPr>
      </w:pPr>
      <w:r>
        <w:rPr>
          <w:rFonts w:ascii="Times New Roman" w:cs="Times New Roman" w:eastAsia="Times New Roman" w:hAnsi="Times New Roman"/>
          <w:sz w:val="17"/>
          <w:szCs w:val="17"/>
          <w:color w:val="auto"/>
        </w:rPr>
        <w:t>We strive to protect the proprietary technologies that we believe are important to our business, including seeking and maintaining patents intended to protect, for example, the composition of matter of our product candidates, their methods of use, their formulation, the technology platforms used to generate them, related technologies and/or other aspects of the inventions that are important to our business. We also rely on trade secrets, confidentiality and invention assignment agreements and careful monitoring of our proprietary information to protect aspects of our business that are not amenable to, or that we do not consider appropriate for, patent protection.</w:t>
      </w:r>
    </w:p>
    <w:p>
      <w:pPr>
        <w:spacing w:after="0" w:line="197" w:lineRule="exact"/>
        <w:rPr>
          <w:sz w:val="20"/>
          <w:szCs w:val="20"/>
          <w:color w:val="auto"/>
        </w:rPr>
      </w:pPr>
    </w:p>
    <w:p>
      <w:pPr>
        <w:ind w:right="740" w:firstLine="625"/>
        <w:spacing w:after="0" w:line="294" w:lineRule="auto"/>
        <w:rPr>
          <w:sz w:val="20"/>
          <w:szCs w:val="20"/>
          <w:color w:val="auto"/>
        </w:rPr>
      </w:pPr>
      <w:r>
        <w:rPr>
          <w:rFonts w:ascii="Times New Roman" w:cs="Times New Roman" w:eastAsia="Times New Roman" w:hAnsi="Times New Roman"/>
          <w:sz w:val="17"/>
          <w:szCs w:val="17"/>
          <w:color w:val="auto"/>
        </w:rPr>
        <w:t>Our success will depend significantly on our ability to obtain and maintain patent and other proprietary protection for commercially important technology, inventions and know-how related to our business. In addition, there is cost and risk to our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1" w:name="page12"/>
    <w:bookmarkEnd w:id="11"/>
    <w:p>
      <w:pPr>
        <w:spacing w:after="0" w:line="265" w:lineRule="auto"/>
        <w:rPr>
          <w:sz w:val="20"/>
          <w:szCs w:val="20"/>
          <w:color w:val="auto"/>
        </w:rPr>
      </w:pPr>
      <w:r>
        <w:rPr>
          <w:rFonts w:ascii="Times New Roman" w:cs="Times New Roman" w:eastAsia="Times New Roman" w:hAnsi="Times New Roman"/>
          <w:sz w:val="17"/>
          <w:szCs w:val="17"/>
          <w:color w:val="auto"/>
        </w:rPr>
        <w:t>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spacing w:after="0" w:line="197" w:lineRule="exact"/>
        <w:rPr>
          <w:sz w:val="20"/>
          <w:szCs w:val="20"/>
          <w:color w:val="auto"/>
        </w:rPr>
      </w:pPr>
    </w:p>
    <w:p>
      <w:pPr>
        <w:ind w:right="180" w:firstLine="625"/>
        <w:spacing w:after="0" w:line="264" w:lineRule="auto"/>
        <w:rPr>
          <w:sz w:val="20"/>
          <w:szCs w:val="20"/>
          <w:color w:val="auto"/>
        </w:rPr>
      </w:pPr>
      <w:r>
        <w:rPr>
          <w:rFonts w:ascii="Times New Roman" w:cs="Times New Roman" w:eastAsia="Times New Roman" w:hAnsi="Times New Roman"/>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be issued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200" w:lineRule="exact"/>
        <w:rPr>
          <w:sz w:val="20"/>
          <w:szCs w:val="20"/>
          <w:color w:val="auto"/>
        </w:rPr>
      </w:pPr>
    </w:p>
    <w:p>
      <w:pPr>
        <w:spacing w:after="0" w:line="210"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 business we participate in post-grant challenge proceedings, such as oppositions, that challenge the patentability of third party patents. Such proceedings could result in substantial cost, even if the eventual outcome is favorable to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Pipeline Patent Protection</w:t>
      </w:r>
    </w:p>
    <w:p>
      <w:pPr>
        <w:spacing w:after="0" w:line="173" w:lineRule="exact"/>
        <w:rPr>
          <w:sz w:val="20"/>
          <w:szCs w:val="20"/>
          <w:color w:val="auto"/>
        </w:rPr>
      </w:pPr>
    </w:p>
    <w:p>
      <w:pPr>
        <w:ind w:firstLine="625"/>
        <w:spacing w:after="0" w:line="267" w:lineRule="auto"/>
        <w:rPr>
          <w:sz w:val="20"/>
          <w:szCs w:val="20"/>
          <w:color w:val="auto"/>
        </w:rPr>
      </w:pPr>
      <w:r>
        <w:rPr>
          <w:rFonts w:ascii="Times New Roman" w:cs="Times New Roman" w:eastAsia="Times New Roman" w:hAnsi="Times New Roman"/>
          <w:sz w:val="17"/>
          <w:szCs w:val="17"/>
          <w:color w:val="auto"/>
        </w:rPr>
        <w:t>As of December 31, 2025, we held 58 patents in the United States with 24 patent applications pending and 681 patents in other countries of the world with 283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 other patents and patent application related to various aspects of the technology underlying these product candidates or their methods of use.</w:t>
      </w:r>
    </w:p>
    <w:p>
      <w:pPr>
        <w:spacing w:after="0" w:line="328"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7"/>
                <w:szCs w:val="17"/>
                <w:b w:val="1"/>
                <w:bCs w:val="1"/>
                <w:color w:val="auto"/>
              </w:rPr>
              <w:t>Product or Product Candidate</w:t>
            </w:r>
          </w:p>
        </w:tc>
        <w:tc>
          <w:tcPr>
            <w:tcW w:w="6240" w:type="dxa"/>
            <w:vAlign w:val="bottom"/>
            <w:shd w:val="clear" w:color="auto" w:fill="D9D9D9"/>
          </w:tcPr>
          <w:p>
            <w:pPr>
              <w:ind w:left="2720"/>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retifanlimab</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2036</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lorigerlimab</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2036</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MGD024</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2039</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MGC026</w:t>
            </w:r>
          </w:p>
        </w:tc>
        <w:tc>
          <w:tcPr>
            <w:tcW w:w="62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2044*</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MGC028</w:t>
            </w:r>
          </w:p>
        </w:tc>
        <w:tc>
          <w:tcPr>
            <w:tcW w:w="62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2045*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pending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Extension and Reference Product Exclusivity</w:t>
      </w:r>
    </w:p>
    <w:p>
      <w:pPr>
        <w:spacing w:after="0" w:line="173"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If and when our pharmaceutical product candidates receive FDA approval, we expect to apply, or have applied, for patent term extensions on patents covering those products. We intend to seek, and are seeking, patent term extensions to our issued patents in any jurisdiction where these are available. For example, we have submitted a request to obtain patent term extension of U.S. Patent No. 10,577,422, the primary composition of matter of retifanlimab. However, there is no guarantee that the applicable authorities, including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FDA in the United States, will agree with our assessment of whether such extensions should be granted, and even if granted, the length of such extensions.</w:t>
      </w:r>
    </w:p>
    <w:p>
      <w:pPr>
        <w:spacing w:after="0" w:line="247"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w:t>
      </w:r>
    </w:p>
    <w:p>
      <w:pPr>
        <w:spacing w:after="0" w:line="1" w:lineRule="exact"/>
        <w:rPr>
          <w:sz w:val="20"/>
          <w:szCs w:val="20"/>
          <w:color w:val="auto"/>
        </w:rPr>
      </w:pPr>
    </w:p>
    <w:p>
      <w:pPr>
        <w:ind w:right="40" w:firstLine="4"/>
        <w:spacing w:after="0" w:line="258" w:lineRule="auto"/>
        <w:tabs>
          <w:tab w:leader="none" w:pos="24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biologics license application (BLA) for such product containing the sponsor's own preclinical data and data from adequate and well-controlled clinical trials to demonstrate the safety, purity and potency of their product. There have been persistent proposals to repeal or modify the ACA and it is uncertain how any of those proposals, if in the future approved, would affect these provisions.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Secrets</w:t>
      </w:r>
    </w:p>
    <w:p>
      <w:pPr>
        <w:spacing w:after="0" w:line="251"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enter into agreements with confidentiality terms prior to sharing any of our proprietary and confidential information with them.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made, conceived, created or reduced to practice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In-Licensed Intellectual Property</w:t>
      </w:r>
    </w:p>
    <w:p>
      <w:pPr>
        <w:spacing w:after="0" w:line="25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We have entered into patent and know-how license agreements that grant us the rights to use certain technologies related to biological manufacturing for our commercial and clinical product candidates such as, but not limited to, technology related to the conjugation of cytotoxic payloads to our antibody molecules.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49"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We currently manufacture drug substance for most of our clinical trials at our manufacturing facility located in Rockville, Maryland. We also rely on our licensees and contract manufacturers, including, Synaffix, Sterling and Millipore Sigma, for producing components of our ADC candidates. We have an FDA-approved commercial manufacturing site at 9704 Medical Center Drive in Rockville, Maryland for the manufacture of MARGENZA and ZYNYZ drug substance. We commercially produce MARGENZA and ZYNYZ for TerSera and Incyte, respectively, and intend to commercially produce any of our product candidates when, and if approved, by the FDA. In addition, we currently rely on and will continue to rely on contract fill-finish service providers, primarily PCI Pharma Services (formerly known as Ajinomoto Bio-Pharma Services), Symbiosis, and Simtra BioPharma Solutions, to fulfill our fill-finish needs for our current and future product candidates.</w:t>
      </w:r>
    </w:p>
    <w:p>
      <w:pPr>
        <w:spacing w:after="0" w:line="199" w:lineRule="exact"/>
        <w:rPr>
          <w:sz w:val="20"/>
          <w:szCs w:val="20"/>
          <w:color w:val="auto"/>
        </w:rPr>
      </w:pPr>
    </w:p>
    <w:p>
      <w:pPr>
        <w:ind w:right="540" w:firstLine="625"/>
        <w:spacing w:after="0" w:line="294" w:lineRule="auto"/>
        <w:rPr>
          <w:sz w:val="20"/>
          <w:szCs w:val="20"/>
          <w:color w:val="auto"/>
        </w:rPr>
      </w:pPr>
      <w:r>
        <w:rPr>
          <w:rFonts w:ascii="Times New Roman" w:cs="Times New Roman" w:eastAsia="Times New Roman" w:hAnsi="Times New Roman"/>
          <w:sz w:val="17"/>
          <w:szCs w:val="17"/>
          <w:color w:val="auto"/>
        </w:rPr>
        <w:t>Most of the principal materials we use in our manufacturing operations are available from more than one source. However, we obtain certain raw materials principally from only one source. In the event one of these suppliers was unable to</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3" w:name="page14"/>
    <w:bookmarkEnd w:id="13"/>
    <w:p>
      <w:pPr>
        <w:ind w:right="300"/>
        <w:spacing w:after="0" w:line="274" w:lineRule="auto"/>
        <w:rPr>
          <w:sz w:val="20"/>
          <w:szCs w:val="20"/>
          <w:color w:val="auto"/>
        </w:rPr>
      </w:pPr>
      <w:r>
        <w:rPr>
          <w:rFonts w:ascii="Times New Roman" w:cs="Times New Roman" w:eastAsia="Times New Roman" w:hAnsi="Times New Roman"/>
          <w:sz w:val="17"/>
          <w:szCs w:val="17"/>
          <w:color w:val="auto"/>
        </w:rPr>
        <w:t>provide the materials or product, we generally seek to maintain sufficient inventory to supply the market until an alternative source of supply can be implemented. However, in the event of an extended failure of a supplier or general national supply chain disruption, it is possible that we could experience an interruption in supply until we established new sources or, in some cases, implemented alternative processes.</w:t>
      </w:r>
    </w:p>
    <w:p>
      <w:pPr>
        <w:spacing w:after="0" w:line="190"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our own facility, extended failure of a contract supplier or contract manufacturing organization, or extraordinary unplanned increases in demand, we could experience an interruption in supply of certain products or product shortages until production could be resumed or expanded.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Commercialization</w:t>
      </w:r>
    </w:p>
    <w:p>
      <w:pPr>
        <w:spacing w:after="0" w:line="249"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Of the three products that originated from our pipeline and for which U.S. approval for commercialization has been received, MARGENZA was the only product for which we retained the majority of commercial rights, until we sold global rights to MARGENZA to TerSera in November 2024. In November 2020, we partnered with Eversana, a pioneer of next-generation commercial services to the global life sciences industry, to commercialize margetuximab in the U.S. by leveraging their integrated commercial services. Under the terms of the Eversana agreement, we maintained ownership of margetuximab, including all manufacturing, regulatory and development responsibilities for the product. Eversana received a co-exclusive right to conduct approved commercialization activities. Eversana utilized its internal capabilities to support marketing, channel management services, medical affairs and other commercial and patient access related services; we booked MARGENZA sales. We and Eversana equally shared in funding Eversana’s commercialization expenses. In exchange for co-funding these expenses, Eversana was eligible to earn future revenue share payments which were capped at 125% of Eversana’s cumulative service fees. The term of the agreement was five years following the date of FDA approval, subject to predefined termination provisions. Pursuant to the sale of MARGENZA to TerSera, we paid Eversana an amendment fee.</w:t>
      </w:r>
    </w:p>
    <w:p>
      <w:pPr>
        <w:spacing w:after="0" w:line="20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For our product candidates, 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If we are unable to enter into third-party commercial arrangements for our product candidates that may be approved in the future, with respect to the United States we believe that we could potentially build the capabilities to commercialize our approved product or products. Outside the United States, our strategy is to enter into arrangements with third-party commercial partners for any of our product candidates that obtain marketing approval.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71"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There are a large number of companies developing or marketing treatments for cancer, including many major pharmaceutical and biotechnology companies. We also face intensifying competition worldwide, including in China where research and development capabilities have expanded and accelerated significantly. These treatments consist both of small molecule drug products, as well as biologic therapeutics that work by using next-generation antibody technology platforms to address specific cancer targets.</w:t>
      </w:r>
    </w:p>
    <w:p>
      <w:pPr>
        <w:spacing w:after="0" w:line="117" w:lineRule="exact"/>
        <w:rPr>
          <w:sz w:val="20"/>
          <w:szCs w:val="20"/>
          <w:color w:val="auto"/>
        </w:rPr>
      </w:pPr>
    </w:p>
    <w:p>
      <w:pPr>
        <w:ind w:right="200" w:firstLine="625"/>
        <w:spacing w:after="0" w:line="263" w:lineRule="auto"/>
        <w:rPr>
          <w:sz w:val="20"/>
          <w:szCs w:val="20"/>
          <w:color w:val="auto"/>
        </w:rPr>
      </w:pPr>
      <w:r>
        <w:rPr>
          <w:rFonts w:ascii="Times New Roman" w:cs="Times New Roman" w:eastAsia="Times New Roman" w:hAnsi="Times New Roman"/>
          <w:sz w:val="17"/>
          <w:szCs w:val="17"/>
          <w:color w:val="auto"/>
        </w:rPr>
        <w:t>In particular, we are developing a PD-1 and CTLA-4 directed DART molecule, which if successful, will likely face significant competition both by therapeutics that are already being marketed as well as those that will be approved for marketing before our program. The bispecific immuno-oncology field targeting PD-1 and CTLA-4 has several competitors, with treatments currently approved in China or in development for various tumor types and patient populations. Akeso, Inc., AstraZeneca plc (AstraZeneca), and Jiangsu Alphamab Biopharmaceuticals Co., Ltd. have anti-PD-1 or anti-PD-L1 and CTLA-4 bispecific antibodies in clinical development, all of which would compete with our PD-1 and CTLA-4 DART program and have significantly greater resources than we do.</w:t>
      </w:r>
    </w:p>
    <w:p>
      <w:pPr>
        <w:spacing w:after="0" w:line="199"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In addition, several of our product candidates in clinical development are ADCs and many companies have ADC therapeutics in development. Such companies include, but are not limited to Abbvie Inc., AstraZeneca, BeOne Medicines, BioNTech SE, Duality Biotherapeutics, Genmab A/S, GSK plc, Hansoh Pharmaceutical, Innovent Biologics Co., Ltd., MediLink Therapeutics, Merck &amp; Co., Inc., and Pfizer Inc. These companies have significantly greater resources than we do.</w:t>
      </w:r>
    </w:p>
    <w:p>
      <w:pPr>
        <w:spacing w:after="0" w:line="195"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Further, several companies are also developing t-cell engager therapeutics that work by targeting multiple specificities using a single recombinant molecule. Amgen Inc. has obtained marketing approval for one such t-cell engager product in a solid tumor indication that works by targeting antigens both on immune effector cell populations and those expressed on certain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 w:name="page15"/>
    <w:bookmarkEnd w:id="14"/>
    <w:p>
      <w:pPr>
        <w:spacing w:after="0" w:line="268" w:lineRule="auto"/>
        <w:rPr>
          <w:sz w:val="20"/>
          <w:szCs w:val="20"/>
          <w:color w:val="auto"/>
        </w:rPr>
      </w:pPr>
      <w:r>
        <w:rPr>
          <w:rFonts w:ascii="Times New Roman" w:cs="Times New Roman" w:eastAsia="Times New Roman" w:hAnsi="Times New Roman"/>
          <w:sz w:val="17"/>
          <w:szCs w:val="17"/>
          <w:color w:val="auto"/>
        </w:rPr>
        <w:t>cancer cells, and has other product candidates in development that use this mechanism. In addition, other companies are developing new t-cell engager treatments for cancer that utilize multi-specific approaches, including Abbvie, Amgen, AstraZeneca, F. Hoffmann-La Roche Ltd and Hoffmann-La Roche Inc., particularly through its affiliate, Genentech, Inc., Genmab A/S, Janux Therapeutics, Johnson &amp; Johnson Services, Inc., Regeneron Pharmaceuticals, Inc., Xencor and Zymeworks, Inc.</w:t>
      </w:r>
    </w:p>
    <w:p>
      <w:pPr>
        <w:spacing w:after="0" w:line="195"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Finally, our competition in the contract development and manufacturing organization (CDMO) service market includes a number of full-service contract manufacturers and large pharmaceutical companies offering third-party development and manufacturing services to fill their excess capacity. Large pharmaceutical companies have been seeking to divest portions of their manufacturing capacity, and any such divested businesses may compete with us in the future. In addition, most of our competitors have substantially greater financial, marketing, technical or other resources than we do.</w:t>
      </w:r>
    </w:p>
    <w:p>
      <w:pPr>
        <w:spacing w:after="0" w:line="195"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The key competitive factors affecting the success of all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 affected by other factors, and such changes can positively or negatively affect the prospects of our product candidates as well as those of our competitors.</w:t>
      </w:r>
    </w:p>
    <w:p>
      <w:pPr>
        <w:spacing w:after="0" w:line="197"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Our commercial opportunity for our product candidates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Biosimilar products are expected to become available over the coming years. For example, trastuzumab biosimilars have been approved in the U.S. by the FDA.</w:t>
      </w:r>
    </w:p>
    <w:p>
      <w:pPr>
        <w:spacing w:after="0" w:line="19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third-party payors. In many cases, these drugs are administered in combination to enhance efficacy. The treatment landscape for cancer is complex due to the sequential order in which oncology drugs are administered. Initially, first-line treatments are prescribed, followed by second-line treatments when the first no longer yields results, and so on with third-line treatments and beyond. While our product candidates may compete with many existing drug and other therapies, to the extent an approved drug is ultimately used in combination with or as an adjunct to these therapies, our product candidates will not be competitive with the approved drug.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and Product Approval</w:t>
      </w:r>
    </w:p>
    <w:p>
      <w:pPr>
        <w:spacing w:after="0" w:line="171" w:lineRule="exact"/>
        <w:rPr>
          <w:sz w:val="20"/>
          <w:szCs w:val="20"/>
          <w:color w:val="auto"/>
        </w:rPr>
      </w:pPr>
    </w:p>
    <w:p>
      <w:pPr>
        <w:ind w:right="100" w:firstLine="625"/>
        <w:spacing w:after="0" w:line="267"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Regulation</w:t>
      </w:r>
    </w:p>
    <w:p>
      <w:pPr>
        <w:spacing w:after="0" w:line="173" w:lineRule="exact"/>
        <w:rPr>
          <w:sz w:val="20"/>
          <w:szCs w:val="20"/>
          <w:color w:val="auto"/>
        </w:rPr>
      </w:pPr>
    </w:p>
    <w:p>
      <w:pPr>
        <w:ind w:right="540" w:firstLine="625"/>
        <w:spacing w:after="0" w:line="294" w:lineRule="auto"/>
        <w:rPr>
          <w:sz w:val="20"/>
          <w:szCs w:val="20"/>
          <w:color w:val="auto"/>
        </w:rPr>
      </w:pPr>
      <w:r>
        <w:rPr>
          <w:rFonts w:ascii="Times New Roman" w:cs="Times New Roman" w:eastAsia="Times New Roman" w:hAnsi="Times New Roman"/>
          <w:sz w:val="17"/>
          <w:szCs w:val="17"/>
          <w:color w:val="auto"/>
        </w:rPr>
        <w:t>All our current product candidates are subject to regulation in the United States by the FDA as biological products (biologics). The FDA subjects biologics to extensive pre- and post-market regulation. The Public Health Service Act,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5" w:name="page16"/>
    <w:bookmarkEnd w:id="15"/>
    <w:p>
      <w:pPr>
        <w:ind w:right="160"/>
        <w:spacing w:after="0" w:line="265" w:lineRule="auto"/>
        <w:rPr>
          <w:sz w:val="20"/>
          <w:szCs w:val="20"/>
          <w:color w:val="auto"/>
        </w:rPr>
      </w:pPr>
      <w:r>
        <w:rPr>
          <w:rFonts w:ascii="Times New Roman" w:cs="Times New Roman" w:eastAsia="Times New Roman" w:hAnsi="Times New Roman"/>
          <w:sz w:val="17"/>
          <w:szCs w:val="17"/>
          <w:color w:val="auto"/>
        </w:rPr>
        <w:t>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file or approve pending BLAs, withdrawal of approvals, clinical holds, warning letters, product recalls, product seizures, total or partial suspension of production or distribution, injunctions, fines, civil penalties, or criminal penalties.</w:t>
      </w:r>
    </w:p>
    <w:p>
      <w:pPr>
        <w:spacing w:after="0" w:line="117"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i w:val="1"/>
          <w:iCs w:val="1"/>
          <w:color w:val="auto"/>
        </w:rPr>
        <w:t>Preclinical Studies</w:t>
      </w:r>
      <w:r>
        <w:rPr>
          <w:rFonts w:ascii="Times New Roman" w:cs="Times New Roman" w:eastAsia="Times New Roman" w:hAnsi="Times New Roman"/>
          <w:sz w:val="17"/>
          <w:szCs w:val="17"/>
          <w:color w:val="auto"/>
        </w:rPr>
        <w:t>. Preclinical studies include laboratory evaluation of product chemistry, formulation and toxicity, pharmacology, as well as animal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we file an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commence or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IND application is cleared and the clinical trial can begin. As a result, submission of an IND application may not result in the FDA allowing clinical trials to commence.</w:t>
      </w:r>
    </w:p>
    <w:p>
      <w:pPr>
        <w:spacing w:after="0" w:line="331"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i w:val="1"/>
          <w:iCs w:val="1"/>
          <w:color w:val="auto"/>
        </w:rPr>
        <w:t>Clinical Development</w:t>
      </w:r>
      <w:r>
        <w:rPr>
          <w:rFonts w:ascii="Times New Roman" w:cs="Times New Roman" w:eastAsia="Times New Roman" w:hAnsi="Times New Roman"/>
          <w:sz w:val="17"/>
          <w:szCs w:val="17"/>
          <w:color w:val="auto"/>
        </w:rPr>
        <w:t>. Clinical trials involve the administration of the investigational drug to human participants (healthy volunteers or patients)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supervision of a qualified investigator. Clinical trials must be conducted: (i) in compliance with all applicable federal regulations and guidance, including those pertaining to good clinical practice (GCP) standards that are meant to protect the rights, safety, and welfare of human participants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an IND application submission, and the FDA must be notified of subsequent protocol amendments. In addition, the protocol must be reviewed and approved by an institutional review board (IRB) and all study participants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NIH for public dissemination on their ClinicalTrials.gov website. Progress reports detailing the results of the clinical trials and any changes to the manufacturing must be submitted at least annually to the FDA and there are additional, more frequent reporting requirements exist for suspected unexpected serious adverse events.</w:t>
      </w:r>
    </w:p>
    <w:p>
      <w:pPr>
        <w:spacing w:after="0" w:line="130"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participants. An IRB may also require the clinical trial at the site to be halted, either temporarily or permanently, for failure to comply with the IRB's requirements, or may impose other conditions.</w:t>
      </w:r>
    </w:p>
    <w:p>
      <w:pPr>
        <w:spacing w:after="0" w:line="117"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Clinical trials to support BLAs for marketing approval are typically conducted in three pre-approval phases, but the phases may overlap or be combined, particularly in testing for oncology indications. In Phase 1, testing is conducted in a small group of participants who may be patients with the target disease or condition or healthy volunteers, to evaluate its safety, determine a safe dosage range, and identify side effects. In Phase 2, the drug is given to a larger group of participants with the target condition to further evaluate the safety of the drug and gather preliminary evidence of efficacy. Phase 3 studies typically last multiple years for oncology indications. In Phase 3, the drug is given to a large group of participants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spacing w:after="0" w:line="124" w:lineRule="exact"/>
        <w:rPr>
          <w:sz w:val="20"/>
          <w:szCs w:val="20"/>
          <w:color w:val="auto"/>
        </w:rPr>
      </w:pPr>
    </w:p>
    <w:p>
      <w:pPr>
        <w:ind w:right="140"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Product Approval</w:t>
      </w:r>
      <w:r>
        <w:rPr>
          <w:rFonts w:ascii="Times New Roman" w:cs="Times New Roman" w:eastAsia="Times New Roman" w:hAnsi="Times New Roman"/>
          <w:sz w:val="17"/>
          <w:szCs w:val="17"/>
          <w:color w:val="auto"/>
        </w:rPr>
        <w:t>. After completion of the required clinical testing, a BLA can be prepared and submitted to the FDA. FDA approval of the BLA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additionally subject to a substantial application user fee, and annual program user fees also apply. These fees are typically increased annually.</w:t>
      </w:r>
    </w:p>
    <w:p>
      <w:pPr>
        <w:spacing w:after="0" w:line="16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Fast Track Designation, and the Commissioners National Priority Review Voucher Pilot Program. While the timelines for approval under these designations and pathway may be shorter, requirements and conditions are associated with each, and no assurance can be given that any of our investigational products will be able to meet the conditions or requirements necessary to receive any such designation or approval or be able to receive the benefits associated with such designations.</w:t>
      </w:r>
    </w:p>
    <w:p>
      <w:pPr>
        <w:spacing w:after="0" w:line="122" w:lineRule="exact"/>
        <w:rPr>
          <w:sz w:val="20"/>
          <w:szCs w:val="20"/>
          <w:color w:val="auto"/>
        </w:rPr>
      </w:pPr>
    </w:p>
    <w:p>
      <w:pPr>
        <w:ind w:right="20" w:firstLine="625"/>
        <w:spacing w:after="0" w:line="272" w:lineRule="auto"/>
        <w:rPr>
          <w:sz w:val="20"/>
          <w:szCs w:val="20"/>
          <w:color w:val="auto"/>
        </w:rPr>
      </w:pPr>
      <w:r>
        <w:rPr>
          <w:rFonts w:ascii="Times New Roman" w:cs="Times New Roman" w:eastAsia="Times New Roman" w:hAnsi="Times New Roman"/>
          <w:sz w:val="17"/>
          <w:szCs w:val="17"/>
          <w:color w:val="auto"/>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spacing w:after="0" w:line="325" w:lineRule="exact"/>
        <w:rPr>
          <w:sz w:val="20"/>
          <w:szCs w:val="20"/>
          <w:color w:val="auto"/>
        </w:rPr>
      </w:pPr>
    </w:p>
    <w:p>
      <w:pPr>
        <w:ind w:right="500" w:firstLine="625"/>
        <w:spacing w:after="0" w:line="268" w:lineRule="auto"/>
        <w:rPr>
          <w:sz w:val="20"/>
          <w:szCs w:val="20"/>
          <w:color w:val="auto"/>
        </w:rPr>
      </w:pPr>
      <w:r>
        <w:rPr>
          <w:rFonts w:ascii="Times New Roman" w:cs="Times New Roman" w:eastAsia="Times New Roman" w:hAnsi="Times New Roman"/>
          <w:sz w:val="17"/>
          <w:szCs w:val="17"/>
          <w:color w:val="auto"/>
        </w:rPr>
        <w:t>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w:t>
      </w:r>
    </w:p>
    <w:p>
      <w:pPr>
        <w:spacing w:after="0" w:line="117"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w:t>
      </w:r>
    </w:p>
    <w:p>
      <w:pPr>
        <w:spacing w:after="0" w:line="119" w:lineRule="exact"/>
        <w:rPr>
          <w:sz w:val="20"/>
          <w:szCs w:val="20"/>
          <w:color w:val="auto"/>
        </w:rPr>
      </w:pPr>
    </w:p>
    <w:p>
      <w:pPr>
        <w:jc w:val="both"/>
        <w:ind w:right="120" w:firstLine="625"/>
        <w:spacing w:after="0" w:line="274" w:lineRule="auto"/>
        <w:rPr>
          <w:sz w:val="20"/>
          <w:szCs w:val="20"/>
          <w:color w:val="auto"/>
        </w:rPr>
      </w:pPr>
      <w:r>
        <w:rPr>
          <w:rFonts w:ascii="Times New Roman" w:cs="Times New Roman" w:eastAsia="Times New Roman" w:hAnsi="Times New Roman"/>
          <w:sz w:val="17"/>
          <w:szCs w:val="17"/>
          <w:color w:val="auto"/>
        </w:rPr>
        <w:t>An approval letter authorizes commercial marketing of the drug for the approved indication or indications and the other conditions of use set out in the approved prescribing information. Once granted, product approvals may be withdrawn or modified if compliance with regulatory standards is not maintained or problems are identified following initial marketing.</w:t>
      </w:r>
    </w:p>
    <w:p>
      <w:pPr>
        <w:spacing w:after="0" w:line="112" w:lineRule="exact"/>
        <w:rPr>
          <w:sz w:val="20"/>
          <w:szCs w:val="20"/>
          <w:color w:val="auto"/>
        </w:rPr>
      </w:pPr>
    </w:p>
    <w:p>
      <w:pPr>
        <w:ind w:right="200" w:firstLine="625"/>
        <w:spacing w:after="0" w:line="265" w:lineRule="auto"/>
        <w:rPr>
          <w:sz w:val="20"/>
          <w:szCs w:val="20"/>
          <w:color w:val="auto"/>
        </w:rPr>
      </w:pPr>
      <w:r>
        <w:rPr>
          <w:rFonts w:ascii="Times New Roman" w:cs="Times New Roman" w:eastAsia="Times New Roman" w:hAnsi="Times New Roman"/>
          <w:sz w:val="17"/>
          <w:szCs w:val="17"/>
          <w:color w:val="auto"/>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spacing w:after="0" w:line="117" w:lineRule="exact"/>
        <w:rPr>
          <w:sz w:val="20"/>
          <w:szCs w:val="20"/>
          <w:color w:val="auto"/>
        </w:rPr>
      </w:pPr>
    </w:p>
    <w:p>
      <w:pPr>
        <w:ind w:right="80"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Other U.S. Post-Marketing Regulatory Requirements</w:t>
      </w:r>
      <w:r>
        <w:rPr>
          <w:rFonts w:ascii="Times New Roman" w:cs="Times New Roman" w:eastAsia="Times New Roman" w:hAnsi="Times New Roman"/>
          <w:sz w:val="17"/>
          <w:szCs w:val="17"/>
          <w:color w:val="auto"/>
        </w:rPr>
        <w:t>. Once a BLA is approved, a product will be subject to certain post-approval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those relating to advertising, promotion, adverse event reporting, recordkeeping, and cGMPs, as well as registration, listing, and inspection. There also are continuing, annual program user fee requirements for marketed products.</w:t>
      </w:r>
    </w:p>
    <w:p>
      <w:pPr>
        <w:spacing w:after="0" w:line="109"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spacing w:after="0" w:line="121" w:lineRule="exact"/>
        <w:rPr>
          <w:sz w:val="20"/>
          <w:szCs w:val="20"/>
          <w:color w:val="auto"/>
        </w:rPr>
      </w:pPr>
    </w:p>
    <w:p>
      <w:pPr>
        <w:ind w:right="480" w:firstLine="625"/>
        <w:spacing w:after="0" w:line="294" w:lineRule="auto"/>
        <w:rPr>
          <w:sz w:val="20"/>
          <w:szCs w:val="20"/>
          <w:color w:val="auto"/>
        </w:rPr>
      </w:pPr>
      <w:r>
        <w:rPr>
          <w:rFonts w:ascii="Times New Roman" w:cs="Times New Roman" w:eastAsia="Times New Roman" w:hAnsi="Times New Roman"/>
          <w:sz w:val="17"/>
          <w:szCs w:val="17"/>
          <w:color w:val="auto"/>
        </w:rPr>
        <w:t>All aspects of pharmaceutical manufacture must conform to cGMPs after approval. Drug manufacturers and certain subcontractors are required to register their establishments with the FDA and certain state agencies, and are subject to periodic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ind w:right="80"/>
        <w:spacing w:after="0" w:line="265" w:lineRule="auto"/>
        <w:rPr>
          <w:sz w:val="20"/>
          <w:szCs w:val="20"/>
          <w:color w:val="auto"/>
        </w:rPr>
      </w:pPr>
      <w:r>
        <w:rPr>
          <w:rFonts w:ascii="Times New Roman" w:cs="Times New Roman" w:eastAsia="Times New Roman" w:hAnsi="Times New Roman"/>
          <w:sz w:val="17"/>
          <w:szCs w:val="17"/>
          <w:color w:val="auto"/>
        </w:rPr>
        <w:t>unannounced inspections by the FDA during which the FDA inspects manufacturing facilities to assess compliance with cGMPs. Changes to the manufacturing process are strictly regulated and often require prior FDA approval before implementation.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spacing w:after="0" w:line="119"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generally uses the same procedures and actions in reviewing BLA supplements as it does in reviewing BLAs.</w:t>
      </w:r>
    </w:p>
    <w:p>
      <w:pPr>
        <w:spacing w:after="0" w:line="11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Noncompliance with post-marketing requirements can result in one or more of the following consequences:</w:t>
      </w:r>
    </w:p>
    <w:p>
      <w:pPr>
        <w:spacing w:after="0" w:line="169" w:lineRule="exact"/>
        <w:rPr>
          <w:sz w:val="20"/>
          <w:szCs w:val="20"/>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on post-approval clinical trials;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BLAs or supplements to approved BLAs, or suspension or revocation of product license approvals;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6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In addition, the distribution of prescription pharmaceutical products is subject to the Drug Supply Chain Security Act which sets minimum standards for the registration and regulation of drug distributors by the states.</w:t>
      </w:r>
    </w:p>
    <w:p>
      <w:pPr>
        <w:spacing w:after="0" w:line="92" w:lineRule="exact"/>
        <w:rPr>
          <w:sz w:val="20"/>
          <w:szCs w:val="20"/>
          <w:color w:val="auto"/>
        </w:rPr>
      </w:pPr>
    </w:p>
    <w:p>
      <w:pPr>
        <w:ind w:firstLine="625"/>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Approval of Biosimilars. </w:t>
      </w:r>
      <w:r>
        <w:rPr>
          <w:rFonts w:ascii="Times New Roman" w:cs="Times New Roman" w:eastAsia="Times New Roman" w:hAnsi="Times New Roman"/>
          <w:sz w:val="17"/>
          <w:szCs w:val="17"/>
          <w:color w:val="auto"/>
        </w:rPr>
        <w:t>The ACA authorized the FDA to approve biosimilars via a separate, abbreviated pathway. In many cases, this allows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 and Compliance Requirements</w:t>
      </w:r>
    </w:p>
    <w:p>
      <w:pPr>
        <w:spacing w:after="0" w:line="173"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We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There is therefore a possibility that such laws may apply and our practices might be challenged under such anti-kickback laws. False claims laws prohibit anyone from knowingly and willingly presenting, or causing to be presented, any claims for payment for reimbursed drugs or services to third-party payors (including Medicare and Medicaid) that are false 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8" w:name="page19"/>
    <w:bookmarkEnd w:id="18"/>
    <w:p>
      <w:pPr>
        <w:ind w:right="240"/>
        <w:spacing w:after="0" w:line="294" w:lineRule="auto"/>
        <w:rPr>
          <w:sz w:val="20"/>
          <w:szCs w:val="20"/>
          <w:color w:val="auto"/>
        </w:rPr>
      </w:pPr>
      <w:r>
        <w:rPr>
          <w:rFonts w:ascii="Times New Roman" w:cs="Times New Roman" w:eastAsia="Times New Roman" w:hAnsi="Times New Roman"/>
          <w:sz w:val="17"/>
          <w:szCs w:val="17"/>
          <w:color w:val="auto"/>
        </w:rPr>
        <w:t>fraudulent. Violations of fraud and abuse laws may be punishable by criminal or civil sanctions, including fines and civil monetary penalties, and/or exclusion from federal health care programs (including Medicare and Medicaid).</w:t>
      </w:r>
    </w:p>
    <w:p>
      <w:pPr>
        <w:spacing w:after="0" w:line="94"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Laws and regulations enacted by the federal government and various states to regulate the sales and marketing practices of pharmaceutical manufacturers with marketed products generally limit financial interactions between manufacturers and health care providers and/or require disclosure to the government and public of such interactions. State laws may also require disclosure of pharmaceutical pricing information and marketing expenditures. Many of these laws and regulations contain ambiguous requirements or require administrative guidance for implementation. We are subject to federal, state and foreign laws that govern the privacy and security of health information in some circumstances, many of which differ from each other in significant ways, thus complicating compliance efforts. Given the lack of clarity in laws and their implementation, our activities could be subject to the penalty provisions of the pertinent laws and regulations.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173"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spacing w:after="0" w:line="121"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w:t>
      </w:r>
    </w:p>
    <w:p>
      <w:pPr>
        <w:spacing w:after="0" w:line="11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spacing w:after="0" w:line="122"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w:t>
      </w:r>
    </w:p>
    <w:p>
      <w:pPr>
        <w:spacing w:after="0" w:line="335"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Biopharmaceutical Coverage, Pricing, Reimbursement, and Health Care Reform</w:t>
      </w:r>
    </w:p>
    <w:p>
      <w:pPr>
        <w:spacing w:after="0" w:line="173"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In the United States and other countries, sales of any product candidates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9" w:name="page20"/>
    <w:bookmarkEnd w:id="19"/>
    <w:p>
      <w:pPr>
        <w:ind w:right="40"/>
        <w:spacing w:after="0" w:line="262" w:lineRule="auto"/>
        <w:rPr>
          <w:sz w:val="20"/>
          <w:szCs w:val="20"/>
          <w:color w:val="auto"/>
        </w:rPr>
      </w:pPr>
      <w:r>
        <w:rPr>
          <w:rFonts w:ascii="Times New Roman" w:cs="Times New Roman" w:eastAsia="Times New Roman" w:hAnsi="Times New Roman"/>
          <w:sz w:val="17"/>
          <w:szCs w:val="17"/>
          <w:color w:val="auto"/>
        </w:rPr>
        <w:t>party payors are increasingly examining the medical necessity and cost effectiveness of medical products and services in addition to safety and efficacy and, accordingly, significant uncertainty exists as to the reimbursement status of newly approved therapeutics. Adequate third-party reimbursement that enables us to realize an appropriate return on our investment in research and product development may not be available or optimal for our products.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21"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w:t>
      </w:r>
    </w:p>
    <w:p>
      <w:pPr>
        <w:spacing w:after="0" w:line="119"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w:t>
      </w:r>
    </w:p>
    <w:p>
      <w:pPr>
        <w:spacing w:after="0" w:line="117"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 which among other things, (i) extends enhanced subsidies for individuals purchasing health insurance coverage in ACA marketplaces through plan year 2025, (ii) authorizes HHS to negotiate the price of certain high-expenditure, single-source drugs covered under Medicare that have been on the market for at least 7 years, and (iii) imposes rebates with respect to certain drugs and biologics covered under Medicare Part B or Medicare Part D to penalize price increases that outpace inflation. These provisions began to take effect progressively starting in fiscal year 2023. Additional state and federal health reform measures may be adopted in the future, particularly in light of the recent U.S. Presidential and Congressional elections, any of which could limit the amounts that federal and state governments will pay for healthcare products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1"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As of February 28, 2026, we had 293 full-time employees, 245 of whom were primarily engaged in research, development and manufacturing activities, and 61 of whom had an M.D. and/or Ph.D. Our employees are critically important to the achievement of our company’s mission and goals.</w:t>
      </w:r>
    </w:p>
    <w:p>
      <w:pPr>
        <w:spacing w:after="0" w:line="94"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senior leadership oversees all human capital management matters and is committed to attracting, developing, engaging and retaining the best people. We strive to offer our employees an intellectually challenging and diverse work environment, opportunities to expand their knowledge and skills, feedback on performance, and paths for career advancement. We believe management’s relationships with our employees is very positive and they are not subject to a collective bargaining agreement or represented by a trade or labor union.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73"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Our compensation programs are designed to align our employees' interests with our business goals and stockholder returns. We provide employee wages that are competitive within our industry, and we engage an outside compensation and benefits consulting firm to independently evaluate the effectiveness of our compensation and benefit programs and to provide benchmarking against our peers within the industry. We link annual changes in compensation to overall Company performance, as well as each individual’s contribution to the results achieved. The emphasis on overall Company performance is intended to align the employee’s financial interests with the interests of stockholders. We are committed to providing our employees with a benefits program that is both comprehensive and competitive. Our benefits program offers health care, dental and vision coverage, along with benefits designed to provide increased financial security to our employees and their families.</w:t>
      </w:r>
    </w:p>
    <w:p>
      <w:pPr>
        <w:spacing w:after="0" w:line="121" w:lineRule="exact"/>
        <w:rPr>
          <w:sz w:val="20"/>
          <w:szCs w:val="20"/>
          <w:color w:val="auto"/>
        </w:rPr>
      </w:pPr>
    </w:p>
    <w:p>
      <w:pPr>
        <w:ind w:right="260" w:firstLine="625"/>
        <w:spacing w:after="0" w:line="294" w:lineRule="auto"/>
        <w:rPr>
          <w:sz w:val="20"/>
          <w:szCs w:val="20"/>
          <w:color w:val="auto"/>
        </w:rPr>
      </w:pPr>
      <w:r>
        <w:rPr>
          <w:rFonts w:ascii="Times New Roman" w:cs="Times New Roman" w:eastAsia="Times New Roman" w:hAnsi="Times New Roman"/>
          <w:sz w:val="17"/>
          <w:szCs w:val="17"/>
          <w:color w:val="auto"/>
        </w:rPr>
        <w:t>We maintain an Employee Stock Purchase Plan under which employees may purchase Company common stock through payroll deductions at a price equal to 85% of the fair market value of the stock as of the end of the offering periods.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Our Culture</w:t>
      </w:r>
    </w:p>
    <w:p>
      <w:pPr>
        <w:spacing w:after="0" w:line="171" w:lineRule="exact"/>
        <w:rPr>
          <w:sz w:val="20"/>
          <w:szCs w:val="20"/>
          <w:color w:val="auto"/>
        </w:rPr>
      </w:pPr>
    </w:p>
    <w:p>
      <w:pPr>
        <w:ind w:right="40" w:firstLine="625"/>
        <w:spacing w:after="0" w:line="266" w:lineRule="auto"/>
        <w:rPr>
          <w:sz w:val="20"/>
          <w:szCs w:val="20"/>
          <w:color w:val="auto"/>
        </w:rPr>
      </w:pPr>
      <w:r>
        <w:rPr>
          <w:rFonts w:ascii="Times New Roman" w:cs="Times New Roman" w:eastAsia="Times New Roman" w:hAnsi="Times New Roman"/>
          <w:sz w:val="17"/>
          <w:szCs w:val="17"/>
          <w:color w:val="auto"/>
        </w:rPr>
        <w:t xml:space="preserve">Our Living Values are the backbone of our culture: </w:t>
      </w:r>
      <w:r>
        <w:rPr>
          <w:rFonts w:ascii="Times New Roman" w:cs="Times New Roman" w:eastAsia="Times New Roman" w:hAnsi="Times New Roman"/>
          <w:sz w:val="17"/>
          <w:szCs w:val="17"/>
          <w:i w:val="1"/>
          <w:iCs w:val="1"/>
          <w:color w:val="auto"/>
        </w:rPr>
        <w:t>Patients First, Do It Right, Innovate, Pitch In, Take Action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Be Inclusive.</w:t>
      </w:r>
      <w:r>
        <w:rPr>
          <w:rFonts w:ascii="Times New Roman" w:cs="Times New Roman" w:eastAsia="Times New Roman" w:hAnsi="Times New Roman"/>
          <w:sz w:val="17"/>
          <w:szCs w:val="17"/>
          <w:color w:val="auto"/>
        </w:rPr>
        <w:t xml:space="preserve"> Consistent with our Living Value of “</w:t>
      </w:r>
      <w:r>
        <w:rPr>
          <w:rFonts w:ascii="Times New Roman" w:cs="Times New Roman" w:eastAsia="Times New Roman" w:hAnsi="Times New Roman"/>
          <w:sz w:val="17"/>
          <w:szCs w:val="17"/>
          <w:i w:val="1"/>
          <w:iCs w:val="1"/>
          <w:color w:val="auto"/>
        </w:rPr>
        <w:t>Be Inclusive</w:t>
      </w:r>
      <w:r>
        <w:rPr>
          <w:rFonts w:ascii="Times New Roman" w:cs="Times New Roman" w:eastAsia="Times New Roman" w:hAnsi="Times New Roman"/>
          <w:sz w:val="17"/>
          <w:szCs w:val="17"/>
          <w:color w:val="auto"/>
        </w:rPr>
        <w:t>” we have a number of initiatives to reinforce the importance of an inclusive workforce and culture of belonging to our Company’s success. To further champion our inclusion efforts, we formed an employee-led team with sponsorship from our senior leadership team. We have periodically conducted employee engagement surveys to understand our employees’ perspectives and endeavor to listen, change and improve on how we work together in response to these perspectives.</w:t>
      </w:r>
    </w:p>
    <w:p>
      <w:pPr>
        <w:spacing w:after="0" w:line="195"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All employees are required to observe high standards of business and personal ethics and must adhere to our Code of Business Conduct and Ethics, for which they receive training annually. The Code requires reporting any actual or suspected misconduct, illegal activities or fraud. To that end, we maintain a Speak Up Culture where all employees are encouraged to raise issues, report concerns, and ask questions. We also maintain an anonymous hotline that is available to all of our employees, contractors and vendors to report any matter of concern. Communications to the hotline (which is facilitated by an independent third party) are routed to our General Counsel (or, if the General Counsel is the subject of the communication, to the Chair of our Audit Committee) for investigation and resolution. We also maintain a policy of no retaliation, where employees who report any misconduct are to be free of any harassment, retaliation or adverse employment consequence.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Learning and Development</w:t>
      </w:r>
    </w:p>
    <w:p>
      <w:pPr>
        <w:spacing w:after="0" w:line="173"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We continue to invest in our employees to achieve their goals and to lead our company through learning and development. We conduct regular performance reviews. We encourage all employees to take advantage of our leadership, management and technical skill trainings and resources. In addition, we provide focused development for managers and emerging leaders who are designated as “key talent” based on performance and leadership potential.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Community</w:t>
      </w:r>
    </w:p>
    <w:p>
      <w:pPr>
        <w:spacing w:after="0" w:line="173"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We believe in giving back and supporting the local communities where we work as well as initiatives consistent with our areas of focus. Employees are encouraged to participate in charitable causes and receive eight hours of voluntary paid time off annually to participate in local opportunities to give back to the community.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Securities and Exchange Commission Filing Information</w:t>
      </w:r>
    </w:p>
    <w:p>
      <w:pPr>
        <w:spacing w:after="0" w:line="17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Our main company website address is www.macrogenics.com. We post links to http://ir.macrogenics.com/financial-information/sec-filings for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The discussion below addresses material factors, of which we are currently aware, that could have a material and adverse effect on our business, results of operations and financial condition.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 Affecting Our Business</w:t>
      </w:r>
    </w:p>
    <w:p>
      <w:pPr>
        <w:spacing w:after="0" w:line="249"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w:t>
      </w:r>
    </w:p>
    <w:p>
      <w:pPr>
        <w:spacing w:after="0" w:line="195" w:lineRule="exact"/>
        <w:rPr>
          <w:sz w:val="20"/>
          <w:szCs w:val="20"/>
          <w:color w:val="auto"/>
        </w:rPr>
      </w:pPr>
    </w:p>
    <w:p>
      <w:pPr>
        <w:ind w:left="940" w:right="10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72" w:lineRule="exact"/>
        <w:rPr>
          <w:rFonts w:ascii="Times New Roman" w:cs="Times New Roman" w:eastAsia="Times New Roman" w:hAnsi="Times New Roman"/>
          <w:sz w:val="17"/>
          <w:szCs w:val="17"/>
          <w:color w:val="auto"/>
        </w:rPr>
      </w:pPr>
    </w:p>
    <w:p>
      <w:pPr>
        <w:ind w:left="940" w:right="16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anticipate that we will continue to incur losses for the foreseeable future. Accordingly, we may never achieve or sustain profitability.</w:t>
      </w:r>
    </w:p>
    <w:p>
      <w:pPr>
        <w:spacing w:after="0" w:line="172" w:lineRule="exact"/>
        <w:rPr>
          <w:rFonts w:ascii="Times New Roman" w:cs="Times New Roman" w:eastAsia="Times New Roman" w:hAnsi="Times New Roman"/>
          <w:sz w:val="17"/>
          <w:szCs w:val="17"/>
          <w:color w:val="auto"/>
        </w:rPr>
      </w:pPr>
    </w:p>
    <w:p>
      <w:pPr>
        <w:ind w:left="940" w:hanging="311"/>
        <w:spacing w:after="0" w:line="268"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substantially on the development potential of our product candidates, through our own efforts or those of our collaborators. If we or our collaborators are unable to successfully progress product candidate clinical development, obtain additional regulatory approvals, commercialize product candidates, or experience delays in doing so, our business will be materially harmed and we may not be able to generate sufficient revenues and cash flows to continue our operations.</w:t>
      </w:r>
    </w:p>
    <w:p>
      <w:pPr>
        <w:spacing w:after="0" w:line="194" w:lineRule="exact"/>
        <w:rPr>
          <w:rFonts w:ascii="Times New Roman" w:cs="Times New Roman" w:eastAsia="Times New Roman" w:hAnsi="Times New Roman"/>
          <w:sz w:val="17"/>
          <w:szCs w:val="17"/>
          <w:color w:val="auto"/>
        </w:rPr>
      </w:pPr>
    </w:p>
    <w:p>
      <w:pPr>
        <w:ind w:left="940" w:right="18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development involves a lengthy and expensive process, with a highly uncertain outcome. We expect to incur significant additional costs related to the development of our product candidates and we or our collaborators may experience delays in completing, or ultimately be unable to complete, the development and commercialization of our other product candidates.</w:t>
      </w:r>
    </w:p>
    <w:p>
      <w:pPr>
        <w:spacing w:after="0" w:line="190" w:lineRule="exact"/>
        <w:rPr>
          <w:rFonts w:ascii="Times New Roman" w:cs="Times New Roman" w:eastAsia="Times New Roman" w:hAnsi="Times New Roman"/>
          <w:sz w:val="17"/>
          <w:szCs w:val="17"/>
          <w:color w:val="auto"/>
        </w:rPr>
      </w:pPr>
    </w:p>
    <w:p>
      <w:pPr>
        <w:ind w:left="940" w:right="28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172" w:lineRule="exact"/>
        <w:rPr>
          <w:rFonts w:ascii="Times New Roman" w:cs="Times New Roman" w:eastAsia="Times New Roman" w:hAnsi="Times New Roman"/>
          <w:sz w:val="17"/>
          <w:szCs w:val="17"/>
          <w:color w:val="auto"/>
        </w:rPr>
      </w:pPr>
    </w:p>
    <w:p>
      <w:pPr>
        <w:ind w:left="940" w:right="2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72" w:lineRule="exact"/>
        <w:rPr>
          <w:rFonts w:ascii="Times New Roman" w:cs="Times New Roman" w:eastAsia="Times New Roman" w:hAnsi="Times New Roman"/>
          <w:sz w:val="17"/>
          <w:szCs w:val="17"/>
          <w:color w:val="auto"/>
        </w:rPr>
      </w:pPr>
    </w:p>
    <w:p>
      <w:pPr>
        <w:ind w:left="940" w:right="32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clinical trials for our product candidates are prolonged, delayed or stopped for any reason, including for safety reasons or lack of efficacy, we may be unable to obtain regulatory approval and commercialize our product candidates on a timely basis, which would require us to incur additional costs and delay our receipt of any product revenue.</w:t>
      </w:r>
    </w:p>
    <w:p>
      <w:pPr>
        <w:spacing w:after="0" w:line="190" w:lineRule="exact"/>
        <w:rPr>
          <w:rFonts w:ascii="Times New Roman" w:cs="Times New Roman" w:eastAsia="Times New Roman" w:hAnsi="Times New Roman"/>
          <w:sz w:val="17"/>
          <w:szCs w:val="17"/>
          <w:color w:val="auto"/>
        </w:rPr>
      </w:pPr>
    </w:p>
    <w:p>
      <w:pPr>
        <w:ind w:left="94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previous clinical trials or pre-clinical research may not be predictive of future results, and interim, immature, or top-line data may be subject to change or qualification based the complete analysis of data. In addition, the results of our current or planned clinical trials may not satisfy the requirements of the FDA or non-U.S. regulatory authorities for product approval.</w:t>
      </w:r>
    </w:p>
    <w:p>
      <w:pPr>
        <w:spacing w:after="0" w:line="190" w:lineRule="exact"/>
        <w:rPr>
          <w:rFonts w:ascii="Times New Roman" w:cs="Times New Roman" w:eastAsia="Times New Roman" w:hAnsi="Times New Roman"/>
          <w:sz w:val="17"/>
          <w:szCs w:val="17"/>
          <w:color w:val="auto"/>
        </w:rPr>
      </w:pPr>
    </w:p>
    <w:p>
      <w:pPr>
        <w:ind w:left="940" w:right="2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continue to develop and market products that are more effective, safer or less expensive than our product candidates or if they are ahead of us in development, our product development or current or future commercial opportunities may be negatively impacted.</w:t>
      </w:r>
    </w:p>
    <w:p>
      <w:pPr>
        <w:spacing w:after="0" w:line="190" w:lineRule="exact"/>
        <w:rPr>
          <w:rFonts w:ascii="Times New Roman" w:cs="Times New Roman" w:eastAsia="Times New Roman" w:hAnsi="Times New Roman"/>
          <w:sz w:val="17"/>
          <w:szCs w:val="17"/>
          <w:color w:val="auto"/>
        </w:rPr>
      </w:pPr>
    </w:p>
    <w:p>
      <w:pPr>
        <w:ind w:left="940" w:right="22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novel technologies in the development of our product candidates and the FDA and other regulatory authorities have not approved or may not approve products that utilize these technologies.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22" w:name="page23"/>
    <w:bookmarkEnd w:id="22"/>
    <w:p>
      <w:pPr>
        <w:jc w:val="both"/>
        <w:ind w:left="311" w:right="6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90" w:lineRule="exact"/>
        <w:rPr>
          <w:rFonts w:ascii="Times New Roman" w:cs="Times New Roman" w:eastAsia="Times New Roman" w:hAnsi="Times New Roman"/>
          <w:sz w:val="17"/>
          <w:szCs w:val="17"/>
          <w:color w:val="auto"/>
        </w:rPr>
      </w:pPr>
    </w:p>
    <w:p>
      <w:pPr>
        <w:ind w:left="311"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if approved, may fail to achieve or maintain market acceptance by physicians, patients, third-party payors and others in the medical community necessary for commercial success.</w:t>
      </w:r>
    </w:p>
    <w:p>
      <w:pPr>
        <w:spacing w:after="0" w:line="172" w:lineRule="exact"/>
        <w:rPr>
          <w:rFonts w:ascii="Times New Roman" w:cs="Times New Roman" w:eastAsia="Times New Roman" w:hAnsi="Times New Roman"/>
          <w:sz w:val="17"/>
          <w:szCs w:val="17"/>
          <w:color w:val="auto"/>
        </w:rPr>
      </w:pPr>
    </w:p>
    <w:p>
      <w:pPr>
        <w:ind w:left="311" w:right="120" w:hanging="311"/>
        <w:spacing w:after="0" w:line="267"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our product candidates, for ourselves and our collaborators, is complex, and we may encounter difficulties in production for ourselves or our collaborators.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products or product candidates for ourselves or our collaborators, if and when approved.</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311" w:right="50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facility is subject to significant government regulations and approvals, which are often costly and could result in adverse consequences to our business if we fail to comply with the regulations or maintain the approvals.</w:t>
      </w:r>
    </w:p>
    <w:p>
      <w:pPr>
        <w:spacing w:after="0" w:line="172" w:lineRule="exact"/>
        <w:rPr>
          <w:rFonts w:ascii="Times New Roman" w:cs="Times New Roman" w:eastAsia="Times New Roman" w:hAnsi="Times New Roman"/>
          <w:sz w:val="17"/>
          <w:szCs w:val="17"/>
          <w:color w:val="auto"/>
        </w:rPr>
      </w:pPr>
    </w:p>
    <w:p>
      <w:pPr>
        <w:ind w:left="311" w:right="6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in launching and marketing biopharmaceutical products. If our product candidates achieve regulatory approval and we are unable to develop marketing and sales capabilities or enter into agreements with third parties to market and sell our products, we may not be able to generate substantial product sales revenue.</w:t>
      </w:r>
    </w:p>
    <w:p>
      <w:pPr>
        <w:spacing w:after="0" w:line="190"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attract or retain key executives and to attract, retain and motivate qualified personnel.</w:t>
      </w:r>
    </w:p>
    <w:p>
      <w:pPr>
        <w:spacing w:after="0" w:line="247" w:lineRule="exact"/>
        <w:rPr>
          <w:rFonts w:ascii="Times New Roman" w:cs="Times New Roman" w:eastAsia="Times New Roman" w:hAnsi="Times New Roman"/>
          <w:sz w:val="17"/>
          <w:szCs w:val="17"/>
          <w:color w:val="auto"/>
        </w:rPr>
      </w:pPr>
    </w:p>
    <w:p>
      <w:pPr>
        <w:ind w:left="311" w:right="10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to the laws, regulations, policies and governmental priorities, governing the health care system may have a negative impact on cost and access to health insurance coverage and reimbursement of health care items and services, which could impact the pricing and profitability of biopharmaceuticals and adversely affect the commercial potential of our or our collaborators' products and product candidates..</w:t>
      </w:r>
    </w:p>
    <w:p>
      <w:pPr>
        <w:spacing w:after="0" w:line="190"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decisions by third-party payors, including government payors, may have an adverse effect on pricing and market acceptance.</w:t>
      </w:r>
    </w:p>
    <w:p>
      <w:pPr>
        <w:spacing w:after="0" w:line="247"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additional capital may cause dilution to our stockholders, restrict our operations or require us to relinquish substantial rights.</w:t>
      </w:r>
    </w:p>
    <w:p>
      <w:pPr>
        <w:spacing w:after="0" w:line="247" w:lineRule="exact"/>
        <w:rPr>
          <w:rFonts w:ascii="Times New Roman" w:cs="Times New Roman" w:eastAsia="Times New Roman" w:hAnsi="Times New Roman"/>
          <w:sz w:val="17"/>
          <w:szCs w:val="17"/>
          <w:color w:val="auto"/>
        </w:rPr>
      </w:pPr>
    </w:p>
    <w:p>
      <w:pPr>
        <w:ind w:left="311" w:right="260" w:hanging="311"/>
        <w:spacing w:after="0" w:line="268"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and may in the future contract with, third parties to perform or provide services associated with or critical to our product discovery and development as well as for components of the manufacturing of our product candidates, including but not limited to our antibody drug conjugate candidates. Failure of third-party contractors to successfully perform their obligations could harm our ability to develop our products or product candidates.</w:t>
      </w:r>
    </w:p>
    <w:p>
      <w:pPr>
        <w:spacing w:after="0" w:line="194" w:lineRule="exact"/>
        <w:rPr>
          <w:rFonts w:ascii="Times New Roman" w:cs="Times New Roman" w:eastAsia="Times New Roman" w:hAnsi="Times New Roman"/>
          <w:sz w:val="17"/>
          <w:szCs w:val="17"/>
          <w:color w:val="auto"/>
        </w:rPr>
      </w:pPr>
    </w:p>
    <w:p>
      <w:pPr>
        <w:ind w:left="311" w:right="460" w:hanging="311"/>
        <w:spacing w:after="0" w:line="268"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information technology systems or those third parties upon which we rely for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94"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significantly on our ability to operate without infringing the valid patents and other proprietary rights of third parties.</w:t>
      </w:r>
    </w:p>
    <w:p>
      <w:pPr>
        <w:spacing w:after="0" w:line="247" w:lineRule="exact"/>
        <w:rPr>
          <w:rFonts w:ascii="Times New Roman" w:cs="Times New Roman" w:eastAsia="Times New Roman" w:hAnsi="Times New Roman"/>
          <w:sz w:val="17"/>
          <w:szCs w:val="17"/>
          <w:color w:val="auto"/>
        </w:rPr>
      </w:pPr>
    </w:p>
    <w:p>
      <w:pPr>
        <w:ind w:left="311" w:right="12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enforce patent protection for our products and our product candidates and related technology, our business could be materially harmed.</w:t>
      </w:r>
    </w:p>
    <w:p>
      <w:pPr>
        <w:spacing w:after="0" w:line="172" w:lineRule="exact"/>
        <w:rPr>
          <w:rFonts w:ascii="Times New Roman" w:cs="Times New Roman" w:eastAsia="Times New Roman" w:hAnsi="Times New Roman"/>
          <w:sz w:val="17"/>
          <w:szCs w:val="17"/>
          <w:color w:val="auto"/>
        </w:rPr>
      </w:pPr>
    </w:p>
    <w:p>
      <w:pPr>
        <w:ind w:left="311" w:right="30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and may in the future be subject to securities litigation, which is expensive and could divert management attention and adversely impact our business.</w:t>
      </w:r>
    </w:p>
    <w:p>
      <w:pPr>
        <w:spacing w:after="0" w:line="200" w:lineRule="exact"/>
        <w:rPr>
          <w:sz w:val="20"/>
          <w:szCs w:val="20"/>
          <w:color w:val="auto"/>
        </w:rPr>
      </w:pPr>
    </w:p>
    <w:p>
      <w:pPr>
        <w:spacing w:after="0" w:line="272" w:lineRule="exact"/>
        <w:rPr>
          <w:sz w:val="20"/>
          <w:szCs w:val="20"/>
          <w:color w:val="auto"/>
        </w:rPr>
      </w:pPr>
    </w:p>
    <w:p>
      <w:pPr>
        <w:ind w:left="4911"/>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551"/>
          </w:cols>
          <w:pgMar w:left="949" w:top="1098" w:right="399" w:bottom="1440" w:gutter="0" w:footer="0" w:header="0"/>
        </w:sectPr>
      </w:pPr>
    </w:p>
    <w:bookmarkStart w:id="23" w:name="page24"/>
    <w:bookmarkEnd w:id="23"/>
    <w:p>
      <w:pPr>
        <w:ind w:left="940" w:right="26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companion diagnostics with third party contractors for use with our product candidates could harm our ability to commercialize our product candidates.</w:t>
      </w:r>
    </w:p>
    <w:p>
      <w:pPr>
        <w:spacing w:after="0" w:line="172" w:lineRule="exact"/>
        <w:rPr>
          <w:rFonts w:ascii="Times New Roman" w:cs="Times New Roman" w:eastAsia="Times New Roman" w:hAnsi="Times New Roman"/>
          <w:sz w:val="17"/>
          <w:szCs w:val="17"/>
          <w:color w:val="auto"/>
        </w:rPr>
      </w:pPr>
    </w:p>
    <w:p>
      <w:pPr>
        <w:ind w:left="940" w:right="40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product liability lawsuits are successfully brought against us or any of our collaborators, we may incur substantial liabilities and may be required to limit commercialization of our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45"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68"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Pharmaceutical product development, including conducting nonclinical studies and clinical trials, is expensive. In order to obtain regulatory approval of product candidates, we will be required to conduct clinical trials for each indication for each of our product candidates. We will continue to require additional funding beyond what was raised in our public offerings and through our collaborations and license agreements to complete the development and commercialization of our product candidates and to continue to advance the development of our other product candidates. Due to worsening and highly uncertain global economic conditions, including high rates of inflation, fluctuating interest rates and concerns of a recession or economic volatility in the United States or other major markets, the recent disruptions to and volatility in the credit and financial markets in the United States and worldwide, and geopolitical instability, such funding may not be available on acceptable terms or at all. Although it is difficult to predict our funding requirements, we anticipate that our cash, cash equivalents and marketable securities as of December 31, 2025, combined with anticipated and potential future payments from our partners, and anticipated savings from our cost-reduction initiatives, should enable us to fund our operations into late 2027. Such guidance does not reflect or further expansion of studies currently ongoing. Because development of our product candidates is uncertain, we are unable to estimate accurately the actual funds we will require to complete research, development and clinical testing to commercialize our product candidates. Our future funding requirements will depend on many factors, including but not limited to:</w:t>
      </w:r>
    </w:p>
    <w:p>
      <w:pPr>
        <w:spacing w:after="0" w:line="200" w:lineRule="exact"/>
        <w:rPr>
          <w:sz w:val="20"/>
          <w:szCs w:val="20"/>
          <w:color w:val="auto"/>
        </w:rPr>
      </w:pPr>
    </w:p>
    <w:p>
      <w:pPr>
        <w:spacing w:after="0" w:line="214" w:lineRule="exact"/>
        <w:rPr>
          <w:sz w:val="20"/>
          <w:szCs w:val="20"/>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other product candidates and indications that we pursue;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timing, cost and results of research, nonclinical development, and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seeking and obtaining FDA and non-U.S. regulatory approvals;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manufacturing our product candidates as well as the costs of operation of our manufacturing facility;</w:t>
      </w:r>
    </w:p>
    <w:p>
      <w:pPr>
        <w:spacing w:after="0" w:line="247" w:lineRule="exact"/>
        <w:rPr>
          <w:rFonts w:ascii="Times New Roman" w:cs="Times New Roman" w:eastAsia="Times New Roman" w:hAnsi="Times New Roman"/>
          <w:sz w:val="17"/>
          <w:szCs w:val="17"/>
          <w:color w:val="auto"/>
        </w:rPr>
      </w:pPr>
    </w:p>
    <w:p>
      <w:pPr>
        <w:ind w:left="940" w:right="34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establishing sales, marketing, and distribution capabilities;</w:t>
      </w:r>
    </w:p>
    <w:p>
      <w:pPr>
        <w:spacing w:after="0" w:line="247" w:lineRule="exact"/>
        <w:rPr>
          <w:rFonts w:ascii="Times New Roman" w:cs="Times New Roman" w:eastAsia="Times New Roman" w:hAnsi="Times New Roman"/>
          <w:sz w:val="17"/>
          <w:szCs w:val="17"/>
          <w:color w:val="auto"/>
        </w:rPr>
      </w:pPr>
    </w:p>
    <w:p>
      <w:pPr>
        <w:ind w:left="940" w:right="26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and ability to hire additional management, scientific, and medical personnel;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products that may limit market potential of our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to implement additional internal systems and infrastructure, including financial and reporting systems;</w:t>
      </w:r>
    </w:p>
    <w:p>
      <w:pPr>
        <w:spacing w:after="0" w:line="247" w:lineRule="exact"/>
        <w:rPr>
          <w:rFonts w:ascii="Times New Roman" w:cs="Times New Roman" w:eastAsia="Times New Roman" w:hAnsi="Times New Roman"/>
          <w:sz w:val="17"/>
          <w:szCs w:val="17"/>
          <w:color w:val="auto"/>
        </w:rPr>
      </w:pPr>
    </w:p>
    <w:p>
      <w:pPr>
        <w:ind w:left="940" w:right="320" w:hanging="311"/>
        <w:spacing w:after="0" w:line="27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economic and other terms, timing of and success of our existing collaborations, and any collaboration, licensing, contract manufacturing, or other arrangements into which we may enter in the future, including the timing of receipt of any milestone or royalty payments under these agreements; and</w:t>
      </w:r>
    </w:p>
    <w:p>
      <w:pPr>
        <w:spacing w:after="0" w:line="190"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establishing sales, marketing, and distribution capabilities.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24" w:name="page25"/>
    <w:bookmarkEnd w:id="24"/>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Until we can generate a sufficient amount of product revenue to finance our cash requirements, which we may never do, we expect to finance future cash needs primarily through a combination of strategic collaborations, public or private equity offerings, debt financings,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191"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inception and anticipate continuing to incur losses for the foreseeable future. We may never achieve or sustain profitability.</w:t>
      </w:r>
    </w:p>
    <w:p>
      <w:pPr>
        <w:spacing w:after="0" w:line="168"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have incurred significant losses since our inception. As of December 31, 2025, our accumulated deficit was approximately $1.2 billion. We expect to continue to incur losses for the foreseeable future, and we expect our accumulated deficit to increase as we continue our research and development of, and seek regulatory approvals for, our product candidates, manufacture product and product candidate inventory, prepare for and begin to commercialize any future approved products, and add infrastructure and personnel if needed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99"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 Our expenses would significantly increase to the extent we build out a sales force and other commercially relevant functions to support the commercialization of any of our product candidates.</w:t>
      </w:r>
    </w:p>
    <w:p>
      <w:pPr>
        <w:spacing w:after="0" w:line="197"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and commercializing products with significant market potential. In order to develop or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9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economic downturns, inflation, increases in interest rates, disruption in global supply chains, natural disasters, political crises, geopolitical events, or other macroeconomic conditions, which have in the past and may in the future negatively impact our business and financial performance.</w:t>
      </w:r>
    </w:p>
    <w:p>
      <w:pPr>
        <w:spacing w:after="0" w:line="187"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Over the past several years,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ongoing geopolitical conflicts have created extreme volatility in the global capital markets and is expected to have further global economic consequences, including disruptions of the global supply chain and energy markets. Further, tariffs imposed by either the U.S. government or foreign governments could increase the cost of manufacturing our product candidates, although we are seeking alternative sources for certain components to mitigate supply risk. Any such or other volatility or global market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substantial rights.</w:t>
      </w:r>
    </w:p>
    <w:p>
      <w:pPr>
        <w:spacing w:after="0" w:line="251"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guarantee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other tax attributes may be limited.</w:t>
      </w:r>
    </w:p>
    <w:p>
      <w:pPr>
        <w:spacing w:after="0" w:line="251" w:lineRule="exact"/>
        <w:rPr>
          <w:sz w:val="20"/>
          <w:szCs w:val="20"/>
          <w:color w:val="auto"/>
        </w:rPr>
      </w:pPr>
    </w:p>
    <w:p>
      <w:pPr>
        <w:ind w:right="80" w:firstLine="625"/>
        <w:spacing w:after="0" w:line="259" w:lineRule="auto"/>
        <w:rPr>
          <w:sz w:val="20"/>
          <w:szCs w:val="20"/>
          <w:color w:val="auto"/>
        </w:rPr>
      </w:pPr>
      <w:r>
        <w:rPr>
          <w:rFonts w:ascii="Times New Roman" w:cs="Times New Roman" w:eastAsia="Times New Roman" w:hAnsi="Times New Roman"/>
          <w:sz w:val="17"/>
          <w:szCs w:val="17"/>
          <w:color w:val="auto"/>
        </w:rPr>
        <w:t>U.S. federal net operating loss (NOL) carryforwards generated in taxable periods beginning after December 31, 2017, may be carried forward indefinitely, but the deductibility of such NOL carryforwards in a taxable year is limited to 80% of taxable income in such year. In addition, our ability to utilize portions of our federal NOL carryforwards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2025, we had federal and state NOL carryforwards of approximately $650.0 million and federal research and development tax credits of approximately $108.5 million available. Future changes in stock ownership may also trigger an ownership change and, consequently, another Section 382 limitation. Similar rules may apply under state tax laws. In addition, there may be other limitations under state law on our ability to utilize NOL carryforwards, including temporary suspensions or other limitations on the use of NOL carryforwards s to offset taxable income.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the Development and Commercialization of Our Product Candidates</w:t>
      </w:r>
    </w:p>
    <w:p>
      <w:pPr>
        <w:spacing w:after="0" w:line="16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depend substantially on the success of the clinical development of our product candidates, through our own efforts or those of our collaborators. If we or our collaborators are unable to successfully complete clinical development, obtain additional regulatory approvals and commercialize our product candidates, or experience significant delays in doing so, our business will be materially harmed and we may not be able to generate sufficient revenues and cash flows to continue our operations.</w:t>
      </w:r>
    </w:p>
    <w:p>
      <w:pPr>
        <w:spacing w:after="0" w:line="192"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Our business depends on the successful development, regulatory approval and commercialization of our product candidates. We have invested and will continue to invest a significant portion of our efforts and financial resources in the development of our product candidates. The success of our product candidates depends on many factors, including but not limited to:</w:t>
      </w:r>
    </w:p>
    <w:p>
      <w:pPr>
        <w:spacing w:after="0" w:line="190" w:lineRule="exact"/>
        <w:rPr>
          <w:sz w:val="20"/>
          <w:szCs w:val="20"/>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patient enrollment in, and completion of, clinical trials, as well as completion of nonclinical studies;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acceptability and adequacy of safety, tolerability and efficacy data from our clinical trials and other studies;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financial resources and ability to obtain additional funding for the development of our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regulatory approvals;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6" w:name="page27"/>
    <w:bookmarkEnd w:id="26"/>
    <w:p>
      <w:pPr>
        <w:ind w:left="940" w:right="1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by clinical research organizations (CROs) or other third parties we may retain of their duties to us in a manner that complies with our protocols and applicable laws and that protects the integrity of the resulting data;</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trade secret and other intellectual property protection and regulatory exclusivity;</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we do not infringe, misappropriate or otherwise violate the valid patent, trade secret or other intellectual property rights of third parties;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our product candidates if and when approved;</w:t>
      </w:r>
    </w:p>
    <w:p>
      <w:pPr>
        <w:spacing w:after="0" w:line="24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commercial manufacturing capabilities, either by utilizing our current manufacturing facilities or making arrangements with third-party manufacturers;</w:t>
      </w:r>
    </w:p>
    <w:p>
      <w:pPr>
        <w:spacing w:after="0" w:line="172"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or obtaining sufficient supplies of our product candidates that may be necessary for use in clinical trials for evaluation of our product candidates and commercialization of our products;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favorable reimbursement from third-party payors for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other products;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post-marketing commitments to regulatory agencies following regulatory approval;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acceptable safety profile following regulatory approval.</w:t>
      </w:r>
    </w:p>
    <w:p>
      <w:pPr>
        <w:spacing w:after="0" w:line="24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Drug development involves a lengthy and expensive process, with a highly uncertain outcome. We expect to incur significant additional costs related to the development of our product candidates and may experience delays in completing, or ultimately be unable to complete, the development and commercialization of our other product candidates.</w:t>
      </w:r>
    </w:p>
    <w:p>
      <w:pPr>
        <w:spacing w:after="0" w:line="109"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BLA from the FDA or marketing approval from applicable regulatory authorities outside the United States. Our product candidates are in various stages of development and are subject to the risks of failure inherent in drug development. The approval of a BLA can be a lengthy, expensive and uncertain process. In addition, failure to comply with FDA and non-U.S. regulatory requirements may, either before or after product approval, subject our company or our collaborators to administrative or judicially imposed sanctions, including:</w:t>
      </w:r>
    </w:p>
    <w:p>
      <w:pPr>
        <w:spacing w:after="0" w:line="199" w:lineRule="exact"/>
        <w:rPr>
          <w:sz w:val="20"/>
          <w:szCs w:val="20"/>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conduct clinical trials, including full or partial clinical holds on ongoing or planned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products, manufacturers, manufacturing facilities or manufacturing process;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untitled letters;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detentions or import bans;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w:t>
      </w:r>
    </w:p>
    <w:p>
      <w:pPr>
        <w:spacing w:after="0" w:line="247" w:lineRule="exact"/>
        <w:rPr>
          <w:rFonts w:ascii="Times New Roman" w:cs="Times New Roman" w:eastAsia="Times New Roman" w:hAnsi="Times New Roman"/>
          <w:sz w:val="17"/>
          <w:szCs w:val="17"/>
          <w:color w:val="auto"/>
        </w:rPr>
      </w:pPr>
    </w:p>
    <w:p>
      <w:pPr>
        <w:ind w:left="940" w:right="620" w:hanging="311"/>
        <w:spacing w:after="0" w:line="294"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safety alerts, Dear Healthcare Provider letters, press releases and other communications containing warnings or other safety information about the product;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7" w:name="page28"/>
    <w:bookmarkEnd w:id="27"/>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decrees, corporate integrity agreements, debarment or exclusion from federal healthcare programs;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restrictions on marketing or operations, including costly new manufacturing requirements;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BLAs or supplements to approved BLAs or analogous marketing approvals outside the United States.</w:t>
      </w:r>
    </w:p>
    <w:p>
      <w:pPr>
        <w:spacing w:after="0" w:line="247"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The FDA and foreign regulatory authorities also have substantial discretion in the drug approval process. The number of nonclinical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halt development or deny approval of a product candidate for many reasons, including:</w:t>
      </w:r>
    </w:p>
    <w:p>
      <w:pPr>
        <w:spacing w:after="0" w:line="195" w:lineRule="exact"/>
        <w:rPr>
          <w:sz w:val="20"/>
          <w:szCs w:val="20"/>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not be deemed safe or effective;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may not confirm the positive results from earlier nonclinical studies or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may not find the data from nonclinical studies and clinical trials sufficient or meaningful;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might not approve or might require changes to our manufacturing processes or facilities; or</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may change their approval policies or adopt new regulations.</w:t>
      </w:r>
    </w:p>
    <w:p>
      <w:pPr>
        <w:spacing w:after="0" w:line="247"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91"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168"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We, or our collaborators or investigators, are either currently (or anticipate) initiating, continuing, designing, or supporting clinical trials for molecules that include lorigerlimab, retifanlimab, MGD024, MGC026, MGC028, or other molecules, as monotherapies or in combination with other product candidates. We anticipate in the future collaborators will initiate or continue clinical trials of one or more of our product candidates. The continuation, modification, or commencement of existing or new clinical trials could be substantially delayed or prevented by several factors, including:</w:t>
      </w:r>
    </w:p>
    <w:p>
      <w:pPr>
        <w:spacing w:after="0" w:line="195" w:lineRule="exact"/>
        <w:rPr>
          <w:sz w:val="20"/>
          <w:szCs w:val="20"/>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discussions with the FDA or other regulatory agencies regarding the scope or design of our clinical trials;</w:t>
      </w:r>
    </w:p>
    <w:p>
      <w:pPr>
        <w:spacing w:after="0" w:line="247" w:lineRule="exact"/>
        <w:rPr>
          <w:rFonts w:ascii="Times New Roman" w:cs="Times New Roman" w:eastAsia="Times New Roman" w:hAnsi="Times New Roman"/>
          <w:sz w:val="17"/>
          <w:szCs w:val="17"/>
          <w:color w:val="auto"/>
        </w:rPr>
      </w:pPr>
    </w:p>
    <w:p>
      <w:pPr>
        <w:ind w:left="940" w:right="40" w:hanging="311"/>
        <w:spacing w:after="0" w:line="294" w:lineRule="auto"/>
        <w:tabs>
          <w:tab w:leader="none" w:pos="9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or failure in patient recruitment or enrollment in our or our collaborators’ trials for any reason;</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or failure to obtain regulatory approval or agreement to commence a clinical trial in any of the countries where enrollment is planned;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sufficient funds required for a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on, or other regulatory objections to, a new or ongoing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manufacture sufficient supplies of the product candidate for our clinical trials;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28" w:name="page29"/>
    <w:bookmarkEnd w:id="28"/>
    <w:p>
      <w:pPr>
        <w:ind w:left="940" w:right="280" w:hanging="311"/>
        <w:spacing w:after="0" w:line="294" w:lineRule="auto"/>
        <w:tabs>
          <w:tab w:leader="none" w:pos="9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obtain IRB approval to conduct a clinical trial at a prospective site;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competition of product candidates that are expected to be more effective or have a more favorable safety profile;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potential therapies by competitors.</w:t>
      </w:r>
    </w:p>
    <w:p>
      <w:pPr>
        <w:spacing w:after="0" w:line="247"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The progress or completion of our, or our collaborators', clinical trials have been and could also be substantially delayed or prevented by many factors, including:</w:t>
      </w:r>
    </w:p>
    <w:p>
      <w:pPr>
        <w:spacing w:after="0" w:line="172" w:lineRule="exact"/>
        <w:rPr>
          <w:sz w:val="20"/>
          <w:szCs w:val="20"/>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including severe or unexpected drug-related adverse effects experienced by patients, including actual and possible deaths;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expected site initiation, patient recruitment and enrollment, for any reason;</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patients to complete the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efficacy during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our clinical trials by one or more clinical trial sites;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unwillingness of patients or clinical investigators to follow our clinical trial protocols;</w:t>
      </w:r>
    </w:p>
    <w:p>
      <w:pPr>
        <w:spacing w:after="0" w:line="24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political instability in countries where our trial sites are located, including terrorist attacks, civil unrest and actual or threatened armed conflict;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monitor patients adequately during or after treatment by us, our collaboration partners and/or our CROs;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repeat or terminate clinical trials as a result of inconclusive or negative results or unforeseen complications in testing.</w:t>
      </w:r>
    </w:p>
    <w:p>
      <w:pPr>
        <w:spacing w:after="0" w:line="247" w:lineRule="exact"/>
        <w:rPr>
          <w:sz w:val="20"/>
          <w:szCs w:val="20"/>
          <w:color w:val="auto"/>
        </w:rPr>
      </w:pPr>
    </w:p>
    <w:p>
      <w:pPr>
        <w:ind w:right="20" w:firstLine="625"/>
        <w:spacing w:after="0" w:line="267" w:lineRule="auto"/>
        <w:rPr>
          <w:sz w:val="20"/>
          <w:szCs w:val="20"/>
          <w:color w:val="auto"/>
        </w:rPr>
      </w:pPr>
      <w:r>
        <w:rPr>
          <w:rFonts w:ascii="Times New Roman" w:cs="Times New Roman" w:eastAsia="Times New Roman" w:hAnsi="Times New Roman"/>
          <w:sz w:val="17"/>
          <w:szCs w:val="17"/>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200" w:lineRule="exact"/>
        <w:rPr>
          <w:sz w:val="20"/>
          <w:szCs w:val="20"/>
          <w:color w:val="auto"/>
        </w:rPr>
      </w:pPr>
    </w:p>
    <w:p>
      <w:pPr>
        <w:spacing w:after="0" w:line="206" w:lineRule="exact"/>
        <w:rPr>
          <w:sz w:val="20"/>
          <w:szCs w:val="20"/>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conduct the clinical trial in accordance with regulatory requirements or our clinical protocols;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or any determination that a clinical trial presents unacceptable health risks;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trial due to unforeseen costs or other business decisions; and</w:t>
      </w:r>
    </w:p>
    <w:p>
      <w:pPr>
        <w:spacing w:after="0" w:line="247" w:lineRule="exact"/>
        <w:rPr>
          <w:rFonts w:ascii="Times New Roman" w:cs="Times New Roman" w:eastAsia="Times New Roman" w:hAnsi="Times New Roman"/>
          <w:sz w:val="17"/>
          <w:szCs w:val="17"/>
          <w:color w:val="auto"/>
        </w:rPr>
      </w:pPr>
    </w:p>
    <w:p>
      <w:pPr>
        <w:ind w:left="940" w:right="80" w:hanging="311"/>
        <w:spacing w:after="0" w:line="294" w:lineRule="auto"/>
        <w:tabs>
          <w:tab w:leader="none" w:pos="9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breach or pursuant to the terms of any agreement with, or for any other reason by, current or future collaborators that have responsibility for the clinical development of any of our product candidates.</w:t>
      </w:r>
    </w:p>
    <w:p>
      <w:pPr>
        <w:spacing w:after="0" w:line="172" w:lineRule="exact"/>
        <w:rPr>
          <w:sz w:val="20"/>
          <w:szCs w:val="20"/>
          <w:color w:val="auto"/>
        </w:rPr>
      </w:pPr>
    </w:p>
    <w:p>
      <w:pPr>
        <w:jc w:val="both"/>
        <w:ind w:right="40" w:firstLine="625"/>
        <w:spacing w:after="0" w:line="268" w:lineRule="auto"/>
        <w:rPr>
          <w:sz w:val="20"/>
          <w:szCs w:val="20"/>
          <w:color w:val="auto"/>
        </w:rPr>
      </w:pPr>
      <w:r>
        <w:rPr>
          <w:rFonts w:ascii="Times New Roman" w:cs="Times New Roman" w:eastAsia="Times New Roman" w:hAnsi="Times New Roman"/>
          <w:sz w:val="17"/>
          <w:szCs w:val="17"/>
          <w:color w:val="auto"/>
        </w:rPr>
        <w:t>Clinical trials of our product candidates are subject to partial or full clinical holds from time to time.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91"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9" w:name="page30"/>
    <w:bookmarkEnd w:id="29"/>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continued or ongoing accrual of data. In addition, the results of our current and planned clinical trials may not satisfy the requirements of the FDA or non-U.S. regulatory authorities for product approval.</w:t>
      </w:r>
    </w:p>
    <w:p>
      <w:pPr>
        <w:spacing w:after="0" w:line="168"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nonclinical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99"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products or product candidates in the U.S. or in other jurisdictions.</w:t>
      </w:r>
    </w:p>
    <w:p>
      <w:pPr>
        <w:spacing w:after="0" w:line="195" w:lineRule="exact"/>
        <w:rPr>
          <w:sz w:val="20"/>
          <w:szCs w:val="20"/>
          <w:color w:val="auto"/>
        </w:rPr>
      </w:pPr>
    </w:p>
    <w:p>
      <w:pPr>
        <w:ind w:right="4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Certain of our antibody-drug conjugate, or ADC, product candidates incorporate technology developed by our collaboration partners. To date, no ADC product candidates incorporating any such technology have been approved by the FDA.</w:t>
      </w:r>
    </w:p>
    <w:p>
      <w:pPr>
        <w:spacing w:after="0" w:line="168" w:lineRule="exact"/>
        <w:rPr>
          <w:sz w:val="20"/>
          <w:szCs w:val="20"/>
          <w:color w:val="auto"/>
        </w:rPr>
      </w:pPr>
    </w:p>
    <w:p>
      <w:pPr>
        <w:ind w:right="60" w:firstLine="625"/>
        <w:spacing w:after="0" w:line="249" w:lineRule="auto"/>
        <w:rPr>
          <w:sz w:val="20"/>
          <w:szCs w:val="20"/>
          <w:color w:val="auto"/>
        </w:rPr>
      </w:pPr>
      <w:r>
        <w:rPr>
          <w:rFonts w:ascii="Times New Roman" w:cs="Times New Roman" w:eastAsia="Times New Roman" w:hAnsi="Times New Roman"/>
          <w:sz w:val="17"/>
          <w:szCs w:val="17"/>
          <w:color w:val="auto"/>
        </w:rPr>
        <w:t>Certain of our ADC products in development incorporate technology developed by our collaboration partners, including: MGC026 and MGC028 (incorporate Hydraspace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GlycoConnect™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toxSYN® technology developed by our collaboration partner, Synaffix). To date, no ADC product candidates incorporating any of the Hydraspace GlycoConnect® or toxSYN technologies have been approved by the FDA. There is no assurance that the FDA will approve future product candidates using such technologies.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w:t>
      </w:r>
    </w:p>
    <w:p>
      <w:pPr>
        <w:spacing w:after="0" w:line="2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8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A key element of our strategy is to use and expand our technology platforms to continue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product candidates that we identify may not be suitable for initial or continued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201"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0" w:name="page31"/>
    <w:bookmarkEnd w:id="30"/>
    <w:p>
      <w:pPr>
        <w:ind w:right="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if approved, may fail to achieve or maintain market acceptance by physicians, patients, third-party payors and others in the medical community necessary for commercial success.</w:t>
      </w:r>
    </w:p>
    <w:p>
      <w:pPr>
        <w:spacing w:after="0" w:line="168" w:lineRule="exact"/>
        <w:rPr>
          <w:sz w:val="20"/>
          <w:szCs w:val="20"/>
          <w:color w:val="auto"/>
        </w:rPr>
      </w:pPr>
    </w:p>
    <w:p>
      <w:pPr>
        <w:ind w:right="360" w:firstLine="625"/>
        <w:spacing w:after="0" w:line="294" w:lineRule="auto"/>
        <w:rPr>
          <w:sz w:val="20"/>
          <w:szCs w:val="20"/>
          <w:color w:val="auto"/>
        </w:rPr>
      </w:pPr>
      <w:r>
        <w:rPr>
          <w:rFonts w:ascii="Times New Roman" w:cs="Times New Roman" w:eastAsia="Times New Roman" w:hAnsi="Times New Roman"/>
          <w:sz w:val="17"/>
          <w:szCs w:val="17"/>
          <w:color w:val="auto"/>
        </w:rPr>
        <w:t>Our product candidates, if approved, may fail to achieve or maintain market acceptance by physicians, patients, third-party payors and others in the medical community necessary for commercial success.</w:t>
      </w:r>
    </w:p>
    <w:p>
      <w:pPr>
        <w:spacing w:after="0" w:line="172"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If product candidates that we develop do not achieve an adequate level of acceptance, we may not generate significant product revenues and we may not become profitable. The degree of market acceptance of any product candidates that we develop will depend on a number of factors, including but not limited to:</w:t>
      </w:r>
    </w:p>
    <w:p>
      <w:pPr>
        <w:spacing w:after="0" w:line="172" w:lineRule="exact"/>
        <w:rPr>
          <w:sz w:val="20"/>
          <w:szCs w:val="20"/>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compared to alternative treatments;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safety events that may have occurred in connection with the development of the product candidate;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ease of administration compared to alternative treatments;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the product or other new therapies, and of the patient population to try the product or these therapies;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marketing, sales, and distribution support;</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coverage and adequate reimbursement;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products together with other medications.</w:t>
      </w:r>
    </w:p>
    <w:p>
      <w:pPr>
        <w:spacing w:after="0" w:line="24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The potential market opportunities for our product candidates are difficult to precisely estimate. A product’s market acceptance depends significantly on the medical community’s determination of clinical benefit and safety compared to alternative therapies available both now and in the future. Our internal estimates of the potential market opportunities our product candidates include several key assumptions based on a variety of factors, which may include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our product candidates could be smaller than our estimates of our potential market opportunity.</w:t>
      </w:r>
    </w:p>
    <w:p>
      <w:pPr>
        <w:spacing w:after="0" w:line="19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have undesirable side effects, including fatalities. These side effects may delay or prevent further clinical development or marketing approval, or, if approval is received, require them to be taken off the market, require them to include safety warnings or otherwise limit their sales.</w:t>
      </w:r>
    </w:p>
    <w:p>
      <w:pPr>
        <w:spacing w:after="0" w:line="168"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Although all of our product candidates have undergone or will undergo safety testing, not all adverse effects of drugs can be predicted or anticipated. Unforeseen side effects from any of our product candidates have arisen, either during clinical development or after the approved product has been marketed, and may arise in the future. Ongoing or future trials of our product candidates may not support the conclusion that one or more of these product candidates have acceptable safety profiles.</w:t>
      </w:r>
    </w:p>
    <w:p>
      <w:pPr>
        <w:spacing w:after="0" w:line="195"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The results of future clinical or nonclinical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risk management measures, or potential product liability claims. These risks have affected our business and may continue to do so. For example, in July 2024, we announced the discontinuation of vobra duo treatment of mCRPC patients in our TAMARACK study based on the recommendation of the study’s Independent Data Monitoring Committee (IDMC). The investigators for the TAMARACK study have reported a total of 11 treatment-related deaths across all patient types (6.1% of the 180 patients who received treatment). These patient deaths occurred between 87 days and 339 days after commencing treatment with vobra duo. In addition, in February 2026, we announced the FDA initiated a partial clinical hold on the LINNET study of lorigerlimab. The partial clinical hold was initiated by the FDA following the Company’s notification to the FDA of a temporary pause in enrollment of new participants in the LINNET trial due to the occurrence of recent safety events. The safety events that prompted the enrollment pause occurred across four patients and included Grade 4 thrombocytopenia (N=2), Grade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31" w:name="page32"/>
    <w:bookmarkEnd w:id="31"/>
    <w:p>
      <w:pPr>
        <w:ind w:right="180"/>
        <w:spacing w:after="0" w:line="294" w:lineRule="auto"/>
        <w:rPr>
          <w:sz w:val="20"/>
          <w:szCs w:val="20"/>
          <w:color w:val="auto"/>
        </w:rPr>
      </w:pPr>
      <w:r>
        <w:rPr>
          <w:rFonts w:ascii="Times New Roman" w:cs="Times New Roman" w:eastAsia="Times New Roman" w:hAnsi="Times New Roman"/>
          <w:sz w:val="17"/>
          <w:szCs w:val="17"/>
          <w:color w:val="auto"/>
        </w:rPr>
        <w:t>4 myocarditis (N=1), and Grade 4 neutropenia and concurrent septic shock (N=1) which led to a Grade 5 event.  Under the partial clinical hold, no new patients will be enrolled in the LINNET study until the partial hold is lifted by the FDA.</w:t>
      </w:r>
    </w:p>
    <w:p>
      <w:pPr>
        <w:spacing w:after="0" w:line="172"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Even if our product candidates are approved for marketing, and we or others later identify undesirable or unacceptable side effects potentially caused by such products:</w:t>
      </w:r>
    </w:p>
    <w:p>
      <w:pPr>
        <w:spacing w:after="0" w:line="172" w:lineRule="exact"/>
        <w:rPr>
          <w:sz w:val="20"/>
          <w:szCs w:val="20"/>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us to take our approved product off the market;</w:t>
      </w:r>
    </w:p>
    <w:p>
      <w:pPr>
        <w:spacing w:after="0" w:line="247" w:lineRule="exact"/>
        <w:rPr>
          <w:rFonts w:ascii="Times New Roman" w:cs="Times New Roman" w:eastAsia="Times New Roman" w:hAnsi="Times New Roman"/>
          <w:sz w:val="17"/>
          <w:szCs w:val="17"/>
          <w:color w:val="auto"/>
        </w:rPr>
      </w:pPr>
    </w:p>
    <w:p>
      <w:pPr>
        <w:ind w:left="940" w:right="64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specific warnings, a contraindication or field alerts to physicians and pharmacies;</w:t>
      </w:r>
    </w:p>
    <w:p>
      <w:pPr>
        <w:spacing w:after="0" w:line="172" w:lineRule="exact"/>
        <w:rPr>
          <w:rFonts w:ascii="Times New Roman" w:cs="Times New Roman" w:eastAsia="Times New Roman" w:hAnsi="Times New Roman"/>
          <w:sz w:val="17"/>
          <w:szCs w:val="17"/>
          <w:color w:val="auto"/>
        </w:rPr>
      </w:pPr>
    </w:p>
    <w:p>
      <w:pPr>
        <w:ind w:left="940" w:right="26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 impose other risk-management measures, conduct additional clinical trials or change the labeling of the product;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limitations on how we may promote the product;</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the product may decrease significantly;</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litigation or product liability claims;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47"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86"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manufacturing facility is subject to significant government regulations and approvals, which are often costly and could result in adverse consequences to our business if we fail to comply with the regulations or maintain the approvals.</w:t>
      </w:r>
    </w:p>
    <w:p>
      <w:pPr>
        <w:spacing w:after="0" w:line="168"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We must comply with the FDA’s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 Additionally, if the FDA or a comparable foreign regulatory authority does not approve of our facilities for the manufacture of a customer product or if it withdraws such approval in the future, our customers may choose to identify alternative manufacturing facilities and/or relationships, which could significantly impact our ability to expand our CDMO capacity and capabilities and achieve profitability.</w:t>
      </w:r>
    </w:p>
    <w:p>
      <w:pPr>
        <w:spacing w:after="0" w:line="204"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manufacturing facility is not currently being primarily utilized for the production of our own product candidates, and we may not be able to efficiently and effectively offset the costs of maintaining the facility through contract manufacturing services for third parties in the future.</w:t>
      </w:r>
    </w:p>
    <w:p>
      <w:pPr>
        <w:spacing w:after="0" w:line="168"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We maintain a cGMP manufacturing facility in Rockville, Maryland at which we manufacture our own product candidates and we also provide outsourced contract development and manufacturing (CDMO) services to our collaborators and other third parties to offset a significant portion of the operating costs of the facility. While we have been able to secure sufficient CDMO engagements to date to substantially offset our facility costs, there can be no assurance that we will continue to be able to do so in the future. Our ability to generate contract manufacturing revenue sufficient to cover the costs of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2" w:name="page33"/>
    <w:bookmarkEnd w:id="32"/>
    <w:p>
      <w:pPr>
        <w:ind w:right="120"/>
        <w:spacing w:after="0" w:line="265" w:lineRule="auto"/>
        <w:rPr>
          <w:sz w:val="20"/>
          <w:szCs w:val="20"/>
          <w:color w:val="auto"/>
        </w:rPr>
      </w:pPr>
      <w:r>
        <w:rPr>
          <w:rFonts w:ascii="Times New Roman" w:cs="Times New Roman" w:eastAsia="Times New Roman" w:hAnsi="Times New Roman"/>
          <w:sz w:val="17"/>
          <w:szCs w:val="17"/>
          <w:color w:val="auto"/>
        </w:rPr>
        <w:t>facility depends on a number of factors, including demand for outsourced biologic manufacturing capacity among potential customers, the competitive pricing environment for CDMO services, our ability to schedule and manage production runs for multiple customers without disruption, and the regulatory standing of our facility. Securing and managing these engagements also requires a meaningful allocation of management time and attention that could otherwise be directed toward our core research and development activities. If we are unable to maintain a sufficient level of CDMO utilization, we will incur facility operating costs that are not offset by revenue, increasing our net cash expenditures and potentially accelerating the timeline for additional financing.</w:t>
      </w:r>
    </w:p>
    <w:p>
      <w:pPr>
        <w:spacing w:after="0" w:line="193"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and if our competitors continue to develop and market products that are more effective, safer or less expensive than our product candidates or if they are ahead of us in development, our current or future commercial opportunities may be negatively impacted.</w:t>
      </w:r>
    </w:p>
    <w:p>
      <w:pPr>
        <w:spacing w:after="0" w:line="168"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and including in China where research and development capabilities have expanded significantly.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w:t>
      </w:r>
    </w:p>
    <w:p>
      <w:pPr>
        <w:spacing w:after="0" w:line="204"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w:t>
      </w:r>
    </w:p>
    <w:p>
      <w:pPr>
        <w:spacing w:after="0" w:line="195" w:lineRule="exact"/>
        <w:rPr>
          <w:sz w:val="20"/>
          <w:szCs w:val="20"/>
          <w:color w:val="auto"/>
        </w:rPr>
      </w:pPr>
    </w:p>
    <w:p>
      <w:pPr>
        <w:jc w:val="both"/>
        <w:ind w:right="180" w:firstLine="625"/>
        <w:spacing w:after="0" w:line="268" w:lineRule="auto"/>
        <w:rPr>
          <w:sz w:val="20"/>
          <w:szCs w:val="20"/>
          <w:color w:val="auto"/>
        </w:rPr>
      </w:pPr>
      <w:r>
        <w:rPr>
          <w:rFonts w:ascii="Times New Roman" w:cs="Times New Roman" w:eastAsia="Times New Roman" w:hAnsi="Times New Roman"/>
          <w:sz w:val="17"/>
          <w:szCs w:val="17"/>
          <w:color w:val="auto"/>
        </w:rPr>
        <w:t>The commercial opportunity for future product candidates may be reduced or limited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biosimilar products.</w:t>
      </w:r>
    </w:p>
    <w:p>
      <w:pPr>
        <w:spacing w:after="0" w:line="195" w:lineRule="exact"/>
        <w:rPr>
          <w:sz w:val="20"/>
          <w:szCs w:val="20"/>
          <w:color w:val="auto"/>
        </w:rPr>
      </w:pPr>
    </w:p>
    <w:p>
      <w:pPr>
        <w:ind w:right="200" w:firstLine="625"/>
        <w:spacing w:after="0" w:line="263" w:lineRule="auto"/>
        <w:rPr>
          <w:sz w:val="20"/>
          <w:szCs w:val="20"/>
          <w:color w:val="auto"/>
        </w:rPr>
      </w:pPr>
      <w:r>
        <w:rPr>
          <w:rFonts w:ascii="Times New Roman" w:cs="Times New Roman" w:eastAsia="Times New Roman" w:hAnsi="Times New Roman"/>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profitable.</w:t>
      </w:r>
    </w:p>
    <w:p>
      <w:pPr>
        <w:spacing w:after="0" w:line="19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manufacture of products or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products or product candidates for ourselves or our collaborators, if and when approved.</w:t>
      </w:r>
    </w:p>
    <w:p>
      <w:pPr>
        <w:spacing w:after="0" w:line="19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We currently manufacture product and product candidates for ourselves and our collaborators in our in-house manufacturing facility, and we anticipate manufacturing both commercial product as well as product candidates in the future. We have limited experience in manufacturing at commercial scale. The process of commercial or clinical biotechnology manufacturing for ourselves and our collaborators is highly susceptible to delays or product loss due to a variety of factors, including but not limited to contamination, equipment failure, improper installation or operation of equipment, vendor 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3" w:name="page34"/>
    <w:bookmarkEnd w:id="33"/>
    <w:p>
      <w:pPr>
        <w:spacing w:after="0" w:line="260" w:lineRule="auto"/>
        <w:rPr>
          <w:sz w:val="20"/>
          <w:szCs w:val="20"/>
          <w:color w:val="auto"/>
        </w:rPr>
      </w:pPr>
      <w:r>
        <w:rPr>
          <w:rFonts w:ascii="Times New Roman" w:cs="Times New Roman" w:eastAsia="Times New Roman" w:hAnsi="Times New Roman"/>
          <w:sz w:val="17"/>
          <w:szCs w:val="17"/>
          <w:color w:val="auto"/>
        </w:rPr>
        <w:t>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our products or product candidates or in the manufacturing facilities in which our products and our product candidates are made, such manufacturing facilities may need to be closed for an extended period of time to investigate and remedy the contamination. Any adverse developments affecting manufacturing operations for our products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a product or a product candidate for one of our collaborators, our collaborator may terminate our agreement.</w:t>
      </w:r>
    </w:p>
    <w:p>
      <w:pPr>
        <w:spacing w:after="0" w:line="204" w:lineRule="exact"/>
        <w:rPr>
          <w:sz w:val="20"/>
          <w:szCs w:val="20"/>
          <w:color w:val="auto"/>
        </w:rPr>
      </w:pPr>
    </w:p>
    <w:p>
      <w:pPr>
        <w:jc w:val="both"/>
        <w:ind w:right="100" w:firstLine="625"/>
        <w:spacing w:after="0" w:line="268" w:lineRule="auto"/>
        <w:rPr>
          <w:sz w:val="20"/>
          <w:szCs w:val="20"/>
          <w:color w:val="auto"/>
        </w:rPr>
      </w:pPr>
      <w:r>
        <w:rPr>
          <w:rFonts w:ascii="Times New Roman" w:cs="Times New Roman" w:eastAsia="Times New Roman" w:hAnsi="Times New Roman"/>
          <w:sz w:val="17"/>
          <w:szCs w:val="17"/>
          <w:color w:val="auto"/>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our products or product candidates.</w:t>
      </w:r>
    </w:p>
    <w:p>
      <w:pPr>
        <w:spacing w:after="0" w:line="195" w:lineRule="exact"/>
        <w:rPr>
          <w:sz w:val="20"/>
          <w:szCs w:val="20"/>
          <w:color w:val="auto"/>
        </w:rPr>
      </w:pPr>
    </w:p>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Further, our manufacturing activities require financial and managerial resources that might otherwise be focused on our research and development activities and may require us to forego or delay the pursuit of other clinical development opportunities that may have greater potential to be profitable, which would materially and adversely impact our business and financial position.</w:t>
      </w:r>
    </w:p>
    <w:p>
      <w:pPr>
        <w:spacing w:after="0" w:line="186"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launching and marketing approved products. If our products achieve regulatory approval and we are unable to further develop marketing and sales capabilities or enter into agreements with third parties to market and sell our products we may not be able to generate substantial product sales revenue.</w:t>
      </w:r>
    </w:p>
    <w:p>
      <w:pPr>
        <w:spacing w:after="0" w:line="187"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We continue to have limited internal commercialization capabilities, and the commercialization of any future products or product candidates that we may develop or in-license, will require building, or contracting for, capabilities, which will require significant capital expenditures, management resources and time. For example, we have limited experience in building and managing a commercial team, conducting a comprehensive market analysis or managing distributors and a field force for our products. We will compete with many companies that currently have extensive and well-funded sales and marketing operations with respect to any approved products.</w:t>
      </w:r>
    </w:p>
    <w:p>
      <w:pPr>
        <w:spacing w:after="0" w:line="197"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additional collaborative arrangements regarding the sales and marketing of our products. However, there can be no assurance that we will be able to establish or maintain such collaborative arrangements, or if we are able to do so, that they will be effective. There can be no assurance that we will be able to develop or successfully maintain internal sales and commercial capabilities or establish or maintain relationships with third-party collaborators to successfully commercialize any product, and as a result, we may not be able to generate substantial product sales revenue.</w:t>
      </w:r>
    </w:p>
    <w:p>
      <w:pPr>
        <w:spacing w:after="0" w:line="195" w:lineRule="exact"/>
        <w:rPr>
          <w:sz w:val="20"/>
          <w:szCs w:val="20"/>
          <w:color w:val="auto"/>
        </w:rPr>
      </w:pPr>
    </w:p>
    <w:p>
      <w:pPr>
        <w:ind w:right="6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68"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or collectively,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executive, judicial and Congressional challenges and</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863" w:right="419" w:bottom="1440" w:gutter="0" w:footer="0" w:header="0"/>
        </w:sectPr>
      </w:pPr>
    </w:p>
    <w:bookmarkStart w:id="34" w:name="page35"/>
    <w:bookmarkEnd w:id="34"/>
    <w:p>
      <w:pPr>
        <w:ind w:right="160"/>
        <w:spacing w:after="0" w:line="279" w:lineRule="auto"/>
        <w:rPr>
          <w:sz w:val="20"/>
          <w:szCs w:val="20"/>
          <w:color w:val="auto"/>
        </w:rPr>
      </w:pPr>
      <w:r>
        <w:rPr>
          <w:rFonts w:ascii="Times New Roman" w:cs="Times New Roman" w:eastAsia="Times New Roman" w:hAnsi="Times New Roman"/>
          <w:sz w:val="17"/>
          <w:szCs w:val="17"/>
          <w:color w:val="auto"/>
        </w:rPr>
        <w:t>amendments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w:t>
      </w:r>
    </w:p>
    <w:p>
      <w:pPr>
        <w:spacing w:after="0" w:line="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0" w:lineRule="exact"/>
        <w:rPr>
          <w:sz w:val="20"/>
          <w:szCs w:val="20"/>
          <w:color w:val="auto"/>
        </w:rPr>
      </w:pPr>
    </w:p>
    <w:p>
      <w:pPr>
        <w:spacing w:after="0" w:line="210"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w:t>
      </w:r>
    </w:p>
    <w:p>
      <w:pPr>
        <w:spacing w:after="0" w:line="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strategies and profitability, while increasing their operational costs and compliance risks. In June 2024, in Loper Bright Enterprises v. Raimondo, or Loper Bright,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5" w:lineRule="exact"/>
        <w:rPr>
          <w:sz w:val="20"/>
          <w:szCs w:val="20"/>
          <w:color w:val="auto"/>
        </w:rPr>
      </w:pPr>
    </w:p>
    <w:p>
      <w:pPr>
        <w:ind w:right="440" w:firstLine="625"/>
        <w:spacing w:after="0" w:line="274"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ind w:right="120" w:firstLine="625"/>
        <w:spacing w:after="0" w:line="272"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or judicial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we may not achieve or sustain profitability.</w:t>
      </w:r>
    </w:p>
    <w:p>
      <w:pPr>
        <w:spacing w:after="0" w:line="399"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68"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Market acceptance and sales of our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 available or is available on a limited basis, or if the reimbursement amount for our products is inadequate to support a product’s price, we may not be able to successfully commercialize any of our approved products.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5" w:name="page36"/>
    <w:bookmarkEnd w:id="35"/>
    <w:p>
      <w:pPr>
        <w:ind w:right="180" w:firstLine="625"/>
        <w:spacing w:after="0" w:line="261" w:lineRule="auto"/>
        <w:rPr>
          <w:sz w:val="20"/>
          <w:szCs w:val="20"/>
          <w:color w:val="auto"/>
        </w:rPr>
      </w:pPr>
      <w:r>
        <w:rPr>
          <w:rFonts w:ascii="Times New Roman" w:cs="Times New Roman" w:eastAsia="Times New Roman" w:hAnsi="Times New Roman"/>
          <w:sz w:val="17"/>
          <w:szCs w:val="17"/>
          <w:color w:val="auto"/>
        </w:rPr>
        <w:t>There is uncertainty related to third-party payor coverage and reimbursement of newly approved products. In the United States, for example, principal decisions about reimbursement for new products are typically made by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w:t>
      </w:r>
    </w:p>
    <w:p>
      <w:pPr>
        <w:spacing w:after="0" w:line="20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As federal and state governments implement additional health care cost containment measures, including measures to lower prescription drug pricing, we cannot be sure that our products and our product candidates, if approved, will be covered, or remain covered, by private or public payors, and if covered, whether the reimbursement will be perceived by product purchasers as adequate. For example, HHS imposes rebates on many Medicare Part B and Medicare Part D products to penalize price increases that outpace inflation on an annual basis. HHS has also been empowered to negotiate the price of certain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Health reform actions by federal and state governments and health plans may put additional downward pressure on pharmaceutical pricing and health care costs, which could negatively impact coverage and reimbursement for our product or our product candidates, if approved, our revenue, and our ability to compete with other marketed products and to recoup the costs of our research and development.</w:t>
      </w:r>
    </w:p>
    <w:p>
      <w:pPr>
        <w:spacing w:after="0" w:line="200" w:lineRule="exact"/>
        <w:rPr>
          <w:sz w:val="20"/>
          <w:szCs w:val="20"/>
          <w:color w:val="auto"/>
        </w:rPr>
      </w:pPr>
    </w:p>
    <w:p>
      <w:pPr>
        <w:spacing w:after="0" w:line="212"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Increasingly, third-party payors are requiring that biopharmaceutical manufacturers provide them with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 Additionally, we or our collaborators may develop companion diagnostic tests for use with our product candidates where appropriate.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spacing w:after="0" w:line="200" w:lineRule="exact"/>
        <w:rPr>
          <w:sz w:val="20"/>
          <w:szCs w:val="20"/>
          <w:color w:val="auto"/>
        </w:rPr>
      </w:pPr>
    </w:p>
    <w:p>
      <w:pPr>
        <w:spacing w:after="0" w:line="208"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any product liability lawsuits are successfully brought against us or any of our collaborators, we may incur substantial liabilities and may be required to limit commercialization of our products or product candidates.</w:t>
      </w:r>
    </w:p>
    <w:p>
      <w:pPr>
        <w:spacing w:after="0" w:line="168"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spacing w:after="0" w:line="195" w:lineRule="exact"/>
        <w:rPr>
          <w:sz w:val="20"/>
          <w:szCs w:val="20"/>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future approved products;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 sites or entire trial programs;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scrutiny;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6" w:name="page37"/>
    <w:bookmarkEnd w:id="36"/>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costs;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or costly settlement with patients or other claimants;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a change in the indications for which they may be used;</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and scientific resources from our business operations; and</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our product candidates.</w:t>
      </w:r>
    </w:p>
    <w:p>
      <w:pPr>
        <w:spacing w:after="0" w:line="247"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color w:val="auto"/>
        </w:rPr>
        <w:t>With respect to our product candidates that may receive approval for commercial sale or our partners’ products,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200" w:lineRule="exact"/>
        <w:rPr>
          <w:sz w:val="20"/>
          <w:szCs w:val="20"/>
          <w:color w:val="auto"/>
        </w:rPr>
      </w:pPr>
    </w:p>
    <w:p>
      <w:pPr>
        <w:spacing w:after="0" w:line="210"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As of December 31, 2025, we hold $20.0 million in product liability insurance coverage in the aggregate, with a per incident limit of $20.0 million, which may not be adequate to cover all liabilities that we may incur. We may need to increase our insurance coverage when we begin the commercialization of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9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w:t>
      </w:r>
    </w:p>
    <w:p>
      <w:pPr>
        <w:spacing w:after="0" w:line="187" w:lineRule="exact"/>
        <w:rPr>
          <w:sz w:val="20"/>
          <w:szCs w:val="20"/>
          <w:color w:val="auto"/>
        </w:rPr>
      </w:pPr>
    </w:p>
    <w:p>
      <w:pPr>
        <w:jc w:val="both"/>
        <w:ind w:right="40" w:firstLine="625"/>
        <w:spacing w:after="0" w:line="274" w:lineRule="auto"/>
        <w:rPr>
          <w:sz w:val="20"/>
          <w:szCs w:val="20"/>
          <w:color w:val="auto"/>
        </w:rPr>
      </w:pPr>
      <w:r>
        <w:rPr>
          <w:rFonts w:ascii="Times New Roman" w:cs="Times New Roman" w:eastAsia="Times New Roman" w:hAnsi="Times New Roman"/>
          <w:sz w:val="17"/>
          <w:szCs w:val="17"/>
          <w:color w:val="auto"/>
        </w:rPr>
        <w:t>We and our collaborators are subject to extensive ongoing obligations and continued regulatory review from applicable regulatory agencies with respect to any product obtaining regulatory approval, such as continued adverse event reporting requirements and post-marketing commitments, all of which may result in significant expense and limit our and our collaborators' ability to commercialize our current and any future approved products.</w:t>
      </w:r>
    </w:p>
    <w:p>
      <w:pPr>
        <w:spacing w:after="0" w:line="190"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We and the manufacturers of our current and any future approved products are also required, or will be required, to comply with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respective suppliers, fail to comply with applicable regulatory requirements, such noncompliance could result in regulatory action and additional costs to us.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Failure to comply with applicable FDA and other regulatory requirements may subject us to administrative or judicially imposed sanctions, including:</w:t>
      </w:r>
    </w:p>
    <w:p>
      <w:pPr>
        <w:spacing w:after="0" w:line="247" w:lineRule="exact"/>
        <w:rPr>
          <w:sz w:val="20"/>
          <w:szCs w:val="20"/>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Form FDA 483 notices or Warning Letters by the FDA or other regulatory agencies;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fines and other civil penalties;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7" w:name="page38"/>
    <w:bookmarkEnd w:id="37"/>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suspensions or revocations of regulatory approvals;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manufacturing;</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commercialization;</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submitted by us;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refusals to permit drugs to be imported into or exported from the United States;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operations, including costly new manufacturing requirements; and</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seizures.</w:t>
      </w:r>
    </w:p>
    <w:p>
      <w:pPr>
        <w:spacing w:after="0" w:line="247"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policies of the FDA and other regulatory agencies may change and additional government regulations may be enacted that could prevent or delay regulatory approval of our product candidates,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w:t>
      </w:r>
    </w:p>
    <w:p>
      <w:pPr>
        <w:spacing w:after="0" w:line="191"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and/or our collaboration partners may never obtain approval or commercialize our products outside of the United States, which would limit our ability to realize their full market potential.</w:t>
      </w:r>
    </w:p>
    <w:p>
      <w:pPr>
        <w:spacing w:after="0" w:line="168"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nonclinical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Further, even if a product candidate receives regulatory approval outside of the United States, the collaborator may not commercialize the product or may not commercialize the product effectively. If we fail to comply with regulatory requirements in international markets or to obtain and maintain required approvals, our target market will be reduced and our ability to realize the full market potential of our products will be harmed.</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or government efficiency initiatives for the FDA and other government agencies could reduce agency staffing or hinder agency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2"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funding and staffing levels, ability to hire and retain key personnel and accept the payment of user fees, and statutory, regulatory and policy changes. Average review times at the agency have fluctuated in recent years as a result and may fluctuate significantly in the future. In addition, government funding and staffing levels of other government agencies on which our operations may rely, including those that fund research and development activities is subject to the political process, which is inherently fluid and unpredictable.</w:t>
      </w:r>
    </w:p>
    <w:p>
      <w:pPr>
        <w:spacing w:after="0" w:line="197"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past decade, the U.S. government has shut down several times and certain regulatory agencies, such as the FDA, have had to furlough critical FDA, and other government employees and pause or stop critical activities. If a prolonged government shutdown occurs, or if FDA or other government employees’ positions are eliminated or become vacant, it could significantly impact the ability of the FDA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38" w:name="page39"/>
    <w:bookmarkEnd w:id="38"/>
    <w:p>
      <w:pPr>
        <w:ind w:right="3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spacing w:after="0" w:line="16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w:t>
      </w:r>
    </w:p>
    <w:p>
      <w:pPr>
        <w:spacing w:after="0" w:line="190"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Additionally, there is inherent risk, based on the complex relationships among the United States and the countries in which we plan to conduct business in, that political, diplomatic, and national security factors can lead to global trade restrictions and changes in trade policies and export regulations that may adversely affect our business and operations. The United States and other countries have imposed and may continue to impose new trade restrictions and export regulations, have levied tariffs and taxes on certain goods, and could significantly increase tariffs on a broad array of goods. Overall, changes in international trade relations, such as the imposition of or increase in tariffs or other trade barriers, could materially and adversely impact our costs, the ability to make sales of our product candidates to any of our significant customers in other countries, and reduce the competitiveness of our product candidates.</w:t>
      </w:r>
    </w:p>
    <w:p>
      <w:pPr>
        <w:spacing w:after="0" w:line="195"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Public health crises such as pandemics or similar outbreaks may have a significant negative impact on our clinical trials, nonclinical studies, development, manufacturing and commercialization of our product candidates and other aspects of our business, staff, and operations.</w:t>
      </w:r>
    </w:p>
    <w:p>
      <w:pPr>
        <w:spacing w:after="0" w:line="168"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may have a material impact our business. For instance, the COVID-19 pandemic impaired, and future public health crises may in the future impair, our ability to enroll patients in clinical trials, continue ongoing clinical trials and activate clinical trial sites. Further, patients may be unable or unwilling to enroll in our clinical trials or be unable to comply with clinical trial protocols if public health restrictions impede patient movement or interrupt healthcare services. Public health crises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public health crises could adversely affect our ability to seek and obtain regulatory approval for and to commercialize any approved product candidates, increase our operating expenses and have a material adverse effect on our business and financial results.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4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90"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We have limited capabilities for drug development and have little to no internal capability for sales, marketing or distribution. We have entered into collaborations with other companies that we believe can provide such capabilities, including our agreements with, for example, Gilead Sciences, Inc, and Incyte Corporation. These current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197" w:lineRule="exact"/>
        <w:rPr>
          <w:sz w:val="20"/>
          <w:szCs w:val="20"/>
          <w:color w:val="auto"/>
        </w:rPr>
      </w:pPr>
    </w:p>
    <w:p>
      <w:pPr>
        <w:ind w:left="780" w:hanging="307"/>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247" w:lineRule="exact"/>
        <w:rPr>
          <w:rFonts w:ascii="Times New Roman" w:cs="Times New Roman" w:eastAsia="Times New Roman" w:hAnsi="Times New Roman"/>
          <w:sz w:val="17"/>
          <w:szCs w:val="17"/>
          <w:color w:val="auto"/>
        </w:rPr>
      </w:pPr>
    </w:p>
    <w:p>
      <w:pPr>
        <w:ind w:left="780" w:right="20" w:hanging="307"/>
        <w:spacing w:after="0" w:line="27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0" w:lineRule="exact"/>
        <w:rPr>
          <w:rFonts w:ascii="Times New Roman" w:cs="Times New Roman" w:eastAsia="Times New Roman" w:hAnsi="Times New Roman"/>
          <w:sz w:val="17"/>
          <w:szCs w:val="17"/>
          <w:color w:val="auto"/>
        </w:rPr>
      </w:pPr>
    </w:p>
    <w:p>
      <w:pPr>
        <w:ind w:left="780" w:right="280" w:hanging="307"/>
        <w:spacing w:after="0" w:line="29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39" w:name="page40"/>
    <w:bookmarkEnd w:id="39"/>
    <w:p>
      <w:pPr>
        <w:ind w:left="780" w:right="180" w:hanging="307"/>
        <w:spacing w:after="0" w:line="27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90" w:lineRule="exact"/>
        <w:rPr>
          <w:rFonts w:ascii="Times New Roman" w:cs="Times New Roman" w:eastAsia="Times New Roman" w:hAnsi="Times New Roman"/>
          <w:sz w:val="17"/>
          <w:szCs w:val="17"/>
          <w:color w:val="auto"/>
        </w:rPr>
      </w:pPr>
    </w:p>
    <w:p>
      <w:pPr>
        <w:ind w:left="780" w:right="500" w:hanging="307"/>
        <w:spacing w:after="0" w:line="29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2" w:lineRule="exact"/>
        <w:rPr>
          <w:rFonts w:ascii="Times New Roman" w:cs="Times New Roman" w:eastAsia="Times New Roman" w:hAnsi="Times New Roman"/>
          <w:sz w:val="17"/>
          <w:szCs w:val="17"/>
          <w:color w:val="auto"/>
        </w:rPr>
      </w:pPr>
    </w:p>
    <w:p>
      <w:pPr>
        <w:ind w:left="780" w:right="480" w:hanging="307"/>
        <w:spacing w:after="0" w:line="29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2" w:lineRule="exact"/>
        <w:rPr>
          <w:rFonts w:ascii="Times New Roman" w:cs="Times New Roman" w:eastAsia="Times New Roman" w:hAnsi="Times New Roman"/>
          <w:sz w:val="17"/>
          <w:szCs w:val="17"/>
          <w:color w:val="auto"/>
        </w:rPr>
      </w:pPr>
    </w:p>
    <w:p>
      <w:pPr>
        <w:ind w:left="780" w:right="80" w:hanging="307"/>
        <w:spacing w:after="0" w:line="268"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in payment, or non-payment, of royalties, milestones or other monies owed,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94" w:lineRule="exact"/>
        <w:rPr>
          <w:rFonts w:ascii="Times New Roman" w:cs="Times New Roman" w:eastAsia="Times New Roman" w:hAnsi="Times New Roman"/>
          <w:sz w:val="17"/>
          <w:szCs w:val="17"/>
          <w:color w:val="auto"/>
        </w:rPr>
      </w:pPr>
    </w:p>
    <w:p>
      <w:pPr>
        <w:ind w:left="780" w:right="240" w:hanging="307"/>
        <w:spacing w:after="0" w:line="29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 and</w:t>
      </w:r>
    </w:p>
    <w:p>
      <w:pPr>
        <w:spacing w:after="0" w:line="247" w:lineRule="exact"/>
        <w:rPr>
          <w:rFonts w:ascii="Times New Roman" w:cs="Times New Roman" w:eastAsia="Times New Roman" w:hAnsi="Times New Roman"/>
          <w:sz w:val="17"/>
          <w:szCs w:val="17"/>
          <w:color w:val="auto"/>
        </w:rPr>
      </w:pPr>
    </w:p>
    <w:p>
      <w:pPr>
        <w:ind w:left="780" w:right="100" w:hanging="307"/>
        <w:spacing w:after="0" w:line="27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w:t>
      </w:r>
    </w:p>
    <w:p>
      <w:pPr>
        <w:spacing w:after="0" w:line="190"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w:t>
      </w:r>
    </w:p>
    <w:p>
      <w:pPr>
        <w:spacing w:after="0" w:line="190"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w:t>
      </w:r>
    </w:p>
    <w:p>
      <w:pPr>
        <w:spacing w:after="0" w:line="190"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may in the future decide to collaborate with additional pharmaceutical and biotechnology companies for development and potential commercialization, if approved, our product candidates.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our product candidate.</w:t>
      </w:r>
    </w:p>
    <w:p>
      <w:pPr>
        <w:spacing w:after="0" w:line="204"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If we are unable to reach agreements with suitable collaborators on a timely basis, on acceptable terms, or at all, we may have to curtail the development of our product candidates, reduce or delay one or more of our other development programs, delay the commercialization of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0" w:name="page41"/>
    <w:bookmarkEnd w:id="40"/>
    <w:p>
      <w:pPr>
        <w:ind w:right="60"/>
        <w:spacing w:after="0" w:line="274" w:lineRule="auto"/>
        <w:rPr>
          <w:sz w:val="20"/>
          <w:szCs w:val="20"/>
          <w:color w:val="auto"/>
        </w:rPr>
      </w:pPr>
      <w:r>
        <w:rPr>
          <w:rFonts w:ascii="Times New Roman" w:cs="Times New Roman" w:eastAsia="Times New Roman" w:hAnsi="Times New Roman"/>
          <w:sz w:val="17"/>
          <w:szCs w:val="17"/>
          <w:color w:val="auto"/>
        </w:rPr>
        <w:t>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90"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w:t>
      </w:r>
    </w:p>
    <w:p>
      <w:pPr>
        <w:spacing w:after="0" w:line="1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contract with, and may in the future contract with, third parties for components of the manufacturing of our product candidates, including our antibody drug conjugate candidates. Failure of third-party contractors to successfully perform their obligations could harm our ability to develop or commercialize our product or product candidates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We currently have one cGMP manufacturing facility located in Rockville, Maryland in compliance with cGMP to support future clinical and commercial production of our and our collaborators’ product candidates. We manufacture drug substance lots at this facility that we use for clinical trials of our and our collaborators’ product candidates. We will continue to rely on third parties for bioconjugation to produce ADCs and for fill finish activities, neither of which our cGMP manufacturing facility can currently accommodate.</w:t>
      </w:r>
    </w:p>
    <w:p>
      <w:pPr>
        <w:spacing w:after="0" w:line="195"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We have entered into agreements with contract manufacturing organizations in the past to supplement our clinical supply and internal capacity as we advance product candidates in our pipeline. In addition, in the future, we may use third parties for the manufacture of some or all components of our product candidates for clinical testing, including antibody drug conjugates, as well as for commercial manufacture of some of our product candidates that receive marketing approval and that are not manufactured by us or one of our third-party collaborators.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201" w:lineRule="exact"/>
        <w:rPr>
          <w:sz w:val="20"/>
          <w:szCs w:val="20"/>
          <w:color w:val="auto"/>
        </w:rPr>
      </w:pPr>
    </w:p>
    <w:p>
      <w:pPr>
        <w:ind w:right="400" w:firstLine="625"/>
        <w:spacing w:after="0" w:line="294" w:lineRule="auto"/>
        <w:rPr>
          <w:sz w:val="20"/>
          <w:szCs w:val="20"/>
          <w:color w:val="auto"/>
        </w:rPr>
      </w:pPr>
      <w:r>
        <w:rPr>
          <w:rFonts w:ascii="Times New Roman" w:cs="Times New Roman" w:eastAsia="Times New Roman" w:hAnsi="Times New Roman"/>
          <w:sz w:val="17"/>
          <w:szCs w:val="17"/>
          <w:color w:val="auto"/>
        </w:rPr>
        <w:t>Reliance on third-party manufacturers entails risks to which we would not be subject if we manufactured products or product candidates ourselves, including:</w:t>
      </w:r>
    </w:p>
    <w:p>
      <w:pPr>
        <w:spacing w:after="0" w:line="172" w:lineRule="exact"/>
        <w:rPr>
          <w:sz w:val="20"/>
          <w:szCs w:val="20"/>
          <w:color w:val="auto"/>
        </w:rPr>
      </w:pPr>
    </w:p>
    <w:p>
      <w:pPr>
        <w:ind w:left="780" w:hanging="307"/>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 breach of the manufacturing agreements by the third parties because of factors beyond our control;</w:t>
      </w:r>
    </w:p>
    <w:p>
      <w:pPr>
        <w:spacing w:after="0" w:line="247" w:lineRule="exact"/>
        <w:rPr>
          <w:rFonts w:ascii="Times New Roman" w:cs="Times New Roman" w:eastAsia="Times New Roman" w:hAnsi="Times New Roman"/>
          <w:sz w:val="17"/>
          <w:szCs w:val="17"/>
          <w:color w:val="auto"/>
        </w:rPr>
      </w:pPr>
    </w:p>
    <w:p>
      <w:pPr>
        <w:ind w:left="780" w:right="20" w:hanging="307"/>
        <w:spacing w:after="0" w:line="294"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termination or nonrenewal of the agreements by the third parties before we are able to arrange for a qualified replacement third-party manufacturer; and</w:t>
      </w:r>
    </w:p>
    <w:p>
      <w:pPr>
        <w:spacing w:after="0" w:line="172" w:lineRule="exact"/>
        <w:rPr>
          <w:rFonts w:ascii="Times New Roman" w:cs="Times New Roman" w:eastAsia="Times New Roman" w:hAnsi="Times New Roman"/>
          <w:sz w:val="17"/>
          <w:szCs w:val="17"/>
          <w:color w:val="auto"/>
        </w:rPr>
      </w:pPr>
    </w:p>
    <w:p>
      <w:pPr>
        <w:ind w:left="780" w:right="260" w:hanging="307"/>
        <w:spacing w:after="0" w:line="294"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not be able to secure a manufacturer or manufacturing capacity in a timely manner and on satisfactory terms in order to meet our manufacturing needs.</w:t>
      </w:r>
    </w:p>
    <w:p>
      <w:pPr>
        <w:spacing w:after="0" w:line="17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Any of these factors could adversely impact the development of our product candidates, delay approval of our product candidates, or cause us to incur higher costs or prevent us from commercializing our products or product candidates successfully. Furthermore, if contract manufacturers fail to deliver the required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expectations for our clinical development needs, which would delay our ability to execute and complete clinical trials It may take several years to establish an alternative source of supply for our product candidates and to have any such new source approved by the FDA or any other relevant regulatory authorities.</w:t>
      </w:r>
    </w:p>
    <w:p>
      <w:pPr>
        <w:spacing w:after="0" w:line="19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develop and commercialize companion diagnostics with third party contractors for use with our product candidates could harm our ability to commercialize our product candidates.</w:t>
      </w:r>
    </w:p>
    <w:p>
      <w:pPr>
        <w:spacing w:after="0" w:line="168"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1" w:name="page42"/>
    <w:bookmarkEnd w:id="41"/>
    <w:p>
      <w:pPr>
        <w:ind w:right="100"/>
        <w:spacing w:after="0" w:line="294" w:lineRule="auto"/>
        <w:rPr>
          <w:sz w:val="20"/>
          <w:szCs w:val="20"/>
          <w:color w:val="auto"/>
        </w:rPr>
      </w:pPr>
      <w:r>
        <w:rPr>
          <w:rFonts w:ascii="Times New Roman" w:cs="Times New Roman" w:eastAsia="Times New Roman" w:hAnsi="Times New Roman"/>
          <w:sz w:val="17"/>
          <w:szCs w:val="17"/>
          <w:color w:val="auto"/>
        </w:rPr>
        <w:t>candidates. We do not have experience or capabilities in developing or commercializing diagnostics and are relying, and in the future plan to continue to rely, in large part on third parties to perform these functions.</w:t>
      </w:r>
    </w:p>
    <w:p>
      <w:pPr>
        <w:spacing w:after="0" w:line="172"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190" w:lineRule="exact"/>
        <w:rPr>
          <w:sz w:val="20"/>
          <w:szCs w:val="20"/>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perform their obligations as expected;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encounter production difficulties that could constrain the supply of the companion diagnostic;</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have difficulties gaining acceptance of the use of the companion diagnostic in the clinical community;</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commit sufficient resources to the marketing and distribution of such product; and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terminate their relationship with us.</w:t>
      </w:r>
    </w:p>
    <w:p>
      <w:pPr>
        <w:spacing w:after="0" w:line="247"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If any companion diagnostic for use with one of our product candidates fails to gain market acceptance, our ability to derive revenues from sales of such product candidate could be harmed. If our third-party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191"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68"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are not and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202"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Commercialization collaborations will be important to our business. If we are unable to maintain commercialization collaborations, or if commercialization collaborations are not successful, our business could be adversely affected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300" w:firstLine="625"/>
        <w:spacing w:after="0" w:line="274" w:lineRule="auto"/>
        <w:rPr>
          <w:sz w:val="20"/>
          <w:szCs w:val="20"/>
          <w:color w:val="auto"/>
        </w:rPr>
      </w:pPr>
      <w:r>
        <w:rPr>
          <w:rFonts w:ascii="Times New Roman" w:cs="Times New Roman" w:eastAsia="Times New Roman" w:hAnsi="Times New Roman"/>
          <w:sz w:val="17"/>
          <w:szCs w:val="17"/>
          <w:color w:val="auto"/>
        </w:rPr>
        <w:t>We have limited capabilities for drug commercialization, with little to no internal capability for sales, marketing or distribution. We may enter into commercial collaborations in the future for any approved products or our product candidates. Any future commercialization collaborations we enter into may pose a number of risks, including the following:</w:t>
      </w:r>
    </w:p>
    <w:p>
      <w:pPr>
        <w:spacing w:after="0" w:line="190" w:lineRule="exact"/>
        <w:rPr>
          <w:sz w:val="20"/>
          <w:szCs w:val="20"/>
          <w:color w:val="auto"/>
        </w:rPr>
      </w:pPr>
    </w:p>
    <w:p>
      <w:pPr>
        <w:ind w:left="780" w:hanging="307"/>
        <w:spacing w:after="0"/>
        <w:tabs>
          <w:tab w:leader="none" w:pos="7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have significant discretion in determining the efforts and resources that they will apply to these collaborations;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247" w:lineRule="exact"/>
        <w:rPr>
          <w:rFonts w:ascii="Times New Roman" w:cs="Times New Roman" w:eastAsia="Times New Roman" w:hAnsi="Times New Roman"/>
          <w:sz w:val="17"/>
          <w:szCs w:val="17"/>
          <w:color w:val="auto"/>
        </w:rPr>
      </w:pPr>
    </w:p>
    <w:p>
      <w:pPr>
        <w:jc w:val="both"/>
        <w:ind w:left="780" w:right="20" w:hanging="307"/>
        <w:spacing w:after="0" w:line="27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commercialization our products or any product candidates that achieve regulatory approval or may elect not to continue commercialization based on clinical trial results, changes in the collaborators' strategic focus or other factors that divert resources or create competing priorities;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42" w:name="page43"/>
    <w:bookmarkEnd w:id="42"/>
    <w:p>
      <w:pPr>
        <w:ind w:left="780" w:right="120" w:hanging="307"/>
        <w:spacing w:after="0" w:line="27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w:t>
      </w:r>
    </w:p>
    <w:p>
      <w:pPr>
        <w:spacing w:after="0" w:line="190" w:lineRule="exact"/>
        <w:rPr>
          <w:rFonts w:ascii="Times New Roman" w:cs="Times New Roman" w:eastAsia="Times New Roman" w:hAnsi="Times New Roman"/>
          <w:sz w:val="17"/>
          <w:szCs w:val="17"/>
          <w:color w:val="auto"/>
        </w:rPr>
      </w:pPr>
    </w:p>
    <w:p>
      <w:pPr>
        <w:ind w:left="780" w:right="44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our products or our product candidates that achieve regulatory approval may not commit sufficient resources to the marketing and distribution of such product or products;</w:t>
      </w:r>
    </w:p>
    <w:p>
      <w:pPr>
        <w:spacing w:after="0" w:line="172" w:lineRule="exact"/>
        <w:rPr>
          <w:rFonts w:ascii="Times New Roman" w:cs="Times New Roman" w:eastAsia="Times New Roman" w:hAnsi="Times New Roman"/>
          <w:sz w:val="17"/>
          <w:szCs w:val="17"/>
          <w:color w:val="auto"/>
        </w:rPr>
      </w:pPr>
    </w:p>
    <w:p>
      <w:pPr>
        <w:ind w:left="780" w:hanging="307"/>
        <w:spacing w:after="0" w:line="27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on contract interpretation, commercialization strategy or tactics, might cause delays or termination of the commercialization of products or product candidates, might lead to additional responsibilities for us with respect to our products or product candidates, or might result in litigation or arbitration, any of which would be time-consuming and expensive;</w:t>
      </w:r>
    </w:p>
    <w:p>
      <w:pPr>
        <w:spacing w:after="0" w:line="190" w:lineRule="exact"/>
        <w:rPr>
          <w:rFonts w:ascii="Times New Roman" w:cs="Times New Roman" w:eastAsia="Times New Roman" w:hAnsi="Times New Roman"/>
          <w:sz w:val="17"/>
          <w:szCs w:val="17"/>
          <w:color w:val="auto"/>
        </w:rPr>
      </w:pPr>
    </w:p>
    <w:p>
      <w:pPr>
        <w:ind w:left="780" w:right="8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utilize our intellectual property rights or may use our proprietary information in such a way as to invite litigation that could jeopardize or invalidate our intellectual property or proprietary information or expose us to potential litigation;</w:t>
      </w:r>
    </w:p>
    <w:p>
      <w:pPr>
        <w:spacing w:after="0" w:line="172" w:lineRule="exact"/>
        <w:rPr>
          <w:rFonts w:ascii="Times New Roman" w:cs="Times New Roman" w:eastAsia="Times New Roman" w:hAnsi="Times New Roman"/>
          <w:sz w:val="17"/>
          <w:szCs w:val="17"/>
          <w:color w:val="auto"/>
        </w:rPr>
      </w:pPr>
    </w:p>
    <w:p>
      <w:pPr>
        <w:ind w:left="780" w:right="8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172" w:lineRule="exact"/>
        <w:rPr>
          <w:rFonts w:ascii="Times New Roman" w:cs="Times New Roman" w:eastAsia="Times New Roman" w:hAnsi="Times New Roman"/>
          <w:sz w:val="17"/>
          <w:szCs w:val="17"/>
          <w:color w:val="auto"/>
        </w:rPr>
      </w:pPr>
    </w:p>
    <w:p>
      <w:pPr>
        <w:ind w:left="780" w:right="4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for the convenience of the collaborator and, if terminated, we could be required to raise additional capital to pursue further commercialization of our products or applicable product candidates.</w:t>
      </w:r>
    </w:p>
    <w:p>
      <w:pPr>
        <w:spacing w:after="0" w:line="172" w:lineRule="exact"/>
        <w:rPr>
          <w:sz w:val="20"/>
          <w:szCs w:val="20"/>
          <w:color w:val="auto"/>
        </w:rPr>
      </w:pPr>
    </w:p>
    <w:p>
      <w:pPr>
        <w:ind w:right="600" w:firstLine="625"/>
        <w:spacing w:after="0" w:line="294" w:lineRule="auto"/>
        <w:rPr>
          <w:sz w:val="20"/>
          <w:szCs w:val="20"/>
          <w:color w:val="auto"/>
        </w:rPr>
      </w:pPr>
      <w:r>
        <w:rPr>
          <w:rFonts w:ascii="Times New Roman" w:cs="Times New Roman" w:eastAsia="Times New Roman" w:hAnsi="Times New Roman"/>
          <w:sz w:val="17"/>
          <w:szCs w:val="17"/>
          <w:color w:val="auto"/>
        </w:rPr>
        <w:t>All of the risks relating to commercialization, and health care legal compliance described in this Annual Report on Form 10-K also apply to the commercialization activities of our collaborators.</w:t>
      </w:r>
    </w:p>
    <w:p>
      <w:pPr>
        <w:spacing w:after="0" w:line="172"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one of our collaborators is involved in a business combination, the collaborator might de-emphasize or terminate the development or commercialization of a product candidate licensed to it by us. If one of our collaborators terminates its agreement with us, we may find it more difficult to attract new collaborators for the products in the covered territory or elsewhere. We may also be restricted under commercialization collaboration agreements from entering into future agreements on certain terms with potential collaborators.</w:t>
      </w:r>
    </w:p>
    <w:p>
      <w:pPr>
        <w:spacing w:after="0" w:line="195"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Commercialization collaborations are complex and time-consuming to negotiate and document. If we are unable to reach agreements with suitable collaborators on a timely basis, on acceptable terms, or at all, we may have to curtail the commercialization of a product or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w:t>
      </w:r>
    </w:p>
    <w:p>
      <w:pPr>
        <w:spacing w:after="0" w:line="19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7"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process, collect, receive, store, process, generate, use, transfer, disclose, make accessible, protect, secure, dispose of, transmit, and share (collectively, process) proprietary, confidential, and sensitive data, including personal data (such as health-related data), intellectual property, trade secrets and any other sensitive data the we may process, e.g., business plans, transactions, financial information, etc. (collectively, sensitive information).</w:t>
      </w:r>
    </w:p>
    <w:p>
      <w:pPr>
        <w:spacing w:after="0" w:line="195"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43" w:name="page44"/>
    <w:bookmarkEnd w:id="43"/>
    <w:p>
      <w:pPr>
        <w:ind w:firstLine="625"/>
        <w:spacing w:after="0" w:line="268" w:lineRule="auto"/>
        <w:rPr>
          <w:sz w:val="20"/>
          <w:szCs w:val="20"/>
          <w:color w:val="auto"/>
        </w:rPr>
      </w:pPr>
      <w:r>
        <w:rPr>
          <w:rFonts w:ascii="Times New Roman" w:cs="Times New Roman" w:eastAsia="Times New Roman" w:hAnsi="Times New Roman"/>
          <w:sz w:val="17"/>
          <w:szCs w:val="17"/>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95"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and the third parties with whom we work are subject to a variety of evolving threats, including but not limited to social-engineering attacks (including through deep fakes and the use of Artificial Intelligence (AI),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99" w:lineRule="exact"/>
        <w:rPr>
          <w:sz w:val="20"/>
          <w:szCs w:val="20"/>
          <w:color w:val="auto"/>
        </w:rPr>
      </w:pPr>
    </w:p>
    <w:p>
      <w:pPr>
        <w:ind w:right="260" w:firstLine="625"/>
        <w:spacing w:after="0" w:line="265" w:lineRule="auto"/>
        <w:rPr>
          <w:sz w:val="20"/>
          <w:szCs w:val="20"/>
          <w:color w:val="auto"/>
        </w:rPr>
      </w:pPr>
      <w:r>
        <w:rPr>
          <w:rFonts w:ascii="Times New Roman" w:cs="Times New Roman" w:eastAsia="Times New Roman" w:hAnsi="Times New Roman"/>
          <w:sz w:val="17"/>
          <w:szCs w:val="17"/>
          <w:color w:val="auto"/>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Remote work poses increased risks to our information technology systems and data, as our employees utilize network connections, computers and devices outside our premises or network, including working at home, while in transit and in public locations.</w:t>
      </w:r>
    </w:p>
    <w:p>
      <w:pPr>
        <w:spacing w:after="0" w:line="197" w:lineRule="exact"/>
        <w:rPr>
          <w:sz w:val="20"/>
          <w:szCs w:val="20"/>
          <w:color w:val="auto"/>
        </w:rPr>
      </w:pPr>
    </w:p>
    <w:p>
      <w:pPr>
        <w:ind w:right="80" w:firstLine="625"/>
        <w:spacing w:after="0" w:line="264" w:lineRule="auto"/>
        <w:rPr>
          <w:sz w:val="20"/>
          <w:szCs w:val="20"/>
          <w:color w:val="auto"/>
        </w:rPr>
      </w:pPr>
      <w:r>
        <w:rPr>
          <w:rFonts w:ascii="Times New Roman" w:cs="Times New Roman" w:eastAsia="Times New Roman" w:hAnsi="Times New Roman"/>
          <w:sz w:val="17"/>
          <w:szCs w:val="17"/>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200" w:lineRule="exact"/>
        <w:rPr>
          <w:sz w:val="20"/>
          <w:szCs w:val="20"/>
          <w:color w:val="auto"/>
        </w:rPr>
      </w:pPr>
    </w:p>
    <w:p>
      <w:pPr>
        <w:spacing w:after="0" w:line="210"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95"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We rely on third-parties to operate critical business systems to process sensitive information in a variety of contexts, including, without limitation, encryption and authentication technology, employee email, content delivery to customers, and other functions. Our ability to monitor these third parties’ information security practices is limited, as is our ability to determine whether these third parties may not have adequate information security measures in place. If the third-parties with whom we work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9" w:lineRule="exact"/>
        <w:rPr>
          <w:sz w:val="20"/>
          <w:szCs w:val="20"/>
          <w:color w:val="auto"/>
        </w:rPr>
      </w:pPr>
    </w:p>
    <w:p>
      <w:pPr>
        <w:ind w:right="200" w:firstLine="625"/>
        <w:spacing w:after="0" w:line="271"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w:t>
      </w:r>
    </w:p>
    <w:p>
      <w:pPr>
        <w:spacing w:after="0" w:line="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basis. Further, we have and may in the future experience delays in developing and deploying remedial measures and patches designed to address identified vulnerabilities.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products.</w:t>
      </w:r>
    </w:p>
    <w:p>
      <w:pPr>
        <w:spacing w:after="0" w:line="197"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(including our clinical trial activities) to try to protect against security incidents. Certain data privacy and security obligations may require us to implement and maintain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4" w:name="page45"/>
    <w:bookmarkEnd w:id="44"/>
    <w:p>
      <w:pPr>
        <w:ind w:right="520"/>
        <w:spacing w:after="0" w:line="268" w:lineRule="auto"/>
        <w:rPr>
          <w:sz w:val="20"/>
          <w:szCs w:val="20"/>
          <w:color w:val="auto"/>
        </w:rPr>
      </w:pPr>
      <w:r>
        <w:rPr>
          <w:rFonts w:ascii="Times New Roman" w:cs="Times New Roman" w:eastAsia="Times New Roman" w:hAnsi="Times New Roman"/>
          <w:sz w:val="17"/>
          <w:szCs w:val="17"/>
          <w:color w:val="auto"/>
        </w:rPr>
        <w:t>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95"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spacing w:after="0" w:line="19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5"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significantly on our ability to operate without infringing the valid patents and other proprietary rights of third parties.</w:t>
      </w:r>
    </w:p>
    <w:p>
      <w:pPr>
        <w:spacing w:after="0" w:line="173" w:lineRule="exact"/>
        <w:rPr>
          <w:sz w:val="20"/>
          <w:szCs w:val="20"/>
          <w:color w:val="auto"/>
        </w:rPr>
      </w:pPr>
    </w:p>
    <w:p>
      <w:pPr>
        <w:ind w:right="420" w:firstLine="625"/>
        <w:spacing w:after="0" w:line="274"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the proprietary rights of third parties. Third parties may have or obtain patents or proprietary rights that could limit our ability to make, use, sell, offer for sale or import our future approved products or impair our competitive position.</w:t>
      </w:r>
    </w:p>
    <w:p>
      <w:pPr>
        <w:spacing w:after="0" w:line="19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Third parties could possess patents that we may ultimately be found to infringe, or such third-party patents could issue in the future. Third parties may have or may obtain valid and enforceable patents or proprietary rights that could block us from 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97"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In the biopharmaceutical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172" w:lineRule="exact"/>
        <w:rPr>
          <w:sz w:val="20"/>
          <w:szCs w:val="20"/>
          <w:color w:val="auto"/>
        </w:rPr>
      </w:pPr>
    </w:p>
    <w:p>
      <w:pPr>
        <w:ind w:left="780" w:right="60" w:hanging="307"/>
        <w:spacing w:after="0" w:line="29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72" w:lineRule="exact"/>
        <w:rPr>
          <w:rFonts w:ascii="Times New Roman" w:cs="Times New Roman" w:eastAsia="Times New Roman" w:hAnsi="Times New Roman"/>
          <w:sz w:val="17"/>
          <w:szCs w:val="17"/>
          <w:color w:val="auto"/>
        </w:rPr>
      </w:pPr>
    </w:p>
    <w:p>
      <w:pPr>
        <w:ind w:left="780" w:hanging="307"/>
        <w:spacing w:after="0" w:line="27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spacing w:after="0" w:line="190" w:lineRule="exact"/>
        <w:rPr>
          <w:rFonts w:ascii="Times New Roman" w:cs="Times New Roman" w:eastAsia="Times New Roman" w:hAnsi="Times New Roman"/>
          <w:sz w:val="17"/>
          <w:szCs w:val="17"/>
          <w:color w:val="auto"/>
        </w:rPr>
      </w:pPr>
    </w:p>
    <w:p>
      <w:pPr>
        <w:ind w:left="780" w:right="700" w:hanging="307"/>
        <w:spacing w:after="0" w:line="29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third parties initiate litigation claiming that our processes or products infringe their patent or other intellectual property rights, we and our collaborators will need to defend against such proceedings;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863" w:right="399" w:bottom="1440" w:gutter="0" w:footer="0" w:header="0"/>
        </w:sectPr>
      </w:pPr>
    </w:p>
    <w:bookmarkStart w:id="45" w:name="page46"/>
    <w:bookmarkEnd w:id="45"/>
    <w:p>
      <w:pPr>
        <w:ind w:left="780" w:right="180" w:hanging="307"/>
        <w:spacing w:after="0" w:line="274" w:lineRule="auto"/>
        <w:tabs>
          <w:tab w:leader="none" w:pos="77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90"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pharmaceutical and biotechnology industries have produced a significant number of patents, and it may not always be clear to industry participants, including us, which patents cover various types of products, methods of use, or processes. The coverage of patents is subject to interpretation by the courts, and the interpretation is not always uniform or predictable. If we are sued for patent infringement, we would need to demonstrate that our products, methods, or processes either do not infringe the patent claims of the relevant patent or that the patent claims are invalid, and we may not be able to do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206"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91" w:lineRule="exact"/>
        <w:rPr>
          <w:sz w:val="20"/>
          <w:szCs w:val="20"/>
          <w:color w:val="auto"/>
        </w:rPr>
      </w:pPr>
    </w:p>
    <w:p>
      <w:pPr>
        <w:ind w:right="7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enforce patent protection for our products and our product candidates and related technology, our business could be materially harmed.</w:t>
      </w:r>
    </w:p>
    <w:p>
      <w:pPr>
        <w:spacing w:after="0" w:line="168" w:lineRule="exact"/>
        <w:rPr>
          <w:sz w:val="20"/>
          <w:szCs w:val="20"/>
          <w:color w:val="auto"/>
        </w:rPr>
      </w:pPr>
    </w:p>
    <w:p>
      <w:pPr>
        <w:ind w:firstLine="174"/>
        <w:spacing w:after="0" w:line="260" w:lineRule="auto"/>
        <w:rPr>
          <w:sz w:val="20"/>
          <w:szCs w:val="20"/>
          <w:color w:val="auto"/>
        </w:rPr>
      </w:pPr>
      <w:r>
        <w:rPr>
          <w:rFonts w:ascii="Times New Roman" w:cs="Times New Roman" w:eastAsia="Times New Roman" w:hAnsi="Times New Roman"/>
          <w:sz w:val="17"/>
          <w:szCs w:val="17"/>
          <w:color w:val="auto"/>
        </w:rPr>
        <w:t>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Patent applications in the United States and many foreign jurisdictions are typically not published until 18 months after filing, or in some cases not at all. Publications of discoveries in scientific literature lag behind actual discoveries, thus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can obtain patent protection, it may be of insufficient scope to achieve our business objectives.</w:t>
      </w:r>
    </w:p>
    <w:p>
      <w:pPr>
        <w:spacing w:after="0" w:line="20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strategy depends on our ability to identify and seek patent protection for our discoveries. This process is expensive and time consuming, and we may not be able to file and prosecute all necessary or desirable patent applications at a reasonable cost, in a timely manner, or in all jurisdictions where protection may be commercially advantageous. Despite our efforts to protect our proprietary rights, unauthorized parties may be able to obtain and use information that we regard as proprietary.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6" w:name="page47"/>
    <w:bookmarkEnd w:id="46"/>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The issuance of a patent does not ensure that a court or agency finds or will find the patent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which are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patent position of pharmaceutical or biotechnology companies, including ours, is generally uncertain and involves complex legal and factual considerations. The standards which the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which could be expensive, time consuming and unsuccessful.</w:t>
      </w:r>
    </w:p>
    <w:p>
      <w:pPr>
        <w:spacing w:after="0" w:line="251"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Even after they have been issued, our patents and any patents which we license may be challenged, narrowed, invalidated or circumvented. If our patents are invalidated or otherwise limited or will expire prior to the commercialization of any approved product candidates, other companies may be better able to develop products that compete with ours, which could adversely affect our competitive business position, business prospects and financial condition.</w:t>
      </w:r>
    </w:p>
    <w:p>
      <w:pPr>
        <w:spacing w:after="0" w:line="190"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The following are examples of litigation and other adversarial proceedings or disputes that we could become a party to involving our patents or patents licensed to us:</w:t>
      </w:r>
    </w:p>
    <w:p>
      <w:pPr>
        <w:spacing w:after="0" w:line="172" w:lineRule="exact"/>
        <w:rPr>
          <w:sz w:val="20"/>
          <w:szCs w:val="20"/>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collaborators may initiate litigation or other proceedings against third parties to enforce our patent rights;</w:t>
      </w:r>
    </w:p>
    <w:p>
      <w:pPr>
        <w:spacing w:after="0" w:line="247" w:lineRule="exact"/>
        <w:rPr>
          <w:rFonts w:ascii="Times New Roman" w:cs="Times New Roman" w:eastAsia="Times New Roman" w:hAnsi="Times New Roman"/>
          <w:sz w:val="17"/>
          <w:szCs w:val="17"/>
          <w:color w:val="auto"/>
        </w:rPr>
      </w:pPr>
    </w:p>
    <w:p>
      <w:pPr>
        <w:ind w:left="780" w:right="220" w:hanging="307"/>
        <w:spacing w:after="0" w:line="29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72" w:lineRule="exact"/>
        <w:rPr>
          <w:rFonts w:ascii="Times New Roman" w:cs="Times New Roman" w:eastAsia="Times New Roman" w:hAnsi="Times New Roman"/>
          <w:sz w:val="17"/>
          <w:szCs w:val="17"/>
          <w:color w:val="auto"/>
        </w:rPr>
      </w:pPr>
    </w:p>
    <w:p>
      <w:pPr>
        <w:ind w:left="780" w:right="100" w:hanging="307"/>
        <w:spacing w:after="0" w:line="29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initiate opposition, reexamination or inter partes review proceedings challenging the validity or scope of our patent rights, requiring us or our collaborators and/or licensors to participate in such proceedings to defend the validity and scope of our patents;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a challenge or dispute regarding inventorship or ownership of patents currently identified as being owned by or licensed to us;</w:t>
      </w:r>
    </w:p>
    <w:p>
      <w:pPr>
        <w:spacing w:after="0" w:line="247" w:lineRule="exact"/>
        <w:rPr>
          <w:rFonts w:ascii="Times New Roman" w:cs="Times New Roman" w:eastAsia="Times New Roman" w:hAnsi="Times New Roman"/>
          <w:sz w:val="17"/>
          <w:szCs w:val="17"/>
          <w:color w:val="auto"/>
        </w:rPr>
      </w:pPr>
    </w:p>
    <w:p>
      <w:pPr>
        <w:ind w:left="780" w:right="160" w:hanging="307"/>
        <w:spacing w:after="0" w:line="27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190" w:lineRule="exact"/>
        <w:rPr>
          <w:rFonts w:ascii="Times New Roman" w:cs="Times New Roman" w:eastAsia="Times New Roman" w:hAnsi="Times New Roman"/>
          <w:sz w:val="17"/>
          <w:szCs w:val="17"/>
          <w:color w:val="auto"/>
        </w:rPr>
      </w:pPr>
    </w:p>
    <w:p>
      <w:pPr>
        <w:ind w:left="780" w:right="420" w:hanging="307"/>
        <w:spacing w:after="0" w:line="29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7" w:name="page48"/>
    <w:bookmarkEnd w:id="47"/>
    <w:p>
      <w:pPr>
        <w:ind w:firstLine="625"/>
        <w:spacing w:after="0" w:line="263" w:lineRule="auto"/>
        <w:rPr>
          <w:sz w:val="20"/>
          <w:szCs w:val="20"/>
          <w:color w:val="auto"/>
        </w:rPr>
      </w:pPr>
      <w:r>
        <w:rPr>
          <w:rFonts w:ascii="Times New Roman" w:cs="Times New Roman" w:eastAsia="Times New Roman" w:hAnsi="Times New Roman"/>
          <w:sz w:val="17"/>
          <w:szCs w:val="17"/>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99"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2" w:lineRule="exact"/>
        <w:rPr>
          <w:sz w:val="20"/>
          <w:szCs w:val="20"/>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a platform that is similar to, or better than, ours in a way that is not covered by the claims of our patents;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compounds that are similar to our product candidates but that are not covered by the claims of our patents;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make the inventions covered by patents or pending patent applications;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file patent applications for these inventions;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that we obtain may not provide us with any competitive advantages or may ultimately be found invalid or unenforceable; or</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43"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our intellectual property licenses with third parties, we could lose license rights that are important to our business.</w:t>
      </w:r>
    </w:p>
    <w:p>
      <w:pPr>
        <w:spacing w:after="0" w:line="168" w:lineRule="exact"/>
        <w:rPr>
          <w:sz w:val="20"/>
          <w:szCs w:val="20"/>
          <w:color w:val="auto"/>
        </w:rPr>
      </w:pPr>
    </w:p>
    <w:p>
      <w:pPr>
        <w:ind w:right="120" w:firstLine="625"/>
        <w:spacing w:after="0" w:line="261" w:lineRule="auto"/>
        <w:rPr>
          <w:sz w:val="20"/>
          <w:szCs w:val="20"/>
          <w:color w:val="auto"/>
        </w:rPr>
      </w:pPr>
      <w:r>
        <w:rPr>
          <w:rFonts w:ascii="Times New Roman" w:cs="Times New Roman" w:eastAsia="Times New Roman" w:hAnsi="Times New Roman"/>
          <w:sz w:val="17"/>
          <w:szCs w:val="17"/>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proprietary information, the value of our technology and products could be adversely affected.</w:t>
      </w:r>
    </w:p>
    <w:p>
      <w:pPr>
        <w:spacing w:after="0" w:line="251"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while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8" w:name="page49"/>
    <w:bookmarkEnd w:id="48"/>
    <w:p>
      <w:pPr>
        <w:ind w:firstLine="625"/>
        <w:spacing w:after="0" w:line="265" w:lineRule="auto"/>
        <w:rPr>
          <w:sz w:val="20"/>
          <w:szCs w:val="20"/>
          <w:color w:val="auto"/>
        </w:rPr>
      </w:pPr>
      <w:r>
        <w:rPr>
          <w:rFonts w:ascii="Times New Roman" w:cs="Times New Roman" w:eastAsia="Times New Roman" w:hAnsi="Times New Roman"/>
          <w:sz w:val="17"/>
          <w:szCs w:val="17"/>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9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95"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8"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w:t>
      </w:r>
    </w:p>
    <w:p>
      <w:pPr>
        <w:spacing w:after="0" w:line="200" w:lineRule="exact"/>
        <w:rPr>
          <w:sz w:val="20"/>
          <w:szCs w:val="20"/>
          <w:color w:val="auto"/>
        </w:rPr>
      </w:pPr>
    </w:p>
    <w:p>
      <w:pPr>
        <w:spacing w:after="0" w:line="208"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68"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Compliance Matters</w:t>
      </w:r>
    </w:p>
    <w:p>
      <w:pPr>
        <w:spacing w:after="0" w:line="16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90" w:lineRule="exact"/>
        <w:rPr>
          <w:sz w:val="20"/>
          <w:szCs w:val="20"/>
          <w:color w:val="auto"/>
        </w:rPr>
      </w:pPr>
    </w:p>
    <w:p>
      <w:pPr>
        <w:ind w:right="40" w:firstLine="174"/>
        <w:spacing w:after="0" w:line="265"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9" w:name="page50"/>
    <w:bookmarkEnd w:id="49"/>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comply with laws regulating the protection of the environment and health and human safety, our business could be adversely affected.</w:t>
      </w:r>
    </w:p>
    <w:p>
      <w:pPr>
        <w:spacing w:after="0" w:line="251"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19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and our collaborators are subject to various healthcare laws, and our failure, or the failure of our collaborators, to comply with those laws could result in significant penalties and adversely affect our business, operations and financial condition.</w:t>
      </w:r>
    </w:p>
    <w:p>
      <w:pPr>
        <w:spacing w:after="0" w:line="168"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In the United States, our operations, and those of our collaborators, are subject to regulation by various local, state, federal authorities in addition to the FDA, including but not limited to, CMS, other divisions of HHS (such as the Office of Inspector General, Office for Civil Rights and the Health Resources and Service Administration), the U.S. Department of Justice (DOJ) and individual U.S. Attorney offices within the DOJ, and state and local governments. We and our collaborators are or may be subject to broadly applicable “fraud and abuse” laws,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w:t>
      </w:r>
    </w:p>
    <w:p>
      <w:pPr>
        <w:spacing w:after="0" w:line="200" w:lineRule="exact"/>
        <w:rPr>
          <w:sz w:val="20"/>
          <w:szCs w:val="20"/>
          <w:color w:val="auto"/>
        </w:rPr>
      </w:pPr>
    </w:p>
    <w:p>
      <w:pPr>
        <w:spacing w:after="0" w:line="213"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w:t>
      </w:r>
    </w:p>
    <w:p>
      <w:pPr>
        <w:spacing w:after="0" w:line="200" w:lineRule="exact"/>
        <w:rPr>
          <w:sz w:val="20"/>
          <w:szCs w:val="20"/>
          <w:color w:val="auto"/>
        </w:rPr>
      </w:pPr>
    </w:p>
    <w:p>
      <w:pPr>
        <w:spacing w:after="0" w:line="212"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w:t>
      </w:r>
    </w:p>
    <w:p>
      <w:pPr>
        <w:spacing w:after="0" w:line="195"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0" w:name="page51"/>
    <w:bookmarkEnd w:id="50"/>
    <w:p>
      <w:pPr>
        <w:ind w:right="300"/>
        <w:spacing w:after="0" w:line="294" w:lineRule="auto"/>
        <w:rPr>
          <w:sz w:val="20"/>
          <w:szCs w:val="20"/>
          <w:color w:val="auto"/>
        </w:rPr>
      </w:pPr>
      <w:r>
        <w:rPr>
          <w:rFonts w:ascii="Times New Roman" w:cs="Times New Roman" w:eastAsia="Times New Roman" w:hAnsi="Times New Roman"/>
          <w:sz w:val="17"/>
          <w:szCs w:val="17"/>
          <w:color w:val="auto"/>
        </w:rPr>
        <w:t>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7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In addition, under the federal Physician Payment Sunshine Act provisions of the ACA, covered manufacturers of drugs, devices, biological and medical supplies for which payment is available under a federal health care program (with certain exceptions) are subject to annual federal reporting and disclosure requirements with regard to payments or other transfers of value made to physicians defined to include doctors, dentists, optometrists, podiatrists and chiropractors, other healthcare professionals (such as physician assistants and nurse practitioners), and teaching hospitals as well as information regarding certain ownership and investment interests held by physicians and their immediate family members.</w:t>
      </w:r>
    </w:p>
    <w:p>
      <w:pPr>
        <w:spacing w:after="0" w:line="197"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w:t>
      </w:r>
    </w:p>
    <w:p>
      <w:pPr>
        <w:spacing w:after="0" w:line="19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2019,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197"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204"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significant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our operations and those of our collaborators may be subject to analogous foreign health care laws in the jurisdictions in which we operate.</w:t>
      </w:r>
    </w:p>
    <w:p>
      <w:pPr>
        <w:spacing w:after="0" w:line="2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and other adverse business consequences.</w:t>
      </w:r>
    </w:p>
    <w:p>
      <w:pPr>
        <w:spacing w:after="0" w:line="192"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we and the third parties with whom we work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Data privacy and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1" w:name="page52"/>
    <w:bookmarkEnd w:id="51"/>
    <w:p>
      <w:pPr>
        <w:ind w:right="380"/>
        <w:spacing w:after="0" w:line="294" w:lineRule="auto"/>
        <w:rPr>
          <w:sz w:val="20"/>
          <w:szCs w:val="20"/>
          <w:color w:val="auto"/>
        </w:rPr>
      </w:pPr>
      <w:r>
        <w:rPr>
          <w:rFonts w:ascii="Times New Roman" w:cs="Times New Roman" w:eastAsia="Times New Roman" w:hAnsi="Times New Roman"/>
          <w:sz w:val="17"/>
          <w:szCs w:val="17"/>
          <w:color w:val="auto"/>
        </w:rPr>
        <w:t>security have become significant issues in the United States, Europe, and in many other jurisdictions where we or our partners may in the future conduct our operations.</w:t>
      </w:r>
    </w:p>
    <w:p>
      <w:pPr>
        <w:spacing w:after="0" w:line="172" w:lineRule="exact"/>
        <w:rPr>
          <w:sz w:val="20"/>
          <w:szCs w:val="20"/>
          <w:color w:val="auto"/>
        </w:rPr>
      </w:pPr>
    </w:p>
    <w:p>
      <w:pPr>
        <w:ind w:firstLine="174"/>
        <w:spacing w:after="0" w:line="259"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and regulations, including data breach notification laws, personal data privacy laws, consumer protection laws (e.g., Section 5 of the Federal Trade Commission Act), and other similar laws (e.g., wiretapping laws). Furthermore,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for violations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w:t>
      </w:r>
    </w:p>
    <w:p>
      <w:pPr>
        <w:spacing w:after="0" w:line="201" w:lineRule="exact"/>
        <w:rPr>
          <w:sz w:val="20"/>
          <w:szCs w:val="20"/>
          <w:color w:val="auto"/>
        </w:rPr>
      </w:pPr>
    </w:p>
    <w:p>
      <w:pPr>
        <w:ind w:right="200" w:firstLine="625"/>
        <w:spacing w:after="0" w:line="263"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govern data privacy and security. For example, under the European Union’s General Data Protection Regulation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may apply to our operations. As another example, Australia’s Privacy Act of 1998 may apply to our operations.</w:t>
      </w:r>
    </w:p>
    <w:p>
      <w:pPr>
        <w:spacing w:after="0" w:line="199"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201"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Our employees and personnel may integrate generative AI technologies to perform their work, and the disclosure and use of personal data in AI technologies is subject to various privacy laws and other privacy obligations. Governments have passed and are likely to pass additional laws regulating AI. Any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spacing w:after="0" w:line="195"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requires us to devote significant resources, which may necessitate changes to our services, information technologies, systems, and practices and to those of any</w:t>
      </w:r>
    </w:p>
    <w:p>
      <w:pPr>
        <w:spacing w:after="0" w:line="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third parties that process personal data on our behalf. In addition, these obligations may require us to change our business model.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2" w:name="page53"/>
    <w:bookmarkEnd w:id="52"/>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w:t>
      </w:r>
    </w:p>
    <w:p>
      <w:pPr>
        <w:spacing w:after="0" w:line="199"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5"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noncompliance with regulatory standards and requirements and insider trading.</w:t>
      </w:r>
    </w:p>
    <w:p>
      <w:pPr>
        <w:spacing w:after="0" w:line="168" w:lineRule="exact"/>
        <w:rPr>
          <w:sz w:val="20"/>
          <w:szCs w:val="20"/>
          <w:color w:val="auto"/>
        </w:rPr>
      </w:pPr>
    </w:p>
    <w:p>
      <w:pPr>
        <w:ind w:right="20" w:firstLine="170"/>
        <w:spacing w:after="0" w:line="260"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 Matters and Human Capital Management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attract or retain key executives and to attract, retain and motivate qualified personnel.</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are highly dependent on the research and development, clinical and business development expertise of certain of our executive officers and other key employees.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195"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Recruiting and retaining qualified scientific, clinical, manufacturing and other personnel will also be critical to our success. For example, we have experienced employee turnover, consistent with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3" w:name="page54"/>
    <w:bookmarkEnd w:id="53"/>
    <w:p>
      <w:pPr>
        <w:ind w:right="260"/>
        <w:spacing w:after="0" w:line="294" w:lineRule="auto"/>
        <w:rPr>
          <w:sz w:val="20"/>
          <w:szCs w:val="20"/>
          <w:color w:val="auto"/>
        </w:rPr>
      </w:pPr>
      <w:r>
        <w:rPr>
          <w:rFonts w:ascii="Times New Roman" w:cs="Times New Roman" w:eastAsia="Times New Roman" w:hAnsi="Times New Roman"/>
          <w:sz w:val="17"/>
          <w:szCs w:val="17"/>
          <w:color w:val="auto"/>
        </w:rPr>
        <w:t>quality personnel, motivate existing employees, or maintain our corporate culture in a hybrid or remote work environment and in the midst of higher turnover, our ability to pursue our growth strategy will be limited.</w:t>
      </w:r>
    </w:p>
    <w:p>
      <w:pPr>
        <w:spacing w:after="0" w:line="168"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undertake internal restructuring activities, including associated workforce reductions, that could result in disruptions to our business or otherwise materially harm our results of operations or financial condition.</w:t>
      </w:r>
    </w:p>
    <w:p>
      <w:pPr>
        <w:spacing w:after="0" w:line="168"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From time to time, we may undertake internal restructuring activities, including associated workforce reductions, as we continue to evaluate and attempt to optimize our cost and operating structure in light of developments in our business strategy and long-term operating plans. Any restructuring activities that we may undertake in the future may result in write-offs or other restructuring charges, including employee termination-related charges in connection with any associated workforce reductions. We may not realize, in full or in part, the anticipated benefits, savings and improvements in our operating structure from any restructuring efforts due to unforeseen difficulties, delays or unexpected costs. If we are unable to realize the expected operational efficiencies and cost savings from any restructuring, our results of operation and financial condition could be adversely affected. Furthermore, any strategic restructuring plan may be disruptive to our operations. For example, any workforce reductions could yield unanticipated consequences, such as attrition beyond planned staff reductions, increased difficulties in our day-to-day operations and reduced employee morale. Any employees not affected by any reduction in force may seek alternate employment, which could result in us seeking contract support which may result in unplanned additional expense or harm our productivity.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202"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need to grow or contract our organization, and we may experience difficulties in managing this growth or contraction, which could disrupt our operations.</w:t>
      </w:r>
    </w:p>
    <w:p>
      <w:pPr>
        <w:spacing w:after="0" w:line="220"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As of February 28, 2026, we had 293 full-time employees. In addition to the risks associated with a reduction in force, as our finances, development and commercialization plans and strategies evolve, we may choose to expand or contract our employee base for managerial, operational, manufacturing, financial and other resources. Future growth or additional contraction would impose significant costs as well as added responsibilities on members of management, including the potential need to identify, recruit, maintain, motivate and integrate additional employees. Also, our management may need to divert a disproportionate amount of their attention away from our day-to-day activities and devote a substantial amount of time to managing either growth or contraction activities. We may not be able to effectively manage our operations which may result in weaknesses in our infrastructure, give rise to operational errors, loss of business opportunities, loss of employees and reduced productivity among remaining employees.</w:t>
      </w:r>
    </w:p>
    <w:p>
      <w:pPr>
        <w:spacing w:after="0" w:line="121"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Growth could require significant capital expenditures and may divert financial resources from other projects, such as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develop and commercialize our product candidates and compete effectively with others in our industry will depend, in part, on our ability to effectively manage any such growth.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67"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in the future be subject to securities litigation, which is expensive and could divert management attention and adversely impact our business.</w:t>
      </w:r>
    </w:p>
    <w:p>
      <w:pPr>
        <w:spacing w:after="0" w:line="90" w:lineRule="exact"/>
        <w:rPr>
          <w:sz w:val="20"/>
          <w:szCs w:val="20"/>
          <w:color w:val="auto"/>
        </w:rPr>
      </w:pPr>
    </w:p>
    <w:p>
      <w:pPr>
        <w:ind w:right="20" w:firstLine="170"/>
        <w:spacing w:after="0" w:line="262" w:lineRule="auto"/>
        <w:rPr>
          <w:sz w:val="20"/>
          <w:szCs w:val="20"/>
          <w:color w:val="auto"/>
        </w:rPr>
      </w:pPr>
      <w:r>
        <w:rPr>
          <w:rFonts w:ascii="Times New Roman" w:cs="Times New Roman" w:eastAsia="Times New Roman" w:hAnsi="Times New Roman"/>
          <w:sz w:val="17"/>
          <w:szCs w:val="17"/>
          <w:color w:val="auto"/>
        </w:rPr>
        <w:t>The market price of our common stock has been and may continue to be volatile. Companies that have experienced volatility in the market price of their common stock are often subject to securities class action litigation. For example, in July 2024, a putative securities class action suit, entitled Crain v. MacroGenics, Inc. (Case No. 24-cv-02184), was filed in the U.S. District Court for the District of Maryland against our company and Scott Koenig, M.D., Ph.D., our former President and Chief Executive Officer and a current member of our Board of Directors, alleging violations of securities laws during 2024. On December 20, 2024, the District Court issued an Order dismissing the case, without prejudice. Previously, on September 13, 2019, a securities class action complaint was filed against us, and certain of our officers and/or directors in the U.S. District Court for the District of Maryland. On September 29, 2021, the District Court issued an Order dismissing the case, with prejudice, and on March 2, 2023 the Fourth Circuit affirmed the District Court’s dismissal.</w:t>
      </w:r>
    </w:p>
    <w:p>
      <w:pPr>
        <w:spacing w:after="0" w:line="199"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Due to the inherent uncertainties in legal proceedings, we cannot accurately predict the ultimate outcome of any such proceedings. Any securities litigation brought by private parties or government enforcement agencies could result in substantial</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4" w:name="page55"/>
    <w:bookmarkEnd w:id="54"/>
    <w:p>
      <w:pPr>
        <w:ind w:right="280"/>
        <w:spacing w:after="0" w:line="294" w:lineRule="auto"/>
        <w:rPr>
          <w:sz w:val="20"/>
          <w:szCs w:val="20"/>
          <w:color w:val="auto"/>
        </w:rPr>
      </w:pPr>
      <w:r>
        <w:rPr>
          <w:rFonts w:ascii="Times New Roman" w:cs="Times New Roman" w:eastAsia="Times New Roman" w:hAnsi="Times New Roman"/>
          <w:sz w:val="17"/>
          <w:szCs w:val="17"/>
          <w:color w:val="auto"/>
        </w:rPr>
        <w:t>costs and diversion of management’s attention and resources, which could adversely impact our business. Any adverse determination in litigation could also subject us to significant liabilities.</w:t>
      </w:r>
    </w:p>
    <w:p>
      <w:pPr>
        <w:spacing w:after="0" w:line="17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w:t>
      </w:r>
    </w:p>
    <w:p>
      <w:pPr>
        <w:spacing w:after="0" w:line="195" w:lineRule="exact"/>
        <w:rPr>
          <w:sz w:val="20"/>
          <w:szCs w:val="20"/>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and timing of our clinical trials and clinical trials of our competitors’ products;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development programs;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in manufacturing our product candidates or future approved products;</w:t>
      </w:r>
    </w:p>
    <w:p>
      <w:pPr>
        <w:spacing w:after="0" w:line="247" w:lineRule="exact"/>
        <w:rPr>
          <w:rFonts w:ascii="Times New Roman" w:cs="Times New Roman" w:eastAsia="Times New Roman" w:hAnsi="Times New Roman"/>
          <w:sz w:val="17"/>
          <w:szCs w:val="17"/>
          <w:color w:val="auto"/>
        </w:rPr>
      </w:pPr>
    </w:p>
    <w:p>
      <w:pPr>
        <w:ind w:left="780" w:right="54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or enforcement in the United States and foreign countries with respect to our product candidates or our competitors’ products;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products or new products that may emerge;</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technological innovations or new commercial products by us or our competitors;</w:t>
      </w:r>
    </w:p>
    <w:p>
      <w:pPr>
        <w:spacing w:after="0" w:line="247" w:lineRule="exact"/>
        <w:rPr>
          <w:rFonts w:ascii="Times New Roman" w:cs="Times New Roman" w:eastAsia="Times New Roman" w:hAnsi="Times New Roman"/>
          <w:sz w:val="17"/>
          <w:szCs w:val="17"/>
          <w:color w:val="auto"/>
        </w:rPr>
      </w:pPr>
    </w:p>
    <w:p>
      <w:pPr>
        <w:ind w:left="780" w:right="6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collaborators or our competitors of significant acquisitions, strategic partnerships, joint ventures, collaborations or capital commitments;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or recommendations by securities analysts, if any cover our common stock;</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over our product candidates or any future approved products;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threatened or actual litigation;</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or anticipated sales of our common stock;</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 care payment systems in the United States or overseas;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any of our product candidates, if approved, to achieve commercial success;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other external factors or other disasters or crises;</w:t>
      </w:r>
    </w:p>
    <w:p>
      <w:pPr>
        <w:spacing w:after="0" w:line="247" w:lineRule="exact"/>
        <w:rPr>
          <w:rFonts w:ascii="Times New Roman" w:cs="Times New Roman" w:eastAsia="Times New Roman" w:hAnsi="Times New Roman"/>
          <w:sz w:val="17"/>
          <w:szCs w:val="17"/>
          <w:color w:val="auto"/>
        </w:rPr>
      </w:pPr>
    </w:p>
    <w:p>
      <w:pPr>
        <w:ind w:left="780" w:right="12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financial condition and results of operations, including the timing of receipt of any milestone or other payments under commercialization or licensing agreements;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market conditions for biopharmaceutical stocks; and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fluctuations in U.S. equity markets.</w:t>
      </w:r>
    </w:p>
    <w:p>
      <w:pPr>
        <w:spacing w:after="0" w:line="247"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In addition, in the past, when the market price of a stock has been volatile, holders of that stock have sometimes instituted securities class action litigation against the company that issued the stock. For example, we recently had one such securities class action lawsuit brought against us that was later voluntarily dismissed by the plaintiffs, as discussed above, and two related state derivative lawsuits that are pending. We could incur substantial costs defending these similar lawsuits, as well as diversion of the time and attention of our management, any or all of which could seriously harm our business.</w:t>
      </w:r>
    </w:p>
    <w:p>
      <w:pPr>
        <w:sectPr>
          <w:pgSz w:w="11900" w:h="16838" w:orient="portrait"/>
          <w:cols w:equalWidth="0" w:num="1">
            <w:col w:w="11140"/>
          </w:cols>
          <w:pgMar w:left="320" w:top="863"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863"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of our charter, bylaws, third-party agreements and Delaware law may make an acquisition of us or a change in our management more difficult.</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w:t>
      </w:r>
    </w:p>
    <w:p>
      <w:pPr>
        <w:spacing w:after="0" w:line="199" w:lineRule="exact"/>
        <w:rPr>
          <w:sz w:val="20"/>
          <w:szCs w:val="20"/>
          <w:color w:val="auto"/>
        </w:rPr>
      </w:pPr>
    </w:p>
    <w:p>
      <w:pPr>
        <w:ind w:left="780" w:hanging="307"/>
        <w:spacing w:after="0"/>
        <w:tabs>
          <w:tab w:leader="none" w:pos="7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authorized number of directors to be changed only by resolution of our board of directors;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providing that not all members of the board of directors be elected at one time;</w:t>
      </w:r>
    </w:p>
    <w:p>
      <w:pPr>
        <w:spacing w:after="0" w:line="247" w:lineRule="exact"/>
        <w:rPr>
          <w:rFonts w:ascii="Times New Roman" w:cs="Times New Roman" w:eastAsia="Times New Roman" w:hAnsi="Times New Roman"/>
          <w:sz w:val="17"/>
          <w:szCs w:val="17"/>
          <w:color w:val="auto"/>
        </w:rPr>
      </w:pPr>
    </w:p>
    <w:p>
      <w:pPr>
        <w:ind w:left="780" w:right="240" w:hanging="307"/>
        <w:spacing w:after="0" w:line="294" w:lineRule="auto"/>
        <w:tabs>
          <w:tab w:leader="none" w:pos="77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 actions must be effected at a duly called stockholder meeting and prohibit stockholder action by written consent;</w:t>
      </w:r>
    </w:p>
    <w:p>
      <w:pPr>
        <w:spacing w:after="0" w:line="247" w:lineRule="exact"/>
        <w:rPr>
          <w:rFonts w:ascii="Times New Roman" w:cs="Times New Roman" w:eastAsia="Times New Roman" w:hAnsi="Times New Roman"/>
          <w:sz w:val="17"/>
          <w:szCs w:val="17"/>
          <w:color w:val="auto"/>
        </w:rPr>
      </w:pPr>
    </w:p>
    <w:p>
      <w:pPr>
        <w:ind w:left="780" w:right="500" w:hanging="307"/>
        <w:spacing w:after="0" w:line="294" w:lineRule="auto"/>
        <w:tabs>
          <w:tab w:leader="none" w:pos="77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stockholder nominations to our board of directors or for stockholder proposals that can be acted on at stockholder meetings;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who may call stockholder meetings; and</w:t>
      </w:r>
    </w:p>
    <w:p>
      <w:pPr>
        <w:spacing w:after="0" w:line="247" w:lineRule="exact"/>
        <w:rPr>
          <w:rFonts w:ascii="Times New Roman" w:cs="Times New Roman" w:eastAsia="Times New Roman" w:hAnsi="Times New Roman"/>
          <w:sz w:val="17"/>
          <w:szCs w:val="17"/>
          <w:color w:val="auto"/>
        </w:rPr>
      </w:pPr>
    </w:p>
    <w:p>
      <w:pPr>
        <w:ind w:left="780" w:right="260" w:hanging="307"/>
        <w:spacing w:after="0" w:line="294" w:lineRule="auto"/>
        <w:tabs>
          <w:tab w:leader="none" w:pos="77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approval of the holders of 75% of the outstanding shares of our capital stock entitled to vote in order to amend certain provisions of our restated certificate of incorporation and restated bylaws.</w:t>
      </w:r>
    </w:p>
    <w:p>
      <w:pPr>
        <w:spacing w:after="0" w:line="172" w:lineRule="exact"/>
        <w:rPr>
          <w:sz w:val="20"/>
          <w:szCs w:val="20"/>
          <w:color w:val="auto"/>
        </w:rPr>
      </w:pPr>
    </w:p>
    <w:p>
      <w:pPr>
        <w:ind w:right="320" w:firstLine="625"/>
        <w:spacing w:after="0" w:line="265" w:lineRule="auto"/>
        <w:rPr>
          <w:sz w:val="20"/>
          <w:szCs w:val="20"/>
          <w:color w:val="auto"/>
        </w:rPr>
      </w:pPr>
      <w:r>
        <w:rPr>
          <w:rFonts w:ascii="Times New Roman" w:cs="Times New Roman" w:eastAsia="Times New Roman" w:hAnsi="Times New Roman"/>
          <w:sz w:val="17"/>
          <w:szCs w:val="17"/>
          <w:color w:val="auto"/>
        </w:rPr>
        <w:t>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w:t>
      </w:r>
    </w:p>
    <w:p>
      <w:pPr>
        <w:spacing w:after="0" w:line="197"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71"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(Information Systems and Data).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6" w:name="page57"/>
    <w:bookmarkEnd w:id="56"/>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Our information security function is led by our Vice President of Information Technology and supported by the Associate Director of Information Security. They are supported by our legal team, a management-level Technology Steering Committee, and the Audit Committee of the Board of Directors. This function is responsible for identifying, assessing, and managing the Company’s cybersecurity threats and risks. We employ various methods to monitor and evaluate the threat environment, including automated tools, subscriptions to cybersecurity threat reports and services, analysis of threats reported to us, evaluations of our and our industry’s risk profile, threat actor analyses, audits, vulnerability assessments, and tabletop incident response exercises.</w:t>
      </w:r>
    </w:p>
    <w:p>
      <w:pPr>
        <w:spacing w:after="0" w:line="11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Depending on the environment and system, we implement and maintain various technical, physical, and organizational measures, processes, and policies designed to manage and mitigate material risks from cybersecurity threats to our Information Systems and Data. These include: an incident response plan and procedures, incident detection and response playbook, business continuity plans, encryption of certain data, network security controls, identity management and access controls, physical security controls, 24/7 systems monitoring, vendor risk management processes, employee cybersecurity and privacy training, penetration testing, cybersecurity insurance, and dedicated cybersecurity staff. Our assessment and management of material risks from cybersecurity threats are integrated into our overall enterprise risk management program. Specifically, (1) cybersecurity risk is addressed as a component of our enterprise risk management program and reflected in our risk register; (2) the information security function works with management to prioritize cybersecurity risks that are more likely to have a material impact on our business; and (3) our Technology Steering Committee evaluates material cybersecurity risks against our overall business objectives and reports to the Audit Committee of the Board of Directors, which evaluates our overall enterprise risk.</w:t>
      </w:r>
    </w:p>
    <w:p>
      <w:pPr>
        <w:spacing w:after="0" w:line="126"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We engage third-party service providers, including professional services firms, cybersecurity consultants, cybersecurity software providers, managed cybersecurity service providers, penetration testing firms, and dark web monitoring services, to assist in identifying, assessing, and managing material risks from cybersecurity threats.</w:t>
      </w:r>
    </w:p>
    <w:p>
      <w:pPr>
        <w:spacing w:after="0" w:line="112"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In addition, we use third-party service providers to perform a variety of functions throughout our business, such as application providers, hosting companies, CROs, distributors, and supply chain management resources. We have vendor management processes to manage cybersecurity risks associated with our use of certain of these providers, such as reviewing security questionnaires, reviewing the vendor’s written security program, conducting risk assessments for certain vendors, arranging security assessment calls with the vendor’s security personnel, reviewing security assessments, or imposing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and mitigate cybersecurity risks associated with a provider.</w:t>
      </w:r>
    </w:p>
    <w:p>
      <w:pPr>
        <w:spacing w:after="0" w:line="121" w:lineRule="exact"/>
        <w:rPr>
          <w:sz w:val="20"/>
          <w:szCs w:val="20"/>
          <w:color w:val="auto"/>
        </w:rPr>
      </w:pPr>
    </w:p>
    <w:p>
      <w:pPr>
        <w:ind w:right="60" w:firstLine="625"/>
        <w:spacing w:after="0" w:line="294"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the Company and how they may do so, see our risk factors under Part 1. Item 1A. Risk Factors in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71"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Our board of directors addresses the Company’s cybersecurity risk management as part of its general oversight function. The board of directors’ Audit Committee and management’s Technology Steering Committee are responsible for overseeing the Company’s cybersecurity risk management processes, including oversight and mitigation of risks from cybersecurity threats.</w:t>
      </w:r>
    </w:p>
    <w:p>
      <w:pPr>
        <w:spacing w:after="0" w:line="112" w:lineRule="exact"/>
        <w:rPr>
          <w:sz w:val="20"/>
          <w:szCs w:val="20"/>
          <w:color w:val="auto"/>
        </w:rPr>
      </w:pPr>
    </w:p>
    <w:p>
      <w:pPr>
        <w:ind w:right="240" w:firstLine="625"/>
        <w:spacing w:after="0" w:line="268"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Company management, including our Vice President, Information Technology, who has 15 years of information security experience and holds a Certified Information Systems Security Professional (CISSP) certification. Our Associate Director of Information Security holds the CISSP and CCSP certifications, has an MSc. in Information Security and has over 20 years government and industry cybersecurity experience.</w:t>
      </w:r>
    </w:p>
    <w:p>
      <w:pPr>
        <w:spacing w:after="0" w:line="117"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Company management is responsible for hiring appropriate personnel, helping to integrate cybersecurity risk considerations into the Company’s overall risk management strategy, and communicating key priorities to relevant personnel. Company management is also responsible for approving budgets, helping prepare for cybersecurity incidents, approving cybersecurity processes, and reviewing security assessments and other security-related reports.</w:t>
      </w:r>
    </w:p>
    <w:p>
      <w:pPr>
        <w:spacing w:after="0" w:line="112"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Our cybersecurity incident response processes are designed to escalate certain cybersecurity incidents to members of management depending on the circumstances and incident severity, including our Vice President Information Technology who works with the Company’s incident response team to help the Company mitigate and remediate cybersecurity incidents. In addition, the Company’s incident response process includes reporting to the audit committee of the board of directors for certain cybersecurity incidents.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7" w:name="page58"/>
    <w:bookmarkEnd w:id="57"/>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The board of directors’ Audit Committee receives periodic reports from our Vice President Information Technology concerning the Company’s significant cybersecurity threats and risk and the processes the Company has implemented to address them. The board of directors also receives regular reports, summaries or presentations related to cybersecurity threats, risk, and mitigation.</w:t>
      </w:r>
    </w:p>
    <w:p>
      <w:pPr>
        <w:spacing w:after="0" w:line="200" w:lineRule="exact"/>
        <w:rPr>
          <w:sz w:val="20"/>
          <w:szCs w:val="20"/>
          <w:color w:val="auto"/>
        </w:rPr>
      </w:pPr>
    </w:p>
    <w:p>
      <w:pPr>
        <w:spacing w:after="0" w:line="3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71"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We lease a total of approximately 190,000 square feet of manufacturing, office, laboratory and warehouse space in Maryland. Our headquarters building in Rockville, Maryland currently houses laboratory, office and manufacturing operations to support clinical and commercial quantities and scale. This location is occupied under a lease that expires in 2035. Our leases each have one or more five-year options to renew. We believe that our properties are generally in good condition, well maintained, suitable and adequate to carry on our business. We believe our capital resources are sufficient to lease any additional facilities required to meet our expected growth needs.</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Litigation</w:t>
      </w:r>
    </w:p>
    <w:p>
      <w:pPr>
        <w:spacing w:after="0" w:line="249"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 July 2024, a putative securities class action suit, entitled Crain v. MacroGenics, Inc. (Case No. 24-cv-02184), was filed in the U.S. District Court for the District of Maryland against the Company and Scott Koenig, M.D., Ph.D., the Company’s former President and Chief Executive Officer and a current member of the Company’s Board of Directors, alleging violations of securities laws during 2024. The suit asserted certain claims under Section 10 and Rule 10b-5 of the Securities and Exchange Act of 1934 based on alleged misstatements or omissions concerning the Company's TAMARACK Phase 2 study of vobramitamab duocarmazine in patients with metastatic castration-resistant prostate cancer. On December 20, 2024, the District Court issued an Order dismissing the case, without prejudice.</w:t>
      </w:r>
    </w:p>
    <w:p>
      <w:pPr>
        <w:spacing w:after="0" w:line="19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On December 9, 2024, a shareholder derivative suit, entitled Gregora v. Heiden et al. (Case No. 24-cv-03546), was filed in the U.S. District Court for the District of Maryland against certain of the Company’s officers and directors and naming the Company as a nominal defendant. The suit asserts certain claims under Section 10(b) and Rule 10b-5 of the Securities and Exchange Act of 1934 and for breach of fiduciary duty, aiding and abetting breach of fiduciary duty, unjust enrichment, and waste of corporate assets based on the same facts as the Securities Class Action. On March 10, 2025, the plaintiff filed a notice of voluntary dismissal. On March 11, 2025, the Court entered an Order dismissing the case without prejudice.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December 11, 2024, a shareholder derivative suit, entitled Cottle v. MacroGenics, Inc., et al. (Case No. 8:24-cv-03578), was filed in the U.S. District</w:t>
      </w:r>
    </w:p>
    <w:p>
      <w:pPr>
        <w:spacing w:after="0" w:line="52"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color w:val="auto"/>
        </w:rPr>
        <w:t>Court for the District of Maryland against the same defendants and alleging similar claims as the Gregora derivative action. On March 20, 2025, the parties filed a stipulation of dismissal without prejudice. On March 24, 2025, the Court entered an Order approving the stipulation and closing the case.</w:t>
      </w:r>
    </w:p>
    <w:p>
      <w:pPr>
        <w:spacing w:after="0" w:line="172"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200" w:lineRule="exact"/>
        <w:rPr>
          <w:sz w:val="20"/>
          <w:szCs w:val="20"/>
          <w:color w:val="auto"/>
        </w:rPr>
      </w:pPr>
    </w:p>
    <w:p>
      <w:pPr>
        <w:spacing w:after="0" w:line="2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58" w:name="page59"/>
    <w:bookmarkEnd w:id="58"/>
    <w:p>
      <w:pPr>
        <w:ind w:left="56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1" w:lineRule="exact"/>
        <w:rPr>
          <w:sz w:val="20"/>
          <w:szCs w:val="20"/>
          <w:color w:val="auto"/>
        </w:rPr>
      </w:pPr>
    </w:p>
    <w:p>
      <w:pPr>
        <w:ind w:left="860" w:right="560" w:hanging="1249"/>
        <w:spacing w:after="0" w:line="296" w:lineRule="auto"/>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7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"MGNX". As of March 5, 2026, we had 63,555,837 shares of common stock outstanding held by approximately 51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59" w:name="page60"/>
    <w:bookmarkEnd w:id="59"/>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69"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spacing w:after="0" w:line="115"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For the discussion of our financial condition and results of operations for the year ended December 31, 2024 compared to the year ended December 31, 2023, please refer to Part II, Item 7, "Management's Discussion and Analysis of Financial Condition and Results of Operations" in our Annual Report on Form 10-K for the year ended December 31, 2024 filed with the SEC on March 20,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1"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 a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significant portion of the operating costs of this facility.</w:t>
      </w:r>
    </w:p>
    <w:p>
      <w:pPr>
        <w:spacing w:after="0" w:line="200" w:lineRule="exact"/>
        <w:rPr>
          <w:sz w:val="20"/>
          <w:szCs w:val="20"/>
          <w:color w:val="auto"/>
        </w:rPr>
      </w:pPr>
    </w:p>
    <w:p>
      <w:pPr>
        <w:spacing w:after="0" w:line="21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are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multiple preclinical-stage ADC and next generation T-cell engager programs.</w:t>
      </w:r>
    </w:p>
    <w:p>
      <w:pPr>
        <w:spacing w:after="0" w:line="195" w:lineRule="exact"/>
        <w:rPr>
          <w:sz w:val="20"/>
          <w:szCs w:val="20"/>
          <w:color w:val="auto"/>
        </w:rPr>
      </w:pPr>
    </w:p>
    <w:p>
      <w:pPr>
        <w:ind w:right="120" w:firstLine="625"/>
        <w:spacing w:after="0" w:line="232" w:lineRule="auto"/>
        <w:rPr>
          <w:sz w:val="20"/>
          <w:szCs w:val="20"/>
          <w:color w:val="auto"/>
        </w:rPr>
      </w:pPr>
      <w:r>
        <w:rPr>
          <w:rFonts w:ascii="Times New Roman" w:cs="Times New Roman" w:eastAsia="Times New Roman" w:hAnsi="Times New Roman"/>
          <w:sz w:val="17"/>
          <w:szCs w:val="17"/>
          <w:color w:val="auto"/>
        </w:rPr>
        <w:t>We and our partners are developing or commercializing product candidates for which we retain certain economic rights. These include three products approved by the FDA: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monoclonal antibody (mAb) that we out-licensed;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mAb that we sold to a partner;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DART and TRIDENT development programs.</w:t>
      </w:r>
    </w:p>
    <w:p>
      <w:pPr>
        <w:spacing w:after="0" w:line="220"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December 31, 2025, combined with projected and anticipated future payments from our partners, and anticipated savings from our cost-reduction initiatives, will support our cash runway into late 2027. We have implemented, and will continue to evaluate and execute, various cost-saving measures that are intended to extend our financial runway while continuing to progress our pipeline.</w:t>
      </w:r>
    </w:p>
    <w:p>
      <w:pPr>
        <w:spacing w:after="0" w:line="121" w:lineRule="exact"/>
        <w:rPr>
          <w:sz w:val="20"/>
          <w:szCs w:val="20"/>
          <w:color w:val="auto"/>
        </w:rPr>
      </w:pPr>
    </w:p>
    <w:p>
      <w:pPr>
        <w:ind w:right="240" w:firstLine="625"/>
        <w:spacing w:after="0" w:line="294" w:lineRule="auto"/>
        <w:rPr>
          <w:sz w:val="20"/>
          <w:szCs w:val="20"/>
          <w:color w:val="auto"/>
        </w:rPr>
      </w:pPr>
      <w:r>
        <w:rPr>
          <w:rFonts w:ascii="Times New Roman" w:cs="Times New Roman" w:eastAsia="Times New Roman" w:hAnsi="Times New Roman"/>
          <w:sz w:val="17"/>
          <w:szCs w:val="17"/>
          <w:color w:val="auto"/>
        </w:rPr>
        <w:t>Through December 31, 2025, we had an accumulated deficit of $1.2 billion. We expect that over the next several years this deficit will increase as we continue to incur research and development expense in connection with our ongoing activities and several clinical trials.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Conditions</w:t>
      </w:r>
    </w:p>
    <w:p>
      <w:pPr>
        <w:spacing w:after="0" w:line="171" w:lineRule="exact"/>
        <w:rPr>
          <w:sz w:val="20"/>
          <w:szCs w:val="20"/>
          <w:color w:val="auto"/>
        </w:rPr>
      </w:pPr>
    </w:p>
    <w:p>
      <w:pPr>
        <w:ind w:right="20" w:firstLine="625"/>
        <w:spacing w:after="0" w:line="294" w:lineRule="auto"/>
        <w:rPr>
          <w:sz w:val="20"/>
          <w:szCs w:val="20"/>
          <w:color w:val="auto"/>
        </w:rPr>
      </w:pPr>
      <w:r>
        <w:rPr>
          <w:rFonts w:ascii="Times New Roman" w:cs="Times New Roman" w:eastAsia="Times New Roman" w:hAnsi="Times New Roman"/>
          <w:sz w:val="17"/>
          <w:szCs w:val="17"/>
          <w:color w:val="auto"/>
        </w:rPr>
        <w:t>The global economy, credit markets and financial markets have and may continue to experience significant volatility as a result of significant worldwide events, including, fluctuating interest rates, and geopolitical upheaval and tariffs or other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0" w:name="page61"/>
    <w:bookmarkEnd w:id="60"/>
    <w:p>
      <w:pPr>
        <w:ind w:right="340"/>
        <w:spacing w:after="0" w:line="265" w:lineRule="auto"/>
        <w:rPr>
          <w:sz w:val="20"/>
          <w:szCs w:val="20"/>
          <w:color w:val="auto"/>
        </w:rPr>
      </w:pPr>
      <w:r>
        <w:rPr>
          <w:rFonts w:ascii="Times New Roman" w:cs="Times New Roman" w:eastAsia="Times New Roman" w:hAnsi="Times New Roman"/>
          <w:sz w:val="17"/>
          <w:szCs w:val="17"/>
          <w:color w:val="auto"/>
        </w:rPr>
        <w:t>restrictions imposed by the United States government or governments of other nations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17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28" w:lineRule="exact"/>
        <w:rPr>
          <w:sz w:val="20"/>
          <w:szCs w:val="20"/>
          <w:color w:val="auto"/>
        </w:rPr>
      </w:pPr>
    </w:p>
    <w:p>
      <w:pPr>
        <w:ind w:left="940" w:right="20" w:hanging="311"/>
        <w:spacing w:after="0" w:line="258" w:lineRule="auto"/>
        <w:tabs>
          <w:tab w:leader="none" w:pos="902" w:val="left"/>
        </w:tabs>
        <w:numPr>
          <w:ilvl w:val="0"/>
          <w:numId w:val="37"/>
        </w:numPr>
        <w:rPr>
          <w:rFonts w:ascii="Arial" w:cs="Arial" w:eastAsia="Arial" w:hAnsi="Arial"/>
          <w:sz w:val="19"/>
          <w:szCs w:val="19"/>
          <w:color w:val="252525"/>
        </w:rPr>
      </w:pPr>
      <w:r>
        <w:rPr>
          <w:rFonts w:ascii="Times New Roman" w:cs="Times New Roman" w:eastAsia="Times New Roman" w:hAnsi="Times New Roman"/>
          <w:sz w:val="17"/>
          <w:szCs w:val="17"/>
          <w:i w:val="1"/>
          <w:iCs w:val="1"/>
          <w:color w:val="auto"/>
        </w:rPr>
        <w:t xml:space="preserve">Incyte Corporation (Incyte). </w:t>
      </w:r>
      <w:r>
        <w:rPr>
          <w:rFonts w:ascii="Times New Roman" w:cs="Times New Roman" w:eastAsia="Times New Roman" w:hAnsi="Times New Roman"/>
          <w:sz w:val="17"/>
          <w:szCs w:val="17"/>
          <w:color w:val="auto"/>
        </w:rPr>
        <w:t>We have an exclusive global collaboration and license agreement with Incyte for retifanlimab, a monoclonal antibody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 million from Incyte through December 31,</w:t>
      </w:r>
    </w:p>
    <w:p>
      <w:pPr>
        <w:spacing w:after="0" w:line="2"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7"/>
          <w:szCs w:val="17"/>
          <w:color w:val="auto"/>
        </w:rPr>
        <w:t>2025, including $100.0 million received in August 2024</w:t>
      </w:r>
      <w:r>
        <w:rPr>
          <w:rFonts w:ascii="Arial" w:cs="Arial" w:eastAsia="Arial" w:hAnsi="Arial"/>
          <w:sz w:val="20"/>
          <w:szCs w:val="20"/>
          <w:color w:val="008080"/>
        </w:rPr>
        <w:t>.</w:t>
      </w:r>
      <w:r>
        <w:rPr>
          <w:rFonts w:ascii="Times New Roman" w:cs="Times New Roman" w:eastAsia="Times New Roman" w:hAnsi="Times New Roman"/>
          <w:sz w:val="17"/>
          <w:szCs w:val="17"/>
          <w:color w:val="auto"/>
        </w:rPr>
        <w:t xml:space="preserve"> We are eligible to receive up to an additional $210.0 million in development and regulatory milestones and $330.0 million in commercial milestones. We are eligible for tiered royalties of 15% to 24% on any global net sales (see Note 10, Royalty Monetization Arrangement, in our consolidated financial statements for further information about ZYNYZ royalties),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entitled to manufacture a portion of Incyte’s global commercial supply of retifanlimab (Incyte Commercial Supply Agreement).</w:t>
      </w:r>
    </w:p>
    <w:p>
      <w:pPr>
        <w:spacing w:after="0" w:line="86" w:lineRule="exact"/>
        <w:rPr>
          <w:sz w:val="20"/>
          <w:szCs w:val="20"/>
          <w:color w:val="auto"/>
        </w:rPr>
      </w:pPr>
    </w:p>
    <w:p>
      <w:pPr>
        <w:ind w:left="940" w:right="80" w:hanging="311"/>
        <w:spacing w:after="0" w:line="255" w:lineRule="auto"/>
        <w:tabs>
          <w:tab w:leader="none" w:pos="902"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7"/>
          <w:szCs w:val="17"/>
          <w:i w:val="1"/>
          <w:iCs w:val="1"/>
          <w:color w:val="auto"/>
        </w:rPr>
        <w:t>Gilead</w:t>
      </w:r>
      <w:r>
        <w:rPr>
          <w:rFonts w:ascii="Times New Roman" w:cs="Times New Roman" w:eastAsia="Times New Roman" w:hAnsi="Times New Roman"/>
          <w:sz w:val="17"/>
          <w:szCs w:val="17"/>
          <w:color w:val="auto"/>
        </w:rPr>
        <w:t>. In 2022, we and Gilead entered into an exclusive option and collaboration agreement (Gilead Agreement) to develop and commercialize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MGD024 and create bispecific cancer antibodies using our DART and TRIDENT platforms and undertake their early development under a maximum of two separate bispecific cancer target research programs. Under the Gilead Agreement, we are continuing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w:t>
      </w:r>
    </w:p>
    <w:p>
      <w:pPr>
        <w:spacing w:after="0" w:line="1" w:lineRule="exact"/>
        <w:rPr>
          <w:rFonts w:ascii="Arial" w:cs="Arial" w:eastAsia="Arial" w:hAnsi="Arial"/>
          <w:sz w:val="19"/>
          <w:szCs w:val="19"/>
          <w:color w:val="auto"/>
        </w:rPr>
      </w:pPr>
    </w:p>
    <w:p>
      <w:pPr>
        <w:ind w:left="940" w:right="160"/>
        <w:spacing w:after="0" w:line="259" w:lineRule="auto"/>
        <w:rPr>
          <w:rFonts w:ascii="Arial" w:cs="Arial" w:eastAsia="Arial" w:hAnsi="Arial"/>
          <w:sz w:val="19"/>
          <w:szCs w:val="19"/>
          <w:color w:val="auto"/>
        </w:rPr>
      </w:pPr>
      <w:r>
        <w:rPr>
          <w:rFonts w:ascii="Times New Roman" w:cs="Times New Roman" w:eastAsia="Times New Roman" w:hAnsi="Times New Roman"/>
          <w:sz w:val="17"/>
          <w:szCs w:val="17"/>
          <w:color w:val="auto"/>
        </w:rPr>
        <w:t>$60.0 million and we are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w:t>
      </w:r>
    </w:p>
    <w:p>
      <w:pPr>
        <w:spacing w:after="0" w:line="7" w:lineRule="exact"/>
        <w:rPr>
          <w:rFonts w:ascii="Arial" w:cs="Arial" w:eastAsia="Arial" w:hAnsi="Arial"/>
          <w:sz w:val="19"/>
          <w:szCs w:val="19"/>
          <w:color w:val="auto"/>
        </w:rPr>
      </w:pPr>
    </w:p>
    <w:p>
      <w:pPr>
        <w:ind w:left="940" w:right="80"/>
        <w:spacing w:after="0" w:line="264" w:lineRule="auto"/>
        <w:rPr>
          <w:rFonts w:ascii="Arial" w:cs="Arial" w:eastAsia="Arial" w:hAnsi="Arial"/>
          <w:sz w:val="19"/>
          <w:szCs w:val="19"/>
          <w:color w:val="auto"/>
        </w:rPr>
      </w:pPr>
      <w:r>
        <w:rPr>
          <w:rFonts w:ascii="Times New Roman" w:cs="Times New Roman" w:eastAsia="Times New Roman" w:hAnsi="Times New Roman"/>
          <w:sz w:val="17"/>
          <w:szCs w:val="17"/>
          <w:color w:val="auto"/>
        </w:rPr>
        <w:t>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On August 30, 2024, the parties entered into a second letter agreement under which Gilead will pay us to conduct certain research and which extends the period for Gilead to select its second research target combination. In November 2025, Gilead nominated the second of the two research programs contemplated in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1" w:name="page62"/>
    <w:bookmarkEnd w:id="61"/>
    <w:p>
      <w:pPr>
        <w:ind w:left="940" w:right="140"/>
        <w:spacing w:after="0" w:line="274" w:lineRule="auto"/>
        <w:rPr>
          <w:sz w:val="20"/>
          <w:szCs w:val="20"/>
          <w:color w:val="auto"/>
        </w:rPr>
      </w:pPr>
      <w:r>
        <w:rPr>
          <w:rFonts w:ascii="Times New Roman" w:cs="Times New Roman" w:eastAsia="Times New Roman" w:hAnsi="Times New Roman"/>
          <w:sz w:val="17"/>
          <w:szCs w:val="17"/>
          <w:color w:val="auto"/>
        </w:rPr>
        <w:t>Gilead Agreement (Second Research Program) and we granted Gilead a research license. Gilead also exercised their exclusive option to obtain a license to exploit the research molecule and research product with respect to the Second Research Program. Gilead paid us a total of $25.0 million related to the nomination and option exercise in December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revenue consists of the following:</w:t>
      </w:r>
    </w:p>
    <w:p>
      <w:pPr>
        <w:spacing w:after="0" w:line="169" w:lineRule="exact"/>
        <w:rPr>
          <w:sz w:val="20"/>
          <w:szCs w:val="20"/>
          <w:color w:val="auto"/>
        </w:rPr>
      </w:pPr>
    </w:p>
    <w:p>
      <w:pPr>
        <w:ind w:left="940" w:right="180" w:hanging="311"/>
        <w:spacing w:after="0" w:line="274" w:lineRule="auto"/>
        <w:tabs>
          <w:tab w:leader="none" w:pos="9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collaborative and other agreements which includes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w:t>
      </w:r>
    </w:p>
    <w:p>
      <w:pPr>
        <w:spacing w:after="0" w:line="111" w:lineRule="exact"/>
        <w:rPr>
          <w:rFonts w:ascii="Times New Roman" w:cs="Times New Roman" w:eastAsia="Times New Roman" w:hAnsi="Times New Roman"/>
          <w:sz w:val="17"/>
          <w:szCs w:val="17"/>
          <w:color w:val="auto"/>
        </w:rPr>
      </w:pPr>
    </w:p>
    <w:p>
      <w:pPr>
        <w:ind w:left="940" w:right="200" w:hanging="311"/>
        <w:spacing w:after="0" w:line="294" w:lineRule="auto"/>
        <w:tabs>
          <w:tab w:leader="none" w:pos="9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manufacturing revenue which is earned from providing development and manufacturing services to third parties and manufacturing their drug substance;</w:t>
      </w:r>
    </w:p>
    <w:p>
      <w:pPr>
        <w:spacing w:after="0" w:line="94" w:lineRule="exact"/>
        <w:rPr>
          <w:rFonts w:ascii="Times New Roman" w:cs="Times New Roman" w:eastAsia="Times New Roman" w:hAnsi="Times New Roman"/>
          <w:sz w:val="17"/>
          <w:szCs w:val="17"/>
          <w:color w:val="auto"/>
        </w:rPr>
      </w:pPr>
    </w:p>
    <w:p>
      <w:pPr>
        <w:ind w:left="940" w:right="60" w:hanging="311"/>
        <w:spacing w:after="0" w:line="274" w:lineRule="auto"/>
        <w:tabs>
          <w:tab w:leader="none" w:pos="9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sales, net which reflects sales of MARGENZA. Product revenue is recorded net of applicable reserves for variable consideration, including discounts and other allowances. In November 2024, we sold global rights to MARGENZA to TerSera Therapeutics, LLC (TerSera) for an upfront payment of $40.0 million, and accordingly, no longer have product sales; and</w:t>
      </w:r>
    </w:p>
    <w:p>
      <w:pPr>
        <w:spacing w:after="0" w:line="111" w:lineRule="exact"/>
        <w:rPr>
          <w:rFonts w:ascii="Times New Roman" w:cs="Times New Roman" w:eastAsia="Times New Roman" w:hAnsi="Times New Roman"/>
          <w:sz w:val="17"/>
          <w:szCs w:val="17"/>
          <w:color w:val="auto"/>
        </w:rPr>
      </w:pPr>
    </w:p>
    <w:p>
      <w:pPr>
        <w:ind w:left="940" w:right="140" w:hanging="311"/>
        <w:spacing w:after="0" w:line="294" w:lineRule="auto"/>
        <w:tabs>
          <w:tab w:leader="none" w:pos="935" w:val="left"/>
        </w:tabs>
        <w:numPr>
          <w:ilvl w:val="0"/>
          <w:numId w:val="3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sales-based royalty revenue that is recognized when the related sales occur or when the performance obligation to which some or all of the royalty has been allocated has been satisfied or partially satisfied.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 research and development expense on a program-by-program basis for our product candidates and recognize these expenses as they are incurred. The following are items we include in research and development expense:</w:t>
      </w:r>
    </w:p>
    <w:p>
      <w:pPr>
        <w:spacing w:after="0" w:line="117" w:lineRule="exact"/>
        <w:rPr>
          <w:sz w:val="20"/>
          <w:szCs w:val="20"/>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such as salaries and benefits;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overhead expenses, such as facilities and other allocated items;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to employees engaged in research and development activities;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laboratory and manufacturing equipment, computers and leasehold improvements;</w:t>
      </w:r>
    </w:p>
    <w:p>
      <w:pPr>
        <w:spacing w:after="0" w:line="169" w:lineRule="exact"/>
        <w:rPr>
          <w:rFonts w:ascii="Times New Roman" w:cs="Times New Roman" w:eastAsia="Times New Roman" w:hAnsi="Times New Roman"/>
          <w:sz w:val="17"/>
          <w:szCs w:val="17"/>
          <w:color w:val="auto"/>
        </w:rPr>
      </w:pPr>
    </w:p>
    <w:p>
      <w:pPr>
        <w:ind w:left="940" w:right="520" w:hanging="311"/>
        <w:spacing w:after="0" w:line="274" w:lineRule="auto"/>
        <w:tabs>
          <w:tab w:leader="none" w:pos="9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spacing w:after="0" w:line="11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paid to vendors and suppliers for laboratory supplies;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and third party costs related to manufacturing clinical trial materials, including vialing, packaging and testing;</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fees and other third party vendor payments related to in-licensed product candidates and technology; and</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2" w:name="page63"/>
    <w:bookmarkEnd w:id="62"/>
    <w:p>
      <w:pPr>
        <w:ind w:firstLine="625"/>
        <w:spacing w:after="0" w:line="262" w:lineRule="auto"/>
        <w:rPr>
          <w:sz w:val="20"/>
          <w:szCs w:val="20"/>
          <w:color w:val="auto"/>
        </w:rPr>
      </w:pPr>
      <w:r>
        <w:rPr>
          <w:rFonts w:ascii="Times New Roman" w:cs="Times New Roman" w:eastAsia="Times New Roman" w:hAnsi="Times New Roman"/>
          <w:sz w:val="17"/>
          <w:szCs w:val="17"/>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173"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expense consists of salaries and related benefit costs for employees in our executive, finance, legal and intellectual property, business development, human resources, information technology and other support functions. Selling, general and administrative expense also includes legal and professional fees and included costs incurred under the arrangement with our commercialization partner, Eversana Life Science Services, LLC in 2023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We did not make any material changes to these assumptions during the year ended December 31, 2025, and do not expect any material changes in the near term to the underlying assumptions. If we were to adjust our assumptions, the results of any material revisions would be reflected in the consolidated financial statements prospectively from the date of the change in estimate. Management considers an accounting estimate to be critical if:</w:t>
      </w:r>
    </w:p>
    <w:p>
      <w:pPr>
        <w:spacing w:after="0" w:line="122" w:lineRule="exact"/>
        <w:rPr>
          <w:sz w:val="20"/>
          <w:szCs w:val="20"/>
          <w:color w:val="auto"/>
        </w:rPr>
      </w:pPr>
    </w:p>
    <w:p>
      <w:pPr>
        <w:ind w:left="940" w:hanging="311"/>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requires a significant level of estimation uncertainty; and</w:t>
      </w:r>
    </w:p>
    <w:p>
      <w:pPr>
        <w:spacing w:after="0" w:line="64"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estimate are reasonably likely to have a material effect on our financial condition or results of operations.</w:t>
      </w:r>
    </w:p>
    <w:p>
      <w:pPr>
        <w:spacing w:after="0" w:line="169"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60" w:firstLine="625"/>
        <w:spacing w:after="0" w:line="264" w:lineRule="auto"/>
        <w:rPr>
          <w:sz w:val="20"/>
          <w:szCs w:val="20"/>
          <w:color w:val="auto"/>
        </w:rPr>
      </w:pPr>
      <w:r>
        <w:rPr>
          <w:rFonts w:ascii="Times New Roman" w:cs="Times New Roman" w:eastAsia="Times New Roman" w:hAnsi="Times New Roman"/>
          <w:sz w:val="17"/>
          <w:szCs w:val="17"/>
          <w:color w:val="auto"/>
        </w:rPr>
        <w:t xml:space="preserve">We recognize revenue under Accounting Standards Codification (ASC) Topic 606, </w:t>
      </w:r>
      <w:r>
        <w:rPr>
          <w:rFonts w:ascii="Times New Roman" w:cs="Times New Roman" w:eastAsia="Times New Roman" w:hAnsi="Times New Roman"/>
          <w:sz w:val="17"/>
          <w:szCs w:val="17"/>
          <w:i w:val="1"/>
          <w:iCs w:val="1"/>
          <w:color w:val="auto"/>
        </w:rPr>
        <w:t>Revenue from Contracts with Customer</w:t>
      </w:r>
      <w:r>
        <w:rPr>
          <w:rFonts w:ascii="Times New Roman" w:cs="Times New Roman" w:eastAsia="Times New Roman" w:hAnsi="Times New Roman"/>
          <w:sz w:val="17"/>
          <w:szCs w:val="17"/>
          <w:color w:val="auto"/>
        </w:rPr>
        <w:t>s,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w:t>
      </w:r>
    </w:p>
    <w:p>
      <w:pPr>
        <w:ind w:right="320" w:firstLine="4"/>
        <w:spacing w:after="0" w:line="263" w:lineRule="auto"/>
        <w:tabs>
          <w:tab w:leader="none" w:pos="20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Collaborative and Other Agreements</w:t>
      </w:r>
    </w:p>
    <w:p>
      <w:pPr>
        <w:spacing w:after="0" w:line="171" w:lineRule="exact"/>
        <w:rPr>
          <w:sz w:val="20"/>
          <w:szCs w:val="20"/>
          <w:color w:val="auto"/>
        </w:rPr>
      </w:pPr>
    </w:p>
    <w:p>
      <w:pPr>
        <w:ind w:right="320" w:firstLine="625"/>
        <w:spacing w:after="0" w:line="268" w:lineRule="auto"/>
        <w:rPr>
          <w:sz w:val="20"/>
          <w:szCs w:val="20"/>
          <w:color w:val="auto"/>
        </w:rPr>
      </w:pPr>
      <w:r>
        <w:rPr>
          <w:rFonts w:ascii="Times New Roman" w:cs="Times New Roman" w:eastAsia="Times New Roman" w:hAnsi="Times New Roman"/>
          <w:sz w:val="17"/>
          <w:szCs w:val="17"/>
          <w:color w:val="auto"/>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3" w:name="page64"/>
    <w:bookmarkEnd w:id="63"/>
    <w:p>
      <w:pPr>
        <w:ind w:right="160" w:firstLine="625"/>
        <w:spacing w:after="0" w:line="262" w:lineRule="auto"/>
        <w:rPr>
          <w:sz w:val="20"/>
          <w:szCs w:val="20"/>
          <w:color w:val="auto"/>
        </w:rPr>
      </w:pPr>
      <w:r>
        <w:rPr>
          <w:rFonts w:ascii="Times New Roman" w:cs="Times New Roman" w:eastAsia="Times New Roman" w:hAnsi="Times New Roman"/>
          <w:sz w:val="17"/>
          <w:szCs w:val="17"/>
          <w:color w:val="auto"/>
        </w:rPr>
        <w:t>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reversal of revenue. In making these assessments, management considers the likelihood and magnitude of a potential reversal of revenue. These estimates are re-assessed each reporting period as required.</w:t>
      </w:r>
    </w:p>
    <w:p>
      <w:pPr>
        <w:spacing w:after="0" w:line="121"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spacing w:after="0" w:line="121"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62"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Licenses. </w:t>
      </w:r>
      <w:r>
        <w:rPr>
          <w:rFonts w:ascii="Times New Roman" w:cs="Times New Roman" w:eastAsia="Times New Roman" w:hAnsi="Times New Roman"/>
          <w:sz w:val="17"/>
          <w:szCs w:val="17"/>
          <w:color w:val="252525"/>
        </w:rPr>
        <w:t>When we grant a license to our intellectual property,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nature of the intellectual property to which the customer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 xml:space="preserve">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Times New Roman" w:cs="Times New Roman" w:eastAsia="Times New Roman" w:hAnsi="Times New Roman"/>
          <w:sz w:val="17"/>
          <w:szCs w:val="17"/>
          <w:color w:val="000000"/>
        </w:rPr>
        <w:t>If the license to our intellectual property</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338"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Research, Development and/or Manufacturing Services. </w:t>
      </w:r>
      <w:r>
        <w:rPr>
          <w:rFonts w:ascii="Times New Roman" w:cs="Times New Roman" w:eastAsia="Times New Roman" w:hAnsi="Times New Roman"/>
          <w:sz w:val="17"/>
          <w:szCs w:val="17"/>
          <w:color w:val="auto"/>
        </w:rPr>
        <w:t>The promises under our agreements may include research and development or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w:t>
      </w:r>
    </w:p>
    <w:p>
      <w:pPr>
        <w:spacing w:after="0" w:line="173" w:lineRule="exact"/>
        <w:rPr>
          <w:sz w:val="20"/>
          <w:szCs w:val="20"/>
          <w:color w:val="auto"/>
        </w:rPr>
      </w:pPr>
    </w:p>
    <w:p>
      <w:pPr>
        <w:jc w:val="both"/>
        <w:ind w:right="40"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Customer Options. </w:t>
      </w:r>
      <w:r>
        <w:rPr>
          <w:rFonts w:ascii="Times New Roman" w:cs="Times New Roman" w:eastAsia="Times New Roman" w:hAnsi="Times New Roman"/>
          <w:sz w:val="17"/>
          <w:szCs w:val="17"/>
          <w:color w:val="auto"/>
        </w:rPr>
        <w:t>If an arrangement contains customer options, we evaluate whether the options are material rights because they allow the customer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4" w:name="page65"/>
    <w:bookmarkEnd w:id="64"/>
    <w:p>
      <w:pPr>
        <w:ind w:right="80"/>
        <w:spacing w:after="0" w:line="274" w:lineRule="auto"/>
        <w:rPr>
          <w:sz w:val="20"/>
          <w:szCs w:val="20"/>
          <w:color w:val="auto"/>
        </w:rPr>
      </w:pPr>
      <w:r>
        <w:rPr>
          <w:rFonts w:ascii="Times New Roman" w:cs="Times New Roman" w:eastAsia="Times New Roman" w:hAnsi="Times New Roman"/>
          <w:sz w:val="17"/>
          <w:szCs w:val="17"/>
          <w:color w:val="auto"/>
        </w:rPr>
        <w:t>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or expires. If the options are deemed not to be a material right, they are excluded as performance obligations at the outset of the arrangement.</w:t>
      </w:r>
    </w:p>
    <w:p>
      <w:pPr>
        <w:spacing w:after="0" w:line="162"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development milestone payments, management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383" w:lineRule="exact"/>
        <w:rPr>
          <w:sz w:val="20"/>
          <w:szCs w:val="20"/>
          <w:color w:val="auto"/>
        </w:rPr>
      </w:pPr>
    </w:p>
    <w:p>
      <w:pPr>
        <w:ind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which are the result of a customer-vendor relationship and for which the license is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w:t>
      </w:r>
    </w:p>
    <w:p>
      <w:pPr>
        <w:spacing w:after="0" w:line="161"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ASC 606. 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Manufacturing Revenue</w:t>
      </w:r>
    </w:p>
    <w:p>
      <w:pPr>
        <w:spacing w:after="0" w:line="171" w:lineRule="exact"/>
        <w:rPr>
          <w:sz w:val="20"/>
          <w:szCs w:val="20"/>
          <w:color w:val="auto"/>
        </w:rPr>
      </w:pPr>
    </w:p>
    <w:p>
      <w:pPr>
        <w:ind w:right="60" w:firstLine="625"/>
        <w:spacing w:after="0" w:line="279" w:lineRule="auto"/>
        <w:rPr>
          <w:sz w:val="20"/>
          <w:szCs w:val="20"/>
          <w:color w:val="auto"/>
        </w:rPr>
      </w:pPr>
      <w:r>
        <w:rPr>
          <w:rFonts w:ascii="Times New Roman" w:cs="Times New Roman" w:eastAsia="Times New Roman" w:hAnsi="Times New Roman"/>
          <w:sz w:val="17"/>
          <w:szCs w:val="17"/>
          <w:color w:val="auto"/>
        </w:rPr>
        <w:t>We enter into agreements with third parties to manufacture their drug substance at our Good Manufacturing Practice (GMP) facility. The terms of these arrangements can include an upfront payment to us to reserve manufacturing capacity, scheduled payments during the manufacturing process and reimbursement</w:t>
      </w:r>
    </w:p>
    <w:p>
      <w:pPr>
        <w:spacing w:after="0" w:line="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7"/>
          <w:szCs w:val="17"/>
          <w:color w:val="auto"/>
        </w:rPr>
        <w:t>for materials used to manufacture product. We recognize revenue over time on a straight-line basis as the manufacturing services are performed, as we believe that our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 Including Clinical Trial Accruals/Expenses</w:t>
      </w:r>
    </w:p>
    <w:p>
      <w:pPr>
        <w:spacing w:after="0" w:line="173"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Research and development expense consists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CROs, and the cost of acquiring and manufacturing clinical trial materials, including costs incurred under agreements with contract manufacturing organizations (CMOs). Research and development costs are expensed as incurred. We receive estimates from our collaborators when we are sharing development expenses, and use these estimates to record an increase or decrease in research and development expense, depending on how much we have each spent during the period.</w:t>
      </w:r>
    </w:p>
    <w:p>
      <w:pPr>
        <w:spacing w:after="0" w:line="121"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Clinical trial expenses are a significant component of research and development expense, and we outsource a significant portion of these costs to third parties. Third party clinical trial expenses include investigator fees, site and patient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5" w:name="page66"/>
    <w:bookmarkEnd w:id="65"/>
    <w:p>
      <w:pPr>
        <w:ind w:right="20"/>
        <w:spacing w:after="0" w:line="260" w:lineRule="auto"/>
        <w:rPr>
          <w:sz w:val="20"/>
          <w:szCs w:val="20"/>
          <w:color w:val="auto"/>
        </w:rPr>
      </w:pPr>
      <w:r>
        <w:rPr>
          <w:rFonts w:ascii="Times New Roman" w:cs="Times New Roman" w:eastAsia="Times New Roman" w:hAnsi="Times New Roman"/>
          <w:sz w:val="17"/>
          <w:szCs w:val="17"/>
          <w:color w:val="auto"/>
        </w:rPr>
        <w:t>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third-party agreements are generally cancelable, and related costs are recorded as research and development expense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the sale of future royalties and related interest expense</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3" w:lineRule="exact"/>
        <w:rPr>
          <w:sz w:val="20"/>
          <w:szCs w:val="20"/>
          <w:color w:val="auto"/>
        </w:rPr>
      </w:pPr>
    </w:p>
    <w:p>
      <w:pPr>
        <w:ind w:right="20" w:firstLine="625"/>
        <w:spacing w:after="0" w:line="294" w:lineRule="auto"/>
        <w:rPr>
          <w:sz w:val="20"/>
          <w:szCs w:val="20"/>
          <w:color w:val="auto"/>
        </w:rPr>
      </w:pPr>
      <w:r>
        <w:rPr>
          <w:rFonts w:ascii="Times New Roman" w:cs="Times New Roman" w:eastAsia="Times New Roman" w:hAnsi="Times New Roman"/>
          <w:sz w:val="17"/>
          <w:szCs w:val="17"/>
          <w:color w:val="auto"/>
        </w:rPr>
        <w:t>See Note 2, Summary of Significant Accounting Policies, to the consolidated financial statements for information under the caption "Recent Accounting Pronouncements."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represents a comparison of our revenue for the years ended December 31, 2025 and 2024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720" w:type="dxa"/>
            <w:vAlign w:val="bottom"/>
            <w:tcBorders>
              <w:bottom w:val="single" w:sz="8" w:color="auto"/>
            </w:tcBorders>
          </w:tcPr>
          <w:p>
            <w:pPr>
              <w:spacing w:after="0"/>
              <w:rPr>
                <w:sz w:val="19"/>
                <w:szCs w:val="19"/>
                <w:color w:val="auto"/>
              </w:rPr>
            </w:pPr>
          </w:p>
        </w:tc>
      </w:tr>
      <w:tr>
        <w:trPr>
          <w:trHeight w:val="214"/>
        </w:trPr>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Collaborative and other agreements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manufacturing</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302 %</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1"/>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Royalty revenue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3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169" w:lineRule="exact"/>
        <w:rPr>
          <w:sz w:val="20"/>
          <w:szCs w:val="20"/>
          <w:color w:val="auto"/>
        </w:rPr>
      </w:pPr>
    </w:p>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The decrease of $32.7 million in revenue from collaborative and other agreements for the year ended December 31, 2025 compared to the year ended December 31, 2024 was primarily due to $100.0 million recognized from milestones under the Incyte License Agreement in 2024 compared to $50.0 million recognized from milestones under the Provention (Sanofi) Asset Purchase Agreement and $25.0 million from the Gilead Agreement in 2025.</w:t>
      </w:r>
    </w:p>
    <w:p>
      <w:pPr>
        <w:spacing w:after="0" w:line="112" w:lineRule="exact"/>
        <w:rPr>
          <w:sz w:val="20"/>
          <w:szCs w:val="20"/>
          <w:color w:val="auto"/>
        </w:rPr>
      </w:pPr>
    </w:p>
    <w:p>
      <w:pPr>
        <w:jc w:val="both"/>
        <w:ind w:right="260" w:firstLine="625"/>
        <w:spacing w:after="0" w:line="294" w:lineRule="auto"/>
        <w:rPr>
          <w:sz w:val="20"/>
          <w:szCs w:val="20"/>
          <w:color w:val="auto"/>
        </w:rPr>
      </w:pPr>
      <w:r>
        <w:rPr>
          <w:rFonts w:ascii="Times New Roman" w:cs="Times New Roman" w:eastAsia="Times New Roman" w:hAnsi="Times New Roman"/>
          <w:sz w:val="17"/>
          <w:szCs w:val="17"/>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94" w:lineRule="exact"/>
        <w:rPr>
          <w:sz w:val="20"/>
          <w:szCs w:val="20"/>
          <w:color w:val="auto"/>
        </w:rPr>
      </w:pPr>
    </w:p>
    <w:p>
      <w:pPr>
        <w:ind w:right="340" w:firstLine="625"/>
        <w:spacing w:after="0" w:line="294" w:lineRule="auto"/>
        <w:rPr>
          <w:sz w:val="20"/>
          <w:szCs w:val="20"/>
          <w:color w:val="auto"/>
        </w:rPr>
      </w:pPr>
      <w:r>
        <w:rPr>
          <w:rFonts w:ascii="Times New Roman" w:cs="Times New Roman" w:eastAsia="Times New Roman" w:hAnsi="Times New Roman"/>
          <w:sz w:val="17"/>
          <w:szCs w:val="17"/>
          <w:color w:val="252525"/>
        </w:rPr>
        <w:t xml:space="preserve">Contract manufacturing revenue increased by $39.5 million </w:t>
      </w:r>
      <w:r>
        <w:rPr>
          <w:rFonts w:ascii="Times New Roman" w:cs="Times New Roman" w:eastAsia="Times New Roman" w:hAnsi="Times New Roman"/>
          <w:sz w:val="17"/>
          <w:szCs w:val="17"/>
          <w:color w:val="000000"/>
        </w:rPr>
        <w:t>for the year ended December 31, 2025 compared to the year ended December 31, 2024,</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reflecting increased production for external clients in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6" w:name="page67"/>
    <w:bookmarkEnd w:id="66"/>
    <w:p>
      <w:pPr>
        <w:ind w:right="220" w:firstLine="625"/>
        <w:spacing w:after="0" w:line="294" w:lineRule="auto"/>
        <w:rPr>
          <w:sz w:val="20"/>
          <w:szCs w:val="20"/>
          <w:color w:val="auto"/>
        </w:rPr>
      </w:pPr>
      <w:r>
        <w:rPr>
          <w:rFonts w:ascii="Times New Roman" w:cs="Times New Roman" w:eastAsia="Times New Roman" w:hAnsi="Times New Roman"/>
          <w:sz w:val="17"/>
          <w:szCs w:val="17"/>
          <w:color w:val="auto"/>
        </w:rPr>
        <w:t>The decrease in product sales, net is due to the fact that we sold the global rights to MARGENZA to TerSera in November 2024, and accordingly, no longer have product sales.</w:t>
      </w:r>
    </w:p>
    <w:p>
      <w:pPr>
        <w:spacing w:after="0" w:line="94" w:lineRule="exact"/>
        <w:rPr>
          <w:sz w:val="20"/>
          <w:szCs w:val="20"/>
          <w:color w:val="auto"/>
        </w:rPr>
      </w:pPr>
    </w:p>
    <w:p>
      <w:pPr>
        <w:jc w:val="both"/>
        <w:ind w:right="320" w:firstLine="625"/>
        <w:spacing w:after="0" w:line="274" w:lineRule="auto"/>
        <w:rPr>
          <w:sz w:val="20"/>
          <w:szCs w:val="20"/>
          <w:color w:val="auto"/>
        </w:rPr>
      </w:pPr>
      <w:r>
        <w:rPr>
          <w:rFonts w:ascii="Times New Roman" w:cs="Times New Roman" w:eastAsia="Times New Roman" w:hAnsi="Times New Roman"/>
          <w:sz w:val="17"/>
          <w:szCs w:val="17"/>
          <w:color w:val="auto"/>
        </w:rPr>
        <w:t>Royalty revenue increased by $9.1 million for the year ended December 31, 2025 compared to December 31, 2024 due to higher sales of ZYNYZ. During 2025, $7.9 million of the royalty revenue was non-cash due to the sale of our royalty rights to Sagard Healthcare Partners (Sagard) in June 2025. See Note 10, Royalty Monetization Arrangemen</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7"/>
          <w:szCs w:val="17"/>
          <w:color w:val="auto"/>
        </w:rPr>
        <w:t xml:space="preserve"> to the consolidated financial statements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500" w:firstLine="625"/>
        <w:spacing w:after="0" w:line="268" w:lineRule="auto"/>
        <w:rPr>
          <w:sz w:val="20"/>
          <w:szCs w:val="20"/>
          <w:color w:val="auto"/>
        </w:rPr>
      </w:pPr>
      <w:r>
        <w:rPr>
          <w:rFonts w:ascii="Times New Roman" w:cs="Times New Roman" w:eastAsia="Times New Roman" w:hAnsi="Times New Roman"/>
          <w:sz w:val="17"/>
          <w:szCs w:val="17"/>
          <w:color w:val="auto"/>
        </w:rPr>
        <w:t>Cost of manufacturing services was $36.0 million and $11.5 million for the years ended December 31, 2025 and 2024, respectively. Cost of manufacturing services includes the costs to provide manufacturing services to our customers. The increase in the cost of manufacturing services is due to increased production for external clients in 2025. We expect cost of manufacturing services to vary from period to period based on the agreed-upon manufacturing schedule.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represents a comparison of our research and development expense for the years ended December 31, 2025 and 2024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620" w:type="dxa"/>
            <w:vAlign w:val="bottom"/>
            <w:tcBorders>
              <w:bottom w:val="single" w:sz="8" w:color="auto"/>
            </w:tcBorders>
          </w:tcPr>
          <w:p>
            <w:pPr>
              <w:spacing w:after="0"/>
              <w:rPr>
                <w:sz w:val="19"/>
                <w:szCs w:val="19"/>
                <w:color w:val="auto"/>
              </w:rPr>
            </w:pPr>
          </w:p>
        </w:tc>
      </w:tr>
      <w:tr>
        <w:trPr>
          <w:trHeight w:val="214"/>
        </w:trPr>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Lorigerlimab</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MGC030</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108 %</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MGC028</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Vobramitamab duocarmazine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MGC026</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Next-generation T-cell engagers (a)</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MGD024</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antibody-drug conjugates (ADCs)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Margetuximab</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1"/>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programs (a) (b)</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6"/>
        <w:spacing w:after="0"/>
        <w:tabs>
          <w:tab w:leader="none" w:pos="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research and discovery projects, as well as early preclinical molecules and molecules not advanced to clinical development.</w:t>
      </w:r>
    </w:p>
    <w:p>
      <w:pPr>
        <w:spacing w:after="0" w:line="3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discontinued projects.</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Research and development expense for the year ended December 31, 2025 decreased by $30.0 million compared to the year ended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decrease was primarily attributable to:</w:t>
      </w:r>
    </w:p>
    <w:p>
      <w:pPr>
        <w:spacing w:after="0" w:line="151" w:lineRule="exact"/>
        <w:rPr>
          <w:sz w:val="20"/>
          <w:szCs w:val="20"/>
          <w:color w:val="auto"/>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vobra duo costs due to the decision to discontinue further internal development of that program;</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development costs related to the wind down of margetuximab activities after the sale of MARGENZA to TerSera; and</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development, manufacturing and IND-enabling costs related to MGC028.</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These decreases were partially offset by</w:t>
      </w:r>
    </w:p>
    <w:p>
      <w:pPr>
        <w:spacing w:after="0" w:line="169" w:lineRule="exact"/>
        <w:rPr>
          <w:sz w:val="20"/>
          <w:szCs w:val="20"/>
          <w:color w:val="auto"/>
        </w:rPr>
      </w:pPr>
    </w:p>
    <w:p>
      <w:pPr>
        <w:ind w:left="940" w:hanging="311"/>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clinical trial costs related to MGC026 and MGC028; and</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development costs related to MGC030.</w:t>
      </w:r>
    </w:p>
    <w:p>
      <w:pPr>
        <w:spacing w:after="0" w:line="169"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There are uncertainties associated with our research and development expenses for future periods which are impacted by multiple variables, including timing of wind down activities for recently closed studies and current and expected expenditures associated with our ongoing clinical studies.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173"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expenses were $39.2 million and $71.0 million for the years ended December 31, 2025 and 2024, respectively. The decrease is primarily due to lower stock-based compensation expense and reduced professional fees. The decrease in stock-based compensation expense was largely driven by additional stock-based compensation expense and accrued severance related to the separation agreement with our Chief Executive Officer recorded in 2024. The reduction in professional fees was largely driven by the cessation of commercialization activities for MARGENZA.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Sale of MARGENZA</w:t>
      </w:r>
    </w:p>
    <w:p>
      <w:pPr>
        <w:spacing w:after="0" w:line="173"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In October 2024, we entered into an Asset Purchase and Sale Agreement (ASA) with TerSera Therapeutics, LLC (TerSera) which closed in November 2024. Under the terms of the ASA, we sold the global rights to MARGENZA, inclusive of our business of researching, developing, commercializing, manufacturing, packaging, distributing, promoting, marketing and selling the MARGENZA product, as well as using and licensing the intellectual property relating to MARGENZA. In addition to MARGENZA’s intellectual property, TerSera also acquired all existing MARGENZA inventory. We recognized a gain of $36.3 million related to the ASA with TerSera during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Expense</w:t>
      </w:r>
    </w:p>
    <w:p>
      <w:pPr>
        <w:spacing w:after="0" w:line="17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In June 2025, we entered into a Purchase and Sale Agreement (Royalty Purchase Agreement) with Sagard, pursuant to which we sold to Sagard our right to receive royalties on global net sales of ZYNYZ (retifanlimab-dlwr) occurring on and after July 1, 2025 under our Incyte License Agreement, dated as of October 24, 2017, as amended. We are recognizing non-cash interest expense over the life of the Royalty Purchase Agreement, $8.3 million of which was recognized during the year ended December 31, 2025. The increase in Interest and Other Expense of $7.4 million from the year ended December 31, 2024 to the year ended December 31, 2025 is primarily due to this non-cash interest expense, partially offset by a decrease in other expense. See Note 10, Royalty Monetization Arrangement,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a summary of our cash flows for the years ended December 31, 2025 and 2024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Pr>
          <w:p>
            <w:pPr>
              <w:spacing w:after="0"/>
              <w:rPr>
                <w:sz w:val="19"/>
                <w:szCs w:val="19"/>
                <w:color w:val="auto"/>
              </w:rPr>
            </w:pPr>
          </w:p>
        </w:tc>
        <w:tc>
          <w:tcPr>
            <w:tcW w:w="174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580" w:type="dxa"/>
            <w:vAlign w:val="bottom"/>
          </w:tcPr>
          <w:p>
            <w:pPr>
              <w:spacing w:after="0"/>
              <w:rPr>
                <w:sz w:val="19"/>
                <w:szCs w:val="19"/>
                <w:color w:val="auto"/>
              </w:rPr>
            </w:pPr>
          </w:p>
        </w:tc>
      </w:tr>
      <w:tr>
        <w:trPr>
          <w:trHeight w:val="214"/>
        </w:trPr>
        <w:tc>
          <w:tcPr>
            <w:tcW w:w="5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r>
      <w:tr>
        <w:trPr>
          <w:trHeight w:val="20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39"/>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71"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Net cash used in operating activities consists of our net loss adjusted for non-cash items such as depreciation and amortization expense and stock-based compensation, gain on royalty monetization arrangement which is classified as a financing activity, gain on sale of MARGENZA which is classified as an investing activity, and changes in working capital. Net cash used in operating activities for the year ended December 31, 2025 benefited from $50.0 million in milestones from Sanofi and a $25.0 million payment related to the nomination and option exercise from Gilead. Net cash used in operating activities for the year ended December 31, 2024 benefited from a $100.0 million milestone payment received from Incyte under the Incyte License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71"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December 31, 2025 is primarily due to purchases of marketable securities, partially offset by maturities of marketable securities. Net cash provided by investing activities during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8" w:name="page69"/>
    <w:bookmarkEnd w:id="68"/>
    <w:p>
      <w:pPr>
        <w:ind w:right="100"/>
        <w:spacing w:after="0" w:line="294" w:lineRule="auto"/>
        <w:rPr>
          <w:sz w:val="20"/>
          <w:szCs w:val="20"/>
          <w:color w:val="auto"/>
        </w:rPr>
      </w:pPr>
      <w:r>
        <w:rPr>
          <w:rFonts w:ascii="Times New Roman" w:cs="Times New Roman" w:eastAsia="Times New Roman" w:hAnsi="Times New Roman"/>
          <w:sz w:val="17"/>
          <w:szCs w:val="17"/>
          <w:color w:val="auto"/>
        </w:rPr>
        <w:t>year ended December 31, 2024 is primarily due to proceeds from the sale of MARGENZA to TerSera and maturities of marketable securities, partially offset by purchases of marketable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71"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2025 is primarily due to $70.0 million received from Sagard upon sale of our right to receive royalties on global net sales of ZYNYZ (retifanlimab-dlwr). Net cash provided by financing activities for the year ended December 31, 2024 includes proceeds from stock option exercises and ESPP purchases, offset by taxes paid related to net share settlement of equity awards.</w:t>
      </w:r>
    </w:p>
    <w:p>
      <w:pPr>
        <w:spacing w:after="0" w:line="112"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expenses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biotechnology company, we have primarily funded our operations with proceeds from the sale of our common stock in equity offerings and</w:t>
      </w:r>
    </w:p>
    <w:p>
      <w:pPr>
        <w:spacing w:after="0" w:line="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Although it is difficult to predict our funding requirements, we anticipate that our cash, cash equivalents and marketable securities as of December 31, 2025, combined with projected and anticipated future payments from our partners, and anticipated savings from our cost-reduction initiatives, supports our cash runway into late 2027. We have implemented, and will continue to evaluate and execute, various cost-saving measures that are intended to extend our financial runway while continuing to progress our pipeline.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52525"/>
        </w:rPr>
        <w:t>Material Cash Requirements</w:t>
      </w:r>
    </w:p>
    <w:p>
      <w:pPr>
        <w:spacing w:after="0" w:line="173"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Our short-term and long-term material cash requirements consist of operational and capital expenditures, some of which contain contractual obligations. Our primary uses of cash relate to paying salaries and benefits, conducting research activities, administering clinical trials and providing the technology and facilities necessary to support our operations. The most significant contractual obligations are the operating leases at our facilities in Maryland. Our future minimum lease payments as of December 31, 2025 totaled $5.5 million related to short-term lease liabilities, and $59.8 million related to long-term lease liabilities. See Note 5, Commitments and Contingencies, in the Notes to the Financial Statements in this Annual Report on Form 10-K for additional information about our contractual obligations. We expect to fund these requirements with current cash, cash equivalents and marketable securities as well as anticipated and potential collaboration payments.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have any off-balance sheet arrangements, as defined under the rules and regulations of the Securities and Exchange Commission.</w:t>
      </w:r>
    </w:p>
    <w:p>
      <w:pPr>
        <w:spacing w:after="0" w:line="200" w:lineRule="exact"/>
        <w:rPr>
          <w:sz w:val="20"/>
          <w:szCs w:val="20"/>
          <w:color w:val="auto"/>
        </w:rPr>
      </w:pP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71" w:lineRule="exact"/>
        <w:rPr>
          <w:sz w:val="20"/>
          <w:szCs w:val="20"/>
          <w:color w:val="auto"/>
        </w:rPr>
      </w:pPr>
    </w:p>
    <w:p>
      <w:pPr>
        <w:ind w:right="200" w:firstLine="625"/>
        <w:spacing w:after="0" w:line="294" w:lineRule="auto"/>
        <w:rPr>
          <w:sz w:val="20"/>
          <w:szCs w:val="20"/>
          <w:color w:val="auto"/>
        </w:rPr>
      </w:pPr>
      <w:r>
        <w:rPr>
          <w:rFonts w:ascii="Times New Roman" w:cs="Times New Roman" w:eastAsia="Times New Roman" w:hAnsi="Times New Roman"/>
          <w:sz w:val="17"/>
          <w:szCs w:val="17"/>
          <w:color w:val="auto"/>
        </w:rPr>
        <w:t>We are a smaller reporting company as defined in Item 10(f)(1) of Regulation S-K. As a result, pursuant to Item 305(e) of Regulation S-K, we are not required to provide the information required by this Item 7A.</w:t>
      </w:r>
    </w:p>
    <w:p>
      <w:pPr>
        <w:spacing w:after="0" w:line="2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set forth beginning on page F-1 in this Annual Report on Form 10-K.</w:t>
      </w:r>
    </w:p>
    <w:p>
      <w:pPr>
        <w:spacing w:after="0" w:line="200" w:lineRule="exact"/>
        <w:rPr>
          <w:sz w:val="20"/>
          <w:szCs w:val="20"/>
          <w:color w:val="auto"/>
        </w:rPr>
      </w:pPr>
    </w:p>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71"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Our management, including our principal executive and principal financial officers, has evaluated the effectiveness of our disclosure controls and procedures as of December 31, 2025.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w:t>
      </w:r>
    </w:p>
    <w:p>
      <w:pPr>
        <w:spacing w:after="0" w:line="171" w:lineRule="exact"/>
        <w:rPr>
          <w:sz w:val="20"/>
          <w:szCs w:val="20"/>
          <w:color w:val="auto"/>
        </w:rPr>
      </w:pPr>
    </w:p>
    <w:p>
      <w:pPr>
        <w:ind w:right="360" w:firstLine="625"/>
        <w:spacing w:after="0" w:line="268" w:lineRule="auto"/>
        <w:rPr>
          <w:sz w:val="20"/>
          <w:szCs w:val="20"/>
          <w:color w:val="auto"/>
        </w:rPr>
      </w:pPr>
      <w:r>
        <w:rPr>
          <w:rFonts w:ascii="Times New Roman" w:cs="Times New Roman" w:eastAsia="Times New Roman" w:hAnsi="Times New Roman"/>
          <w:sz w:val="17"/>
          <w:szCs w:val="17"/>
          <w:color w:val="252525"/>
        </w:rPr>
        <w:t xml:space="preserve">Our management, including our principal executive and principal financial officers, has evaluated any changes in our internal control over financial reporting that occurred during the quarterly period ended </w:t>
      </w:r>
      <w:r>
        <w:rPr>
          <w:rFonts w:ascii="Times New Roman" w:cs="Times New Roman" w:eastAsia="Times New Roman" w:hAnsi="Times New Roman"/>
          <w:sz w:val="17"/>
          <w:szCs w:val="17"/>
          <w:color w:val="000000"/>
        </w:rPr>
        <w:t>December 31, 2025</w:t>
      </w:r>
      <w:r>
        <w:rPr>
          <w:rFonts w:ascii="Times New Roman" w:cs="Times New Roman" w:eastAsia="Times New Roman" w:hAnsi="Times New Roman"/>
          <w:sz w:val="17"/>
          <w:szCs w:val="17"/>
          <w:color w:val="252525"/>
        </w:rPr>
        <w:t xml:space="preserve">, and has concluded that there was no change that occurred during the quarterly period ended </w:t>
      </w:r>
      <w:r>
        <w:rPr>
          <w:rFonts w:ascii="Times New Roman" w:cs="Times New Roman" w:eastAsia="Times New Roman" w:hAnsi="Times New Roman"/>
          <w:sz w:val="17"/>
          <w:szCs w:val="17"/>
          <w:color w:val="000000"/>
        </w:rPr>
        <w:t>December 31, 2025 that have materially affected, or are reasonably likely to materially effect, the Company's internal control over financial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reporting.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7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9" w:lineRule="exact"/>
        <w:rPr>
          <w:sz w:val="20"/>
          <w:szCs w:val="20"/>
          <w:color w:val="auto"/>
        </w:rPr>
      </w:pPr>
    </w:p>
    <w:p>
      <w:pPr>
        <w:ind w:left="940" w:right="440" w:hanging="311"/>
        <w:spacing w:after="0" w:line="287" w:lineRule="auto"/>
        <w:tabs>
          <w:tab w:leader="none" w:pos="9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management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7"/>
          <w:szCs w:val="17"/>
          <w:color w:val="auto"/>
        </w:rPr>
      </w:pPr>
    </w:p>
    <w:p>
      <w:pPr>
        <w:ind w:left="940" w:right="120" w:hanging="311"/>
        <w:spacing w:after="0" w:line="274" w:lineRule="auto"/>
        <w:tabs>
          <w:tab w:leader="none" w:pos="9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 w:lineRule="exact"/>
        <w:rPr>
          <w:rFonts w:ascii="Times New Roman" w:cs="Times New Roman" w:eastAsia="Times New Roman" w:hAnsi="Times New Roman"/>
          <w:sz w:val="17"/>
          <w:szCs w:val="17"/>
          <w:color w:val="auto"/>
        </w:rPr>
      </w:pPr>
    </w:p>
    <w:p>
      <w:pPr>
        <w:ind w:left="940" w:right="160" w:hanging="311"/>
        <w:spacing w:after="0" w:line="294" w:lineRule="auto"/>
        <w:tabs>
          <w:tab w:leader="none" w:pos="9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42"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5"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The Company's management assessed the effectiveness of the Company's internal control over financial reporting as of December 31, 2025. In making this assessment, the Company's management used the criteria set forth by the Committee of Sponsoring Organizations of the Treadway Commission (2013 framework) (COSO) in Internal Control-Integrated Framework. Based on our assessment, management believes that, as of December 31, 2025, the Company's internal control over financial reporting is effective based on those criteria.</w:t>
      </w:r>
    </w:p>
    <w:p>
      <w:pPr>
        <w:spacing w:after="0" w:line="117" w:lineRule="exact"/>
        <w:rPr>
          <w:sz w:val="20"/>
          <w:szCs w:val="20"/>
          <w:color w:val="auto"/>
        </w:rPr>
      </w:pPr>
    </w:p>
    <w:p>
      <w:pPr>
        <w:ind w:right="340" w:firstLine="625"/>
        <w:spacing w:after="0" w:line="294"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Ernst &amp; Young, LLP, an independent registered public accounting firm, as stated in their report which is included herein on page 68.</w:t>
      </w:r>
    </w:p>
    <w:p>
      <w:pPr>
        <w:spacing w:after="0" w:line="3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10b5-1 Trading Plans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0" w:name="page71"/>
    <w:bookmarkEnd w:id="70"/>
    <w:p>
      <w:pPr>
        <w:ind w:firstLine="625"/>
        <w:spacing w:after="0" w:line="294" w:lineRule="auto"/>
        <w:rPr>
          <w:sz w:val="20"/>
          <w:szCs w:val="20"/>
          <w:color w:val="auto"/>
        </w:rPr>
      </w:pPr>
      <w:r>
        <w:rPr>
          <w:rFonts w:ascii="Times New Roman" w:cs="Times New Roman" w:eastAsia="Times New Roman" w:hAnsi="Times New Roman"/>
          <w:sz w:val="17"/>
          <w:szCs w:val="17"/>
          <w:color w:val="auto"/>
        </w:rPr>
        <w:t>During the three months ended December 31, 2025, none of the Company's directors or officers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MacroGenics,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have audited MacroGenics, Inc.’s internal control over financial reporting as of December 31, 2025,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2025, based on the COSO criteria.</w:t>
      </w:r>
    </w:p>
    <w:p>
      <w:pPr>
        <w:spacing w:after="0" w:line="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March 9, 2026 expressed an unqualified opinion thereon.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72" w:name="page73"/>
    <w:bookmarkEnd w:id="72"/>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71"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directors, executive officers and corporate governance to be included in our definitive proxy statement for the 2026 annual meeting of stockholders (the 2026 Proxy Statement) under the captions “Directors and Nominees,” “Corporate Governance,” “Executive Officers,” and “Delinquent Section 16(a) Reports”.</w:t>
      </w:r>
    </w:p>
    <w:p>
      <w:pPr>
        <w:spacing w:after="0" w:line="112"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We have adopted a Code of Business Conduct and Ethics (the “Code”) that applies to all of our employees, officers and directors. The Code is available under the Corporate Governance section of our website at http://ir.macrogenics.com/governance. We expect that any amendments to the Code, or any waivers of its requirements, will be disclosed on our website.</w:t>
      </w:r>
    </w:p>
    <w:p>
      <w:pPr>
        <w:spacing w:after="0" w:line="112"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111111"/>
        </w:rPr>
        <w:t>We have an insider trading policy governing the purchase, sale and other dispositions of our securities that applies to all of our personnel, including directors, officers, employees, and other covered persons. We believe that our insider trading policy is reasonably designed to promote compliance with insider trading laws, rules and regulations, and listing standards applicable to us. A copy of our insider trading policy is filed as Exhibit 19.1 to this Annual Report on Form 10-K.</w:t>
      </w:r>
    </w:p>
    <w:p>
      <w:pPr>
        <w:spacing w:after="0" w:line="2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71"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executive compensation to be included in the 2026 Proxy Statement under the captions “Executive Compensation Information” and “Director Compensation”.</w:t>
      </w:r>
    </w:p>
    <w:p>
      <w:pPr>
        <w:spacing w:after="0" w:line="200" w:lineRule="exact"/>
        <w:rPr>
          <w:sz w:val="20"/>
          <w:szCs w:val="20"/>
          <w:color w:val="auto"/>
        </w:rPr>
      </w:pPr>
    </w:p>
    <w:p>
      <w:pPr>
        <w:spacing w:after="0" w:line="283" w:lineRule="exact"/>
        <w:rPr>
          <w:sz w:val="20"/>
          <w:szCs w:val="20"/>
          <w:color w:val="auto"/>
        </w:rPr>
      </w:pPr>
    </w:p>
    <w:p>
      <w:pPr>
        <w:ind w:left="900" w:right="760" w:hanging="1249"/>
        <w:spacing w:after="0" w:line="296" w:lineRule="auto"/>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93"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security ownership of certain beneficial owners and management to be included in the 2026 Proxy Statement under the captions “Security Ownership of Certain Beneficial Owners and Management” and “Information About Equity Compensation Plans”.</w:t>
      </w:r>
    </w:p>
    <w:p>
      <w:pPr>
        <w:spacing w:after="0" w:line="200" w:lineRule="exact"/>
        <w:rPr>
          <w:sz w:val="20"/>
          <w:szCs w:val="20"/>
          <w:color w:val="auto"/>
        </w:rPr>
      </w:pPr>
    </w:p>
    <w:p>
      <w:pPr>
        <w:spacing w:after="0" w:line="3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71" w:lineRule="exact"/>
        <w:rPr>
          <w:sz w:val="20"/>
          <w:szCs w:val="20"/>
          <w:color w:val="auto"/>
        </w:rPr>
      </w:pPr>
    </w:p>
    <w:p>
      <w:pPr>
        <w:ind w:right="22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certain other relationships and related transactions to be included in the 2026 Proxy Statement under the captions “Corporate Governance” and “Certain Relationships and Related Party Transactions”.</w:t>
      </w:r>
    </w:p>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71" w:lineRule="exact"/>
        <w:rPr>
          <w:sz w:val="20"/>
          <w:szCs w:val="20"/>
          <w:color w:val="auto"/>
        </w:rPr>
      </w:pPr>
    </w:p>
    <w:p>
      <w:pPr>
        <w:ind w:right="60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principal accountant fees and services to be included in the 2026 Proxy Statement under the caption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9"/>
        </w:trPr>
        <w:tc>
          <w:tcPr>
            <w:tcW w:w="7920" w:type="dxa"/>
            <w:vAlign w:val="bottom"/>
          </w:tcPr>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220" w:type="dxa"/>
            <w:vAlign w:val="bottom"/>
          </w:tcPr>
          <w:p>
            <w:pPr>
              <w:spacing w:after="0"/>
              <w:rPr>
                <w:sz w:val="19"/>
                <w:szCs w:val="19"/>
                <w:color w:val="auto"/>
              </w:rPr>
            </w:pPr>
          </w:p>
        </w:tc>
      </w:tr>
      <w:tr>
        <w:trPr>
          <w:trHeight w:val="365"/>
        </w:trPr>
        <w:tc>
          <w:tcPr>
            <w:tcW w:w="7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2220" w:type="dxa"/>
            <w:vAlign w:val="bottom"/>
          </w:tcPr>
          <w:p>
            <w:pPr>
              <w:spacing w:after="0"/>
              <w:rPr>
                <w:sz w:val="24"/>
                <w:szCs w:val="24"/>
                <w:color w:val="auto"/>
              </w:rPr>
            </w:pPr>
          </w:p>
        </w:tc>
      </w:tr>
      <w:tr>
        <w:trPr>
          <w:trHeight w:val="365"/>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Annual Report on Form 10-K:</w:t>
            </w:r>
          </w:p>
        </w:tc>
        <w:tc>
          <w:tcPr>
            <w:tcW w:w="2220" w:type="dxa"/>
            <w:vAlign w:val="bottom"/>
          </w:tcPr>
          <w:p>
            <w:pPr>
              <w:spacing w:after="0"/>
              <w:rPr>
                <w:sz w:val="24"/>
                <w:szCs w:val="24"/>
                <w:color w:val="auto"/>
              </w:rPr>
            </w:pPr>
          </w:p>
        </w:tc>
      </w:tr>
      <w:tr>
        <w:trPr>
          <w:trHeight w:val="365"/>
        </w:trPr>
        <w:tc>
          <w:tcPr>
            <w:tcW w:w="7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  Consolidated Financial Statements:</w:t>
            </w:r>
          </w:p>
        </w:tc>
        <w:tc>
          <w:tcPr>
            <w:tcW w:w="2220" w:type="dxa"/>
            <w:vAlign w:val="bottom"/>
          </w:tcPr>
          <w:p>
            <w:pPr>
              <w:spacing w:after="0"/>
              <w:rPr>
                <w:sz w:val="24"/>
                <w:szCs w:val="24"/>
                <w:color w:val="auto"/>
              </w:rPr>
            </w:pPr>
          </w:p>
        </w:tc>
      </w:tr>
      <w:tr>
        <w:trPr>
          <w:trHeight w:val="242"/>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Report of Ernst &amp; Young LLP, Independent Registered Public Accounting Firm</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- 1</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- 3</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- 4</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Stockholders' Equity</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- 5</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- 6</w:t>
            </w:r>
          </w:p>
        </w:tc>
      </w:tr>
      <w:tr>
        <w:trPr>
          <w:trHeight w:val="227"/>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- 7</w:t>
            </w:r>
          </w:p>
        </w:tc>
      </w:tr>
    </w:tbl>
    <w:p>
      <w:pPr>
        <w:spacing w:after="0" w:line="229" w:lineRule="exact"/>
        <w:rPr>
          <w:sz w:val="20"/>
          <w:szCs w:val="20"/>
          <w:color w:val="auto"/>
        </w:rPr>
      </w:pPr>
    </w:p>
    <w:p>
      <w:pPr>
        <w:ind w:left="500" w:hanging="322"/>
        <w:spacing w:after="0"/>
        <w:tabs>
          <w:tab w:leader="none" w:pos="5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16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All financial statement schedules have been omitted because they are not applicable, not required or the information required is shown in the financial statements or the notes thereto.</w:t>
      </w:r>
    </w:p>
    <w:p>
      <w:pPr>
        <w:spacing w:after="0" w:line="94" w:lineRule="exact"/>
        <w:rPr>
          <w:sz w:val="20"/>
          <w:szCs w:val="20"/>
          <w:color w:val="auto"/>
        </w:rPr>
      </w:pPr>
    </w:p>
    <w:p>
      <w:pPr>
        <w:ind w:left="500" w:hanging="322"/>
        <w:spacing w:after="0"/>
        <w:tabs>
          <w:tab w:leader="none" w:pos="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69"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auto"/>
        </w:rPr>
        <w:t>The exhibits filed as part of this Annual Report on Form 10-K are set forth on the Exhibit Index immediately following our consolidated financial statements. The Exhibit Index is incorporated herein by reference.</w:t>
      </w:r>
    </w:p>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60"/>
          </w:cols>
          <w:pgMar w:left="320" w:top="862" w:right="519" w:bottom="1440" w:gutter="0" w:footer="0" w:header="0"/>
        </w:sectPr>
      </w:pPr>
    </w:p>
    <w:bookmarkStart w:id="74" w:name="page75"/>
    <w:bookmarkEnd w:id="74"/>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1" w:lineRule="exact"/>
        <w:rPr>
          <w:sz w:val="20"/>
          <w:szCs w:val="20"/>
          <w:color w:val="auto"/>
        </w:rPr>
      </w:pPr>
    </w:p>
    <w:p>
      <w:pPr>
        <w:ind w:right="20" w:firstLine="625"/>
        <w:spacing w:after="0" w:line="27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Act of 1934, the registrant has duly caused this report to be signed on its behalf by the undersigned, thereunto duly authorized:</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MacroGenics, Inc.</w:t>
      </w:r>
    </w:p>
    <w:p>
      <w:pPr>
        <w:spacing w:after="0" w:line="247" w:lineRule="exact"/>
        <w:rPr>
          <w:sz w:val="20"/>
          <w:szCs w:val="20"/>
          <w:color w:val="auto"/>
        </w:rPr>
      </w:pPr>
    </w:p>
    <w:tbl>
      <w:tblPr>
        <w:tblLayout w:type="fixed"/>
        <w:tblInd w:w="57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Risser</w:t>
            </w:r>
          </w:p>
        </w:tc>
      </w:tr>
      <w:tr>
        <w:trPr>
          <w:trHeight w:val="207"/>
        </w:trPr>
        <w:tc>
          <w:tcPr>
            <w:tcW w:w="5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Risser</w:t>
            </w:r>
          </w:p>
        </w:tc>
      </w:tr>
      <w:tr>
        <w:trPr>
          <w:trHeight w:val="229"/>
        </w:trPr>
        <w:tc>
          <w:tcPr>
            <w:tcW w:w="5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CEO and Director</w:t>
            </w:r>
          </w:p>
        </w:tc>
      </w:tr>
    </w:tbl>
    <w:p>
      <w:pPr>
        <w:spacing w:after="0" w:line="229" w:lineRule="exact"/>
        <w:rPr>
          <w:sz w:val="20"/>
          <w:szCs w:val="20"/>
          <w:color w:val="auto"/>
        </w:rPr>
      </w:pPr>
    </w:p>
    <w:p>
      <w:pPr>
        <w:ind w:firstLine="625"/>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as amended,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80" w:type="dxa"/>
            <w:vAlign w:val="bottom"/>
          </w:tcPr>
          <w:p>
            <w:pPr>
              <w:spacing w:after="0"/>
              <w:rPr>
                <w:sz w:val="19"/>
                <w:szCs w:val="19"/>
                <w:color w:val="auto"/>
              </w:rPr>
            </w:pPr>
          </w:p>
        </w:tc>
        <w:tc>
          <w:tcPr>
            <w:tcW w:w="30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8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Eric Risser</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and CEO and 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208"/>
        </w:trPr>
        <w:tc>
          <w:tcPr>
            <w:tcW w:w="33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Risser</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James Karrels</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Vice President and Chief</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69"/>
        </w:trPr>
        <w:tc>
          <w:tcPr>
            <w:tcW w:w="3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Financial Officer</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3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Karrels</w:t>
            </w:r>
          </w:p>
        </w:tc>
        <w:tc>
          <w:tcPr>
            <w:tcW w:w="280" w:type="dxa"/>
            <w:vAlign w:val="bottom"/>
            <w:vMerge w:val="continue"/>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Beth Smith</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Vice President, Controller and Treasurer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208"/>
        </w:trPr>
        <w:tc>
          <w:tcPr>
            <w:tcW w:w="33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Beth Smith</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Karen Ferrante, M.D.</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Karen Ferrante, M.D.</w:t>
            </w:r>
          </w:p>
        </w:tc>
        <w:tc>
          <w:tcPr>
            <w:tcW w:w="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William Heiden</w:t>
            </w:r>
          </w:p>
        </w:tc>
        <w:tc>
          <w:tcPr>
            <w:tcW w:w="280" w:type="dxa"/>
            <w:vAlign w:val="bottom"/>
          </w:tcPr>
          <w:p>
            <w:pPr>
              <w:spacing w:after="0"/>
              <w:rPr>
                <w:sz w:val="24"/>
                <w:szCs w:val="24"/>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78"/>
        </w:trPr>
        <w:tc>
          <w:tcPr>
            <w:tcW w:w="3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40" w:type="dxa"/>
            <w:vAlign w:val="bottom"/>
            <w:gridSpan w:val="2"/>
            <w:vMerge w:val="continue"/>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3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William Heiden</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Edward Hurwitz</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Edward Hurwitz</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Scott Jackson</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Jackson</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Meenu Chhabra Karson</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Meenu Chhabra Karson</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Scott Koenig, M.D., Ph.D.</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Koenig, M.D., Ph.D.</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Margaret A. Liu, M.D.</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Margaret A. Liu, M.D.</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Federica O’Brien</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Federica O’Brien</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Jay Siegel, M.D.</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Jay Siegel, M.D.</w:t>
            </w:r>
          </w:p>
        </w:tc>
        <w:tc>
          <w:tcPr>
            <w:tcW w:w="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David Stump, M.D.</w:t>
            </w:r>
          </w:p>
        </w:tc>
        <w:tc>
          <w:tcPr>
            <w:tcW w:w="2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9, 2026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Stump, M.D.</w:t>
            </w: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966" w:right="419" w:bottom="771"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966" w:right="419" w:bottom="771"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260" w:type="dxa"/>
            <w:vAlign w:val="bottom"/>
            <w:gridSpan w:val="6"/>
          </w:tcPr>
          <w:p>
            <w:pPr>
              <w:ind w:left="30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3"/>
          </w:tcPr>
          <w:p>
            <w:pPr>
              <w:jc w:val="center"/>
              <w:ind w:left="333"/>
              <w:spacing w:after="0"/>
              <w:rPr>
                <w:sz w:val="20"/>
                <w:szCs w:val="20"/>
                <w:color w:val="auto"/>
              </w:rPr>
            </w:pPr>
            <w:r>
              <w:rPr>
                <w:rFonts w:ascii="Times New Roman" w:cs="Times New Roman" w:eastAsia="Times New Roman" w:hAnsi="Times New Roman"/>
                <w:sz w:val="17"/>
                <w:szCs w:val="17"/>
                <w:color w:val="auto"/>
              </w:rPr>
              <w:t>Page</w:t>
            </w:r>
          </w:p>
        </w:tc>
      </w:tr>
      <w:tr>
        <w:trPr>
          <w:trHeight w:val="227"/>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auto"/>
              </w:rPr>
              <w:t>Number</w:t>
            </w:r>
          </w:p>
        </w:tc>
      </w:tr>
      <w:tr>
        <w:trPr>
          <w:trHeight w:val="242"/>
        </w:trPr>
        <w:tc>
          <w:tcPr>
            <w:tcW w:w="20" w:type="dxa"/>
            <w:vAlign w:val="bottom"/>
          </w:tcPr>
          <w:p>
            <w:pPr>
              <w:spacing w:after="0"/>
              <w:rPr>
                <w:sz w:val="21"/>
                <w:szCs w:val="21"/>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Report of Ernst &amp; Young LLP, Independent Registered Public Accounting Firm (PCAOB ID: </w:t>
            </w:r>
            <w:r>
              <w:rPr>
                <w:rFonts w:ascii="Times New Roman" w:cs="Times New Roman" w:eastAsia="Times New Roman" w:hAnsi="Times New Roman"/>
                <w:sz w:val="17"/>
                <w:szCs w:val="17"/>
                <w:color w:val="0E32E1"/>
              </w:rPr>
              <w:t>42</w:t>
            </w:r>
            <w:r>
              <w:rPr>
                <w:rFonts w:ascii="Times New Roman" w:cs="Times New Roman" w:eastAsia="Times New Roman" w:hAnsi="Times New Roman"/>
                <w:sz w:val="17"/>
                <w:szCs w:val="17"/>
                <w:u w:val="single" w:color="auto"/>
                <w:color w:val="0000FF"/>
              </w:rPr>
              <w:t>)</w:t>
            </w: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- 1</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640" w:type="dxa"/>
            <w:vAlign w:val="bottom"/>
            <w:tcBorders>
              <w:left w:val="single" w:sz="8" w:color="0E32E1"/>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at December 31, 2025 and December 31, 2024</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gridSpan w:val="3"/>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- 3</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 for the years ended December 31, 2025, 2024 and 2023</w:t>
            </w: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- 4</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2025, 2024 and 2023</w:t>
            </w:r>
          </w:p>
        </w:tc>
        <w:tc>
          <w:tcPr>
            <w:tcW w:w="2000" w:type="dxa"/>
            <w:vAlign w:val="bottom"/>
            <w:gridSpan w:val="2"/>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- 5</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2024 and 2023</w:t>
            </w:r>
          </w:p>
        </w:tc>
        <w:tc>
          <w:tcPr>
            <w:tcW w:w="2000" w:type="dxa"/>
            <w:vAlign w:val="bottom"/>
            <w:gridSpan w:val="2"/>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- 6</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640" w:type="dxa"/>
            <w:vAlign w:val="bottom"/>
            <w:gridSpan w:val="3"/>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- 7</w:t>
            </w:r>
          </w:p>
        </w:tc>
      </w:tr>
      <w:tr>
        <w:trPr>
          <w:trHeight w:val="1197"/>
        </w:trPr>
        <w:tc>
          <w:tcPr>
            <w:tcW w:w="20" w:type="dxa"/>
            <w:vAlign w:val="bottom"/>
            <w:tcBorders>
              <w:bottom w:val="single" w:sz="8" w:color="9A9A9A"/>
            </w:tcBorders>
          </w:tcPr>
          <w:p>
            <w:pPr>
              <w:spacing w:after="0"/>
              <w:rPr>
                <w:sz w:val="24"/>
                <w:szCs w:val="24"/>
                <w:color w:val="auto"/>
              </w:rPr>
            </w:pPr>
          </w:p>
        </w:tc>
        <w:tc>
          <w:tcPr>
            <w:tcW w:w="3040" w:type="dxa"/>
            <w:vAlign w:val="bottom"/>
            <w:tcBorders>
              <w:top w:val="single" w:sz="8" w:color="0000FF"/>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MacroGenics,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45" w:lineRule="exact"/>
        <w:rPr>
          <w:sz w:val="20"/>
          <w:szCs w:val="20"/>
          <w:color w:val="auto"/>
        </w:rPr>
      </w:pPr>
    </w:p>
    <w:p>
      <w:pPr>
        <w:ind w:right="80" w:firstLine="625"/>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MacroGenics,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12" w:lineRule="exact"/>
        <w:rPr>
          <w:sz w:val="20"/>
          <w:szCs w:val="20"/>
          <w:color w:val="auto"/>
        </w:rPr>
      </w:pPr>
    </w:p>
    <w:p>
      <w:pPr>
        <w:ind w:right="100" w:firstLine="625"/>
        <w:spacing w:after="0" w:line="27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9, 2026 expressed an unqualified opinion thereon.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7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and Interest Expense Related to the Sale of Future Royalties</w:t>
      </w:r>
    </w:p>
    <w:p>
      <w:pPr>
        <w:sectPr>
          <w:pgSz w:w="11900" w:h="16838" w:orient="portrait"/>
          <w:cols w:equalWidth="0" w:num="1">
            <w:col w:w="10560"/>
          </w:cols>
          <w:pgMar w:left="320" w:top="859" w:right="1019" w:bottom="1440" w:gutter="0" w:footer="0" w:header="0"/>
        </w:sect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As discussed in Note 10 of the consolidated financial statements, in June 2025, the Company entered into a Purchase and Sale Agreement (“Royalty Purchase Agreement”) to sell its royalty interest on future global net sales of ZYNYZ, up to $140.0 million, to Sagard Healthcare Partners (“Sagard”) for a $70.0 million upfront payment. The Company accounted for the Royalty Purchase Agreement as a financing transaction. The carrying value of the liability related to the sale of future royalties at December 31, 2025 was $70.0 million and the related interest expense for the year ended December 31, 2025 was $8.3 million.</w:t>
      </w:r>
    </w:p>
    <w:p>
      <w:pPr>
        <w:spacing w:after="0" w:line="1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Auditing the Company’s liability and interest expense related to the sale of future royalties was complex due to the significant judgments used by management to estimate the payments to be made to Sagard over the term of the Royalty Purchase Agreement based on forecasted revenues. Specifically, the forecasted revenues of ZYNYZ involved significant estimation uncertainty given the limited historical ZYNYZ sales data. Changes to these forecasted revenues could have a material effect on the Company’s calculation of the effective interest rate which is used to discount royalty payments to measure the liability balance each reporting period. As a result, auditing forecasted revenues required especially complex auditor judgment.</w:t>
      </w:r>
    </w:p>
    <w:p>
      <w:pPr>
        <w:spacing w:after="0" w:line="1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 account for the liability and interest expense related to the sale of future royalties, including management’s control over the review of the Company’s estimates of forecasted revenues.</w:t>
      </w:r>
    </w:p>
    <w:p>
      <w:pPr>
        <w:spacing w:after="0" w:line="1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To audit the Company’s accounting for the liability and interest expense related to the sale of future royalties, our audit procedures included evaluating the reasonableness of management’s assumptions related to forecasted revenues. We compared forecasted revenues with historical results, analyst expectations, information from other third-party sources, and performed a sensitivity analysis over forecasted revenues to evaluate the changes in the liability and related interest expense.</w:t>
      </w:r>
    </w:p>
    <w:p>
      <w:pPr>
        <w:spacing w:after="0" w:line="200" w:lineRule="exact"/>
        <w:rPr>
          <w:sz w:val="20"/>
          <w:szCs w:val="20"/>
          <w:color w:val="auto"/>
        </w:rPr>
      </w:pPr>
    </w:p>
    <w:p>
      <w:pPr>
        <w:sectPr>
          <w:pgSz w:w="11900" w:h="16838" w:orient="portrait"/>
          <w:cols w:equalWidth="0" w:num="2">
            <w:col w:w="2340" w:space="420"/>
            <w:col w:w="7800"/>
          </w:cols>
          <w:pgMar w:left="320" w:top="859"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Tysons, Virginia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9, 2026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7"/>
          <w:szCs w:val="17"/>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560"/>
          </w:cols>
          <w:pgMar w:left="320" w:top="859" w:right="1019" w:bottom="144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Current assets: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Marketable securities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Inventory, net</w:t>
      </w:r>
    </w:p>
    <w:p>
      <w:pPr>
        <w:spacing w:after="0" w:line="26" w:lineRule="exact"/>
        <w:rPr>
          <w:sz w:val="20"/>
          <w:szCs w:val="20"/>
          <w:color w:val="auto"/>
        </w:rPr>
      </w:pPr>
    </w:p>
    <w:p>
      <w:pPr>
        <w:ind w:left="40" w:right="20" w:firstLine="208"/>
        <w:spacing w:after="0" w:line="279" w:lineRule="auto"/>
        <w:rPr>
          <w:sz w:val="20"/>
          <w:szCs w:val="20"/>
          <w:color w:val="auto"/>
        </w:rPr>
      </w:pPr>
      <w:r>
        <w:rPr>
          <w:rFonts w:ascii="Times New Roman" w:cs="Times New Roman" w:eastAsia="Times New Roman" w:hAnsi="Times New Roman"/>
          <w:sz w:val="17"/>
          <w:szCs w:val="17"/>
          <w:color w:val="auto"/>
        </w:rPr>
        <w:t>Prepaid expenses and other current assets Total current assets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equipment and software, net</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non current assets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3" w:lineRule="exact"/>
        <w:rPr>
          <w:sz w:val="20"/>
          <w:szCs w:val="20"/>
          <w:color w:val="auto"/>
        </w:rPr>
      </w:pPr>
    </w:p>
    <w:tbl>
      <w:tblPr>
        <w:tblLayout w:type="fixed"/>
        <w:tblInd w:w="4640" w:type="dxa"/>
        <w:tblCellMar>
          <w:top w:w="0" w:type="dxa"/>
          <w:left w:w="0" w:type="dxa"/>
          <w:bottom w:w="0" w:type="dxa"/>
          <w:right w:w="0" w:type="dxa"/>
        </w:tblCellMar>
      </w:tblPr>
      <w:tr>
        <w:trPr>
          <w:trHeight w:val="215"/>
        </w:trPr>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639"/>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57,217</w:t>
            </w:r>
          </w:p>
        </w:tc>
        <w:tc>
          <w:tcPr>
            <w:tcW w:w="10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182,840</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18,827</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4,309</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11,514</w:t>
            </w:r>
          </w:p>
        </w:tc>
      </w:tr>
      <w:tr>
        <w:trPr>
          <w:trHeight w:val="209"/>
        </w:trPr>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217,490</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18,100</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24,509</w:t>
            </w:r>
          </w:p>
        </w:tc>
      </w:tr>
      <w:tr>
        <w:trPr>
          <w:trHeight w:val="227"/>
        </w:trPr>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14"/>
        </w:trPr>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256,846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261,655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-1736090</wp:posOffset>
            </wp:positionV>
            <wp:extent cx="7112635" cy="140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-1454785</wp:posOffset>
            </wp:positionV>
            <wp:extent cx="7112635" cy="140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-1173480</wp:posOffset>
            </wp:positionV>
            <wp:extent cx="7112635" cy="140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-892810</wp:posOffset>
            </wp:positionV>
            <wp:extent cx="7112635" cy="140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-603250</wp:posOffset>
            </wp:positionV>
            <wp:extent cx="7112635" cy="140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-321945</wp:posOffset>
            </wp:positionV>
            <wp:extent cx="7112635" cy="140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635" cy="1403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40" w:space="720"/>
            <w:col w:w="7380"/>
          </w:cols>
          <w:pgMar w:left="320" w:top="861" w:right="339" w:bottom="1440" w:gutter="0" w:footer="0" w:header="0"/>
        </w:sectPr>
      </w:pPr>
    </w:p>
    <w:tbl>
      <w:tblPr>
        <w:tblLayout w:type="fixed"/>
        <w:tblInd w:w="40" w:type="dxa"/>
        <w:tblCellMar>
          <w:top w:w="0" w:type="dxa"/>
          <w:left w:w="0" w:type="dxa"/>
          <w:bottom w:w="0" w:type="dxa"/>
          <w:right w:w="0" w:type="dxa"/>
        </w:tblCellMar>
      </w:tblPr>
      <w:tr>
        <w:trPr>
          <w:trHeight w:val="214"/>
        </w:trPr>
        <w:tc>
          <w:tcPr>
            <w:tcW w:w="8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1"/>
        </w:trPr>
        <w:tc>
          <w:tcPr>
            <w:tcW w:w="8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5,013</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29,334</w:t>
            </w: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16,319</w:t>
            </w:r>
          </w:p>
        </w:tc>
      </w:tr>
      <w:tr>
        <w:trPr>
          <w:trHeight w:val="221"/>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shd w:val="clear" w:color="auto" w:fill="CCEEFF"/>
              </w:rPr>
              <w:t>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5,177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w:t>
            </w: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55,530</w:t>
            </w: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related to future royalties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55,503</w:t>
            </w: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32,597</w:t>
            </w:r>
          </w:p>
        </w:tc>
      </w:tr>
      <w:tr>
        <w:trPr>
          <w:trHeight w:val="221"/>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 current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1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145,598</w:t>
            </w:r>
          </w:p>
        </w:tc>
      </w:tr>
      <w:tr>
        <w:trPr>
          <w:trHeight w:val="260"/>
        </w:trPr>
        <w:tc>
          <w:tcPr>
            <w:tcW w:w="8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9"/>
        </w:trPr>
        <w:tc>
          <w:tcPr>
            <w:tcW w:w="8460" w:type="dxa"/>
            <w:vAlign w:val="bottom"/>
          </w:tcPr>
          <w:p>
            <w:pPr>
              <w:ind w:left="200"/>
              <w:spacing w:after="0" w:line="169" w:lineRule="exact"/>
              <w:rPr>
                <w:sz w:val="20"/>
                <w:szCs w:val="20"/>
                <w:color w:val="auto"/>
              </w:rPr>
            </w:pPr>
            <w:r>
              <w:rPr>
                <w:rFonts w:ascii="Times New Roman" w:cs="Times New Roman" w:eastAsia="Times New Roman" w:hAnsi="Times New Roman"/>
                <w:sz w:val="17"/>
                <w:szCs w:val="17"/>
                <w:color w:val="auto"/>
              </w:rPr>
              <w:t>Common stock, 0.01 par value -- 125,000,000 shares authorized, 63,318,613 and 62,819,857 shares outstanding at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4"/>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December 31, 2025 and December 31, 2024, respectively</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1,285,143</w:t>
            </w: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gain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(1,244,338)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(1,169,718)</w:t>
            </w:r>
          </w:p>
        </w:tc>
      </w:tr>
      <w:tr>
        <w:trPr>
          <w:trHeight w:val="214"/>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116,057</w:t>
            </w:r>
          </w:p>
        </w:tc>
      </w:tr>
      <w:tr>
        <w:trPr>
          <w:trHeight w:val="239"/>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261,655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79" w:name="page80"/>
    <w:bookmarkEnd w:id="79"/>
    <w:p>
      <w:pPr>
        <w:ind w:left="5040"/>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Collaborative and other agreements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87,183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119,918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30,546</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Contract manufacturing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9,833</w:t>
            </w: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 sales, net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17,939</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14"/>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58,749</w:t>
            </w:r>
          </w:p>
        </w:tc>
      </w:tr>
      <w:tr>
        <w:trPr>
          <w:trHeight w:val="20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 of product sales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manufacturing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w:t>
            </w: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166,583</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52,188</w:t>
            </w:r>
          </w:p>
        </w:tc>
      </w:tr>
      <w:tr>
        <w:trPr>
          <w:trHeight w:val="214"/>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226,993</w:t>
            </w:r>
          </w:p>
        </w:tc>
      </w:tr>
      <w:tr>
        <w:trPr>
          <w:trHeight w:val="214"/>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(168,244)</w:t>
            </w:r>
          </w:p>
        </w:tc>
      </w:tr>
      <w:tr>
        <w:trPr>
          <w:trHeight w:val="22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Gain on royalty monetization arrangement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150,930</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MARGENZA</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9,686</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(8,508)</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Unrealized gain (loss) on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4"/>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r>
      <w:tr>
        <w:trPr>
          <w:trHeight w:val="221"/>
        </w:trPr>
        <w:tc>
          <w:tcPr>
            <w:tcW w:w="7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common share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2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weighted average common shares outstanding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63,155,096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62,621,185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61,929,198</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540" w:type="dxa"/>
            <w:vAlign w:val="bottom"/>
            <w:gridSpan w:val="5"/>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18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4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80" w:type="dxa"/>
            <w:vAlign w:val="bottom"/>
            <w:gridSpan w:val="3"/>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200" w:type="dxa"/>
            <w:vAlign w:val="bottom"/>
          </w:tcPr>
          <w:p>
            <w:pPr>
              <w:spacing w:after="0"/>
              <w:rPr>
                <w:sz w:val="9"/>
                <w:szCs w:val="9"/>
                <w:color w:val="auto"/>
              </w:rPr>
            </w:pPr>
          </w:p>
        </w:tc>
        <w:tc>
          <w:tcPr>
            <w:tcW w:w="1200" w:type="dxa"/>
            <w:vAlign w:val="bottom"/>
            <w:vMerge w:val="restart"/>
          </w:tcPr>
          <w:p>
            <w:pPr>
              <w:jc w:val="center"/>
              <w:ind w:right="116"/>
              <w:spacing w:after="0" w:line="123"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6"/>
        </w:trPr>
        <w:tc>
          <w:tcPr>
            <w:tcW w:w="318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61,701,467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142,013</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0" w:type="dxa"/>
            <w:vAlign w:val="bottom"/>
          </w:tcPr>
          <w:p>
            <w:pPr>
              <w:spacing w:after="0"/>
              <w:rPr>
                <w:sz w:val="1"/>
                <w:szCs w:val="1"/>
                <w:color w:val="auto"/>
              </w:rPr>
            </w:pPr>
          </w:p>
        </w:tc>
      </w:tr>
      <w:tr>
        <w:trPr>
          <w:trHeight w:val="214"/>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62,070,627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1,254,750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152,613</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0" w:type="dxa"/>
            <w:vAlign w:val="bottom"/>
          </w:tcPr>
          <w:p>
            <w:pPr>
              <w:spacing w:after="0"/>
              <w:rPr>
                <w:sz w:val="1"/>
                <w:szCs w:val="1"/>
                <w:color w:val="auto"/>
              </w:rPr>
            </w:pPr>
          </w:p>
        </w:tc>
      </w:tr>
      <w:tr>
        <w:trPr>
          <w:trHeight w:val="214"/>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62,819,857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1,285,143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(1,169,718)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116,057</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14,286</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(74,620)</w:t>
            </w:r>
          </w:p>
        </w:tc>
        <w:tc>
          <w:tcPr>
            <w:tcW w:w="0" w:type="dxa"/>
            <w:vAlign w:val="bottom"/>
          </w:tcPr>
          <w:p>
            <w:pPr>
              <w:spacing w:after="0"/>
              <w:rPr>
                <w:sz w:val="1"/>
                <w:szCs w:val="1"/>
                <w:color w:val="auto"/>
              </w:rPr>
            </w:pPr>
          </w:p>
        </w:tc>
      </w:tr>
      <w:tr>
        <w:trPr>
          <w:trHeight w:val="239"/>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63,318,613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55,591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3"/>
        </w:trPr>
        <w:tc>
          <w:tcPr>
            <w:tcW w:w="70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(66,966)</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9,645</w:t>
            </w:r>
          </w:p>
        </w:tc>
      </w:tr>
      <w:tr>
        <w:trPr>
          <w:trHeight w:val="21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18,373</w:t>
            </w:r>
          </w:p>
        </w:tc>
      </w:tr>
      <w:tr>
        <w:trPr>
          <w:trHeight w:val="21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royalty monetization arrangement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(150,930)</w:t>
            </w: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MARGENZA</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royalty 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1"/>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loss on disposal of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45,855</w:t>
            </w:r>
          </w:p>
        </w:tc>
      </w:tr>
      <w:tr>
        <w:trPr>
          <w:trHeight w:val="206"/>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6"/>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 current assets</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06"/>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r>
      <w:tr>
        <w:trPr>
          <w:trHeight w:val="21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06"/>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11,426</w:t>
            </w:r>
          </w:p>
        </w:tc>
      </w:tr>
      <w:tr>
        <w:trPr>
          <w:trHeight w:val="21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(78,205)</w:t>
            </w:r>
          </w:p>
        </w:tc>
      </w:tr>
      <w:tr>
        <w:trPr>
          <w:trHeight w:val="211"/>
        </w:trPr>
        <w:tc>
          <w:tcPr>
            <w:tcW w:w="7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(239,683)</w:t>
            </w:r>
          </w:p>
        </w:tc>
      </w:tr>
      <w:tr>
        <w:trPr>
          <w:trHeight w:val="20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161,299</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r>
      <w:tr>
        <w:trPr>
          <w:trHeight w:val="20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MARGENZA</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equipment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9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(80,084)</w:t>
            </w:r>
          </w:p>
        </w:tc>
      </w:tr>
      <w:tr>
        <w:trPr>
          <w:trHeight w:val="211"/>
        </w:trPr>
        <w:tc>
          <w:tcPr>
            <w:tcW w:w="7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net of offering costs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0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 and ESPP purchases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royalty monetization arrangement</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future royalties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149,655</w:t>
            </w:r>
          </w:p>
        </w:tc>
      </w:tr>
      <w:tr>
        <w:trPr>
          <w:trHeight w:val="19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69,514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150,361</w:t>
            </w:r>
          </w:p>
        </w:tc>
      </w:tr>
      <w:tr>
        <w:trPr>
          <w:trHeight w:val="20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r>
      <w:tr>
        <w:trPr>
          <w:trHeight w:val="20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108,884</w:t>
            </w:r>
          </w:p>
        </w:tc>
      </w:tr>
      <w:tr>
        <w:trPr>
          <w:trHeight w:val="22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7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operating and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included in accounts payable or accruals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Nature of Operations</w:t>
      </w:r>
    </w:p>
    <w:p>
      <w:pPr>
        <w:spacing w:after="0" w:line="171"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MacroGenics, Inc. (the Company) is incorporated in the state of Delaware. The Company is a biopharmaceutical company focused on developing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are referred to as DART and TRIDENT 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enabled the Company to leverage the additional expertise of its collaborators to advance the development of multiple partnered product candidates. In addition, the Company operates a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significant portion of the operating costs of this facility.</w:t>
      </w:r>
    </w:p>
    <w:p>
      <w:pPr>
        <w:spacing w:after="0" w:line="201" w:lineRule="exact"/>
        <w:rPr>
          <w:sz w:val="20"/>
          <w:szCs w:val="20"/>
          <w:color w:val="auto"/>
        </w:rPr>
      </w:pPr>
    </w:p>
    <w:p>
      <w:pPr>
        <w:ind w:right="380" w:firstLine="625"/>
        <w:spacing w:after="0" w:line="268" w:lineRule="auto"/>
        <w:rPr>
          <w:sz w:val="20"/>
          <w:szCs w:val="20"/>
          <w:color w:val="auto"/>
        </w:rPr>
      </w:pPr>
      <w:r>
        <w:rPr>
          <w:rFonts w:ascii="Times New Roman" w:cs="Times New Roman" w:eastAsia="Times New Roman" w:hAnsi="Times New Roman"/>
          <w:sz w:val="17"/>
          <w:szCs w:val="17"/>
          <w:color w:val="auto"/>
        </w:rPr>
        <w:t>The Company is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The Company is also actively developing multiple preclinical-stage ADC and next generation T-cell engager programs.</w:t>
      </w:r>
    </w:p>
    <w:p>
      <w:pPr>
        <w:spacing w:after="0" w:line="195" w:lineRule="exact"/>
        <w:rPr>
          <w:sz w:val="20"/>
          <w:szCs w:val="20"/>
          <w:color w:val="auto"/>
        </w:rPr>
      </w:pPr>
    </w:p>
    <w:p>
      <w:pPr>
        <w:ind w:right="60" w:firstLine="625"/>
        <w:spacing w:after="0" w:line="232" w:lineRule="auto"/>
        <w:rPr>
          <w:sz w:val="20"/>
          <w:szCs w:val="20"/>
          <w:color w:val="auto"/>
        </w:rPr>
      </w:pPr>
      <w:r>
        <w:rPr>
          <w:rFonts w:ascii="Times New Roman" w:cs="Times New Roman" w:eastAsia="Times New Roman" w:hAnsi="Times New Roman"/>
          <w:sz w:val="17"/>
          <w:szCs w:val="17"/>
          <w:color w:val="auto"/>
        </w:rPr>
        <w:t>The Company and its partners are developing or commercializing product candidates for which the Company retains certain economic rights. These include three products approved by the FDA: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monoclonal antibody (mAb) that the Company out-licensed;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mAb that the Company sold to a partner;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development programs.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1" w:lineRule="exact"/>
        <w:rPr>
          <w:sz w:val="20"/>
          <w:szCs w:val="20"/>
          <w:color w:val="auto"/>
        </w:rPr>
      </w:pPr>
    </w:p>
    <w:p>
      <w:pPr>
        <w:ind w:right="480" w:firstLine="625"/>
        <w:spacing w:after="0" w:line="294" w:lineRule="auto"/>
        <w:rPr>
          <w:sz w:val="20"/>
          <w:szCs w:val="20"/>
          <w:color w:val="auto"/>
        </w:rPr>
      </w:pPr>
      <w:r>
        <w:rPr>
          <w:rFonts w:ascii="Times New Roman" w:cs="Times New Roman" w:eastAsia="Times New Roman" w:hAnsi="Times New Roman"/>
          <w:sz w:val="17"/>
          <w:szCs w:val="17"/>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94"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biotechnology company, the Company has primarily funded its operations with proceeds from the sale of its common stock in equity offerings and</w:t>
      </w:r>
    </w:p>
    <w:p>
      <w:pPr>
        <w:spacing w:after="0" w:line="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auto"/>
        </w:rPr>
        <w:t>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Annual Report on Form 10-K was filed.</w:t>
      </w:r>
    </w:p>
    <w:p>
      <w:pPr>
        <w:spacing w:after="0" w:line="121" w:lineRule="exact"/>
        <w:rPr>
          <w:sz w:val="20"/>
          <w:szCs w:val="20"/>
          <w:color w:val="auto"/>
        </w:rPr>
      </w:pPr>
    </w:p>
    <w:p>
      <w:pPr>
        <w:jc w:val="both"/>
        <w:ind w:right="300" w:firstLine="625"/>
        <w:spacing w:after="0" w:line="274" w:lineRule="auto"/>
        <w:rPr>
          <w:sz w:val="20"/>
          <w:szCs w:val="20"/>
          <w:color w:val="auto"/>
        </w:rPr>
      </w:pPr>
      <w:r>
        <w:rPr>
          <w:rFonts w:ascii="Times New Roman" w:cs="Times New Roman" w:eastAsia="Times New Roman" w:hAnsi="Times New Roman"/>
          <w:sz w:val="17"/>
          <w:szCs w:val="17"/>
          <w:color w:val="auto"/>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3" w:name="page84"/>
    <w:bookmarkEnd w:id="83"/>
    <w:p>
      <w:pPr>
        <w:ind w:right="220"/>
        <w:spacing w:after="0" w:line="274" w:lineRule="auto"/>
        <w:rPr>
          <w:sz w:val="20"/>
          <w:szCs w:val="20"/>
          <w:color w:val="auto"/>
        </w:rPr>
      </w:pPr>
      <w:r>
        <w:rPr>
          <w:rFonts w:ascii="Times New Roman" w:cs="Times New Roman" w:eastAsia="Times New Roman" w:hAnsi="Times New Roman"/>
          <w:sz w:val="17"/>
          <w:szCs w:val="17"/>
          <w:color w:val="auto"/>
        </w:rPr>
        <w:t>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73"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and commercializing monoclonal antibody-based therapeutics. See Note 13, Segment Reporting, for the Company’s evaluation of its reportable segment and additional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inventory, preclinical study and clinical trial accruals and other contingencies. Management bases its estimates on historical experience or on various other assumptions that it believes to be reasonable under the circumstances. Although actual results could differ from these estimates, management does not believe that such differences would be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173" w:lineRule="exact"/>
        <w:rPr>
          <w:sz w:val="20"/>
          <w:szCs w:val="20"/>
          <w:color w:val="auto"/>
        </w:rPr>
      </w:pPr>
    </w:p>
    <w:p>
      <w:pPr>
        <w:ind w:right="220" w:firstLine="625"/>
        <w:spacing w:after="0" w:line="268" w:lineRule="auto"/>
        <w:rPr>
          <w:sz w:val="20"/>
          <w:szCs w:val="20"/>
          <w:color w:val="auto"/>
        </w:rPr>
      </w:pPr>
      <w:r>
        <w:rPr>
          <w:rFonts w:ascii="Times New Roman" w:cs="Times New Roman" w:eastAsia="Times New Roman" w:hAnsi="Times New Roman"/>
          <w:sz w:val="17"/>
          <w:szCs w:val="17"/>
          <w:color w:val="auto"/>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spacing w:after="0" w:line="117"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252525"/>
        </w:rPr>
        <w:t xml:space="preserve">The Company carries marketable securities classified as available-for-sale at fair value as determined by prices for identical or similar securities at the balance sheet date. </w:t>
      </w:r>
      <w:r>
        <w:rPr>
          <w:rFonts w:ascii="Times New Roman" w:cs="Times New Roman" w:eastAsia="Times New Roman" w:hAnsi="Times New Roman"/>
          <w:sz w:val="17"/>
          <w:szCs w:val="17"/>
          <w:color w:val="000000"/>
        </w:rPr>
        <w:t>Classification of marketable securities between current and non-current is dependent upon the maturity date at the balance sheet date taking</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into consideration the Company’s ability and intent to hold the investment to maturity. </w:t>
      </w:r>
      <w:r>
        <w:rPr>
          <w:rFonts w:ascii="Times New Roman" w:cs="Times New Roman" w:eastAsia="Times New Roman" w:hAnsi="Times New Roman"/>
          <w:sz w:val="17"/>
          <w:szCs w:val="17"/>
          <w:color w:val="252525"/>
        </w:rPr>
        <w:t>Marketable securities consist of Level 2 financial instruments 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along with interest income and amortization of premiums and discounts.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73"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Accounts receivable arise from amounts due from the Company’s collaborative partners and contract manufacturing work performed by the Company. 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112" w:lineRule="exact"/>
        <w:rPr>
          <w:sz w:val="20"/>
          <w:szCs w:val="20"/>
          <w:color w:val="auto"/>
        </w:rPr>
      </w:pPr>
    </w:p>
    <w:p>
      <w:pPr>
        <w:jc w:val="both"/>
        <w:ind w:right="40" w:firstLine="625"/>
        <w:spacing w:after="0" w:line="268" w:lineRule="auto"/>
        <w:rPr>
          <w:sz w:val="20"/>
          <w:szCs w:val="20"/>
          <w:color w:val="auto"/>
        </w:rPr>
      </w:pPr>
      <w:r>
        <w:rPr>
          <w:rFonts w:ascii="Times New Roman" w:cs="Times New Roman" w:eastAsia="Times New Roman" w:hAnsi="Times New Roman"/>
          <w:sz w:val="17"/>
          <w:szCs w:val="17"/>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2025 or 2024, as the Company has a history of collecting on all outstanding accounts.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73" w:lineRule="exact"/>
        <w:rPr>
          <w:sz w:val="20"/>
          <w:szCs w:val="20"/>
          <w:color w:val="auto"/>
        </w:rPr>
      </w:pPr>
    </w:p>
    <w:p>
      <w:pPr>
        <w:ind w:right="260" w:firstLine="625"/>
        <w:spacing w:after="0" w:line="294" w:lineRule="auto"/>
        <w:rPr>
          <w:sz w:val="20"/>
          <w:szCs w:val="20"/>
          <w:color w:val="auto"/>
        </w:rPr>
      </w:pPr>
      <w:r>
        <w:rPr>
          <w:rFonts w:ascii="Times New Roman" w:cs="Times New Roman" w:eastAsia="Times New Roman" w:hAnsi="Times New Roman"/>
          <w:sz w:val="17"/>
          <w:szCs w:val="17"/>
          <w:color w:val="252525"/>
        </w:rPr>
        <w:t>The Company's financial instruments consist of cash and cash equivalents, marketable securities, accounts receivable, accounts payable and accrued expenses. The carrying amount of accounts receivable,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863" w:right="399" w:bottom="1440" w:gutter="0" w:footer="0" w:header="0"/>
        </w:sectPr>
      </w:pPr>
    </w:p>
    <w:bookmarkStart w:id="84" w:name="page85"/>
    <w:bookmarkEnd w:id="84"/>
    <w:p>
      <w:pPr>
        <w:ind w:right="200"/>
        <w:spacing w:after="0" w:line="265" w:lineRule="auto"/>
        <w:rPr>
          <w:sz w:val="20"/>
          <w:szCs w:val="20"/>
          <w:color w:val="auto"/>
        </w:rPr>
      </w:pPr>
      <w:r>
        <w:rPr>
          <w:rFonts w:ascii="Times New Roman" w:cs="Times New Roman" w:eastAsia="Times New Roman" w:hAnsi="Times New Roman"/>
          <w:sz w:val="17"/>
          <w:szCs w:val="17"/>
          <w:color w:val="252525"/>
        </w:rPr>
        <w:t xml:space="preserve">are generally considered to be representative of their respective fair values because of their short-term nature. </w:t>
      </w:r>
      <w:r>
        <w:rPr>
          <w:rFonts w:ascii="Times New Roman" w:cs="Times New Roman" w:eastAsia="Times New Roman" w:hAnsi="Times New Roman"/>
          <w:sz w:val="17"/>
          <w:szCs w:val="17"/>
          <w:color w:val="000000"/>
        </w:rPr>
        <w:t xml:space="preserve">The Company accounts for recurring and non-recurring fair value measurements in accordance with the Financial Accounting Standards Board (FASB) Accounting Standards Codification (ASC) 820, </w:t>
      </w:r>
      <w:r>
        <w:rPr>
          <w:rFonts w:ascii="Times New Roman" w:cs="Times New Roman" w:eastAsia="Times New Roman" w:hAnsi="Times New Roman"/>
          <w:sz w:val="17"/>
          <w:szCs w:val="17"/>
          <w:i w:val="1"/>
          <w:iCs w:val="1"/>
          <w:color w:val="000000"/>
        </w:rPr>
        <w:t>Fair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 xml:space="preserve">Value Measurements and Disclosures </w:t>
      </w:r>
      <w:r>
        <w:rPr>
          <w:rFonts w:ascii="Times New Roman" w:cs="Times New Roman" w:eastAsia="Times New Roman" w:hAnsi="Times New Roman"/>
          <w:sz w:val="17"/>
          <w:szCs w:val="17"/>
          <w:color w:val="000000"/>
        </w:rPr>
        <w:t>(ASC 820). ASC 820 defines fair value, establishes a fair value hierarchy for assets and liabilities measured at fair value,</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19" w:lineRule="exact"/>
        <w:rPr>
          <w:sz w:val="20"/>
          <w:szCs w:val="20"/>
          <w:color w:val="auto"/>
        </w:rPr>
      </w:pPr>
    </w:p>
    <w:p>
      <w:pPr>
        <w:ind w:left="940" w:hanging="311"/>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Fair value is determined by using unadjusted quoted prices that are available in active markets for identical assets and liabilities.</w:t>
      </w:r>
    </w:p>
    <w:p>
      <w:pPr>
        <w:spacing w:after="0" w:line="169" w:lineRule="exact"/>
        <w:rPr>
          <w:rFonts w:ascii="Times New Roman" w:cs="Times New Roman" w:eastAsia="Times New Roman" w:hAnsi="Times New Roman"/>
          <w:sz w:val="17"/>
          <w:szCs w:val="17"/>
          <w:color w:val="auto"/>
        </w:rPr>
      </w:pPr>
    </w:p>
    <w:p>
      <w:pPr>
        <w:ind w:left="940" w:hanging="311"/>
        <w:spacing w:after="0" w:line="272" w:lineRule="auto"/>
        <w:tabs>
          <w:tab w:leader="none" w:pos="9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325" w:lineRule="exact"/>
        <w:rPr>
          <w:rFonts w:ascii="Times New Roman" w:cs="Times New Roman" w:eastAsia="Times New Roman" w:hAnsi="Times New Roman"/>
          <w:sz w:val="17"/>
          <w:szCs w:val="17"/>
          <w:color w:val="auto"/>
        </w:rPr>
      </w:pPr>
    </w:p>
    <w:p>
      <w:pPr>
        <w:ind w:left="940" w:right="40" w:hanging="311"/>
        <w:spacing w:after="0" w:line="274" w:lineRule="auto"/>
        <w:tabs>
          <w:tab w:leader="none" w:pos="9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12" w:lineRule="exact"/>
        <w:rPr>
          <w:sz w:val="20"/>
          <w:szCs w:val="20"/>
          <w:color w:val="auto"/>
        </w:rPr>
      </w:pPr>
    </w:p>
    <w:p>
      <w:pPr>
        <w:jc w:val="both"/>
        <w:ind w:right="3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112"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252525"/>
        </w:rPr>
        <w:t xml:space="preserve">The carrying value of the deferred royalty obligation related to the sale of future royalties under the </w:t>
      </w:r>
      <w:r>
        <w:rPr>
          <w:rFonts w:ascii="Times New Roman" w:cs="Times New Roman" w:eastAsia="Times New Roman" w:hAnsi="Times New Roman"/>
          <w:sz w:val="17"/>
          <w:szCs w:val="17"/>
          <w:color w:val="000000"/>
        </w:rPr>
        <w:t>Purchase and Sale Agreement with Sagard</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Healthcare Partners (Sagard) approximates its fair value as of December 31, 2025 and is based on the Company’s current estimate of future royalties expected to be earned over the estimated life of the royalty term arrangement. See Note 10, Royalty Monetization Arrangement, for the description of the Level 3 inputs used to estimate the fair value of the liability.</w:t>
      </w:r>
    </w:p>
    <w:p>
      <w:pPr>
        <w:spacing w:after="0" w:line="3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assets measured at fair value on a recurring basis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5340" w:type="dxa"/>
            <w:vAlign w:val="bottom"/>
            <w:tcBorders>
              <w:bottom w:val="single" w:sz="8" w:color="auto"/>
            </w:tcBorders>
            <w:gridSpan w:val="8"/>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Fair Value Measurement at December 31, 2025</w:t>
            </w:r>
          </w:p>
        </w:tc>
      </w:tr>
      <w:tr>
        <w:trPr>
          <w:trHeight w:val="214"/>
        </w:trPr>
        <w:tc>
          <w:tcPr>
            <w:tcW w:w="58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Level 2</w:t>
            </w:r>
          </w:p>
        </w:tc>
      </w:tr>
      <w:tr>
        <w:trPr>
          <w:trHeight w:val="20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1"/>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11,466</w:t>
            </w:r>
          </w:p>
        </w:tc>
        <w:tc>
          <w:tcPr>
            <w:tcW w:w="16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11,466</w:t>
            </w:r>
          </w:p>
        </w:tc>
        <w:tc>
          <w:tcPr>
            <w:tcW w:w="2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w:t>
            </w:r>
          </w:p>
        </w:tc>
      </w:tr>
      <w:tr>
        <w:trPr>
          <w:trHeight w:val="221"/>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53,950</w:t>
            </w:r>
          </w:p>
        </w:tc>
      </w:tr>
      <w:tr>
        <w:trPr>
          <w:trHeight w:val="221"/>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81,300</w:t>
            </w:r>
          </w:p>
        </w:tc>
      </w:tr>
      <w:tr>
        <w:trPr>
          <w:trHeight w:val="214"/>
        </w:trPr>
        <w:tc>
          <w:tcPr>
            <w:tcW w:w="586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Total assets measured at fair value </w:t>
            </w:r>
            <w:r>
              <w:rPr>
                <w:rFonts w:ascii="Times New Roman" w:cs="Times New Roman" w:eastAsia="Times New Roman" w:hAnsi="Times New Roman"/>
                <w:sz w:val="22"/>
                <w:szCs w:val="22"/>
                <w:color w:val="auto"/>
                <w:vertAlign w:val="superscript"/>
              </w:rPr>
              <w:t>(a)</w:t>
            </w: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151,655</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11,466</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140,189</w:t>
            </w:r>
          </w:p>
        </w:tc>
      </w:tr>
      <w:tr>
        <w:trPr>
          <w:trHeight w:val="20"/>
        </w:trPr>
        <w:tc>
          <w:tcPr>
            <w:tcW w:w="5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5340" w:type="dxa"/>
            <w:vAlign w:val="bottom"/>
            <w:tcBorders>
              <w:bottom w:val="single" w:sz="8" w:color="auto"/>
            </w:tcBorders>
            <w:gridSpan w:val="8"/>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Fair Value Measurement at December 31, 2024</w:t>
            </w:r>
          </w:p>
        </w:tc>
      </w:tr>
      <w:tr>
        <w:trPr>
          <w:trHeight w:val="214"/>
        </w:trPr>
        <w:tc>
          <w:tcPr>
            <w:tcW w:w="59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Level 2</w:t>
            </w:r>
          </w:p>
        </w:tc>
      </w:tr>
      <w:tr>
        <w:trPr>
          <w:trHeight w:val="20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1"/>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67,886</w:t>
            </w:r>
          </w:p>
        </w:tc>
        <w:tc>
          <w:tcPr>
            <w:tcW w:w="1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67,886</w:t>
            </w:r>
          </w:p>
        </w:tc>
        <w:tc>
          <w:tcPr>
            <w:tcW w:w="2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1"/>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Government-sponsored enterprise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w:t>
            </w:r>
          </w:p>
        </w:tc>
      </w:tr>
      <w:tr>
        <w:trPr>
          <w:trHeight w:val="221"/>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w:t>
            </w:r>
          </w:p>
        </w:tc>
      </w:tr>
      <w:tr>
        <w:trPr>
          <w:trHeight w:val="214"/>
        </w:trPr>
        <w:tc>
          <w:tcPr>
            <w:tcW w:w="590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Total assets measured at fair value </w:t>
            </w:r>
            <w:r>
              <w:rPr>
                <w:rFonts w:ascii="Times New Roman" w:cs="Times New Roman" w:eastAsia="Times New Roman" w:hAnsi="Times New Roman"/>
                <w:sz w:val="22"/>
                <w:szCs w:val="22"/>
                <w:color w:val="auto"/>
                <w:vertAlign w:val="superscript"/>
              </w:rPr>
              <w:t>(b)</w:t>
            </w: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102,428</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67,886</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34,542</w:t>
            </w:r>
          </w:p>
        </w:tc>
      </w:tr>
      <w:tr>
        <w:trPr>
          <w:trHeight w:val="20"/>
        </w:trPr>
        <w:tc>
          <w:tcPr>
            <w:tcW w:w="5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40" w:right="400" w:hanging="236"/>
        <w:spacing w:after="0" w:line="294" w:lineRule="auto"/>
        <w:tabs>
          <w:tab w:leader="none" w:pos="24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measured at fair value at December 31, 2025 includes approximately $19.0 million reported as cash and cash equivalents and $132.7 million reported as marketable securities on the balance sheet.</w:t>
      </w:r>
    </w:p>
    <w:p>
      <w:pPr>
        <w:spacing w:after="0" w:line="94" w:lineRule="exact"/>
        <w:rPr>
          <w:rFonts w:ascii="Times New Roman" w:cs="Times New Roman" w:eastAsia="Times New Roman" w:hAnsi="Times New Roman"/>
          <w:sz w:val="17"/>
          <w:szCs w:val="17"/>
          <w:color w:val="auto"/>
        </w:rPr>
      </w:pPr>
    </w:p>
    <w:p>
      <w:pPr>
        <w:ind w:left="240" w:right="460" w:hanging="236"/>
        <w:spacing w:after="0" w:line="294" w:lineRule="auto"/>
        <w:tabs>
          <w:tab w:leader="none" w:pos="2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measured at fair value at December 31, 2024 includes approximately $83.6 million reported as cash and cash equivalents and $18.8 million reported as marketable securities on the balance sheet.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73"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Financial instruments that potentially subject the Company to concentrations of credit risk consist principally of cash, cash equivalents, marketable securities and accounts receivable. </w:t>
      </w:r>
      <w:r>
        <w:rPr>
          <w:rFonts w:ascii="Times New Roman" w:cs="Times New Roman" w:eastAsia="Times New Roman" w:hAnsi="Times New Roman"/>
          <w:sz w:val="17"/>
          <w:szCs w:val="17"/>
          <w:color w:val="252525"/>
        </w:rPr>
        <w:t>The Company maintains its cash and money market funds with financial institutions that are federally insured. While balances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 </w:t>
      </w:r>
      <w:r>
        <w:rPr>
          <w:rFonts w:ascii="Times New Roman" w:cs="Times New Roman" w:eastAsia="Times New Roman" w:hAnsi="Times New Roman"/>
          <w:sz w:val="17"/>
          <w:szCs w:val="17"/>
          <w:color w:val="000000"/>
        </w:rPr>
        <w:t>The counterparties are various corporations, financial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institutions and government agencies of high credit standing.</w:t>
      </w:r>
    </w:p>
    <w:p>
      <w:pPr>
        <w:spacing w:after="0" w:line="121" w:lineRule="exact"/>
        <w:rPr>
          <w:sz w:val="20"/>
          <w:szCs w:val="20"/>
          <w:color w:val="auto"/>
        </w:rPr>
      </w:pPr>
    </w:p>
    <w:p>
      <w:pPr>
        <w:ind w:right="60" w:firstLine="625"/>
        <w:spacing w:after="0" w:line="271" w:lineRule="auto"/>
        <w:rPr>
          <w:sz w:val="20"/>
          <w:szCs w:val="20"/>
          <w:color w:val="auto"/>
        </w:rPr>
      </w:pPr>
      <w:r>
        <w:rPr>
          <w:rFonts w:ascii="Times New Roman" w:cs="Times New Roman" w:eastAsia="Times New Roman" w:hAnsi="Times New Roman"/>
          <w:sz w:val="17"/>
          <w:szCs w:val="17"/>
          <w:color w:val="auto"/>
        </w:rPr>
        <w:t>The Company's revenue relates to contract development and manufacturing services, agreements with various collaborators, and MARGENZA net product sales (prior to the sale to TerSera Therapeutics LLC (TerSera) in November 2024). The following table includes those counterparties that represent more than 10% of total revenue earned in the periods indicated:</w:t>
      </w: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4"/>
        </w:trPr>
        <w:tc>
          <w:tcPr>
            <w:tcW w:w="7680" w:type="dxa"/>
            <w:vAlign w:val="bottom"/>
          </w:tcPr>
          <w:p>
            <w:pPr>
              <w:spacing w:after="0"/>
              <w:rPr>
                <w:sz w:val="18"/>
                <w:szCs w:val="18"/>
                <w:color w:val="auto"/>
              </w:rPr>
            </w:pP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54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4"/>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Sanofi S.A. (Sanofi)</w:t>
            </w:r>
          </w:p>
        </w:tc>
        <w:tc>
          <w:tcPr>
            <w:tcW w:w="740" w:type="dxa"/>
            <w:vAlign w:val="bottom"/>
            <w:tcBorders>
              <w:top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shd w:val="clear" w:color="auto" w:fill="CCEEFF"/>
              </w:rPr>
              <w:t>33%</w:t>
            </w: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Incyte Corporation (Incyte)</w:t>
            </w:r>
          </w:p>
        </w:tc>
        <w:tc>
          <w:tcPr>
            <w:tcW w:w="7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32%</w:t>
            </w:r>
          </w:p>
        </w:tc>
        <w:tc>
          <w:tcPr>
            <w:tcW w:w="15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53%</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Gilead Sciences, Inc (Gilead)</w:t>
            </w:r>
          </w:p>
        </w:tc>
        <w:tc>
          <w:tcPr>
            <w:tcW w:w="74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shd w:val="clear" w:color="auto" w:fill="CCEEFF"/>
              </w:rPr>
              <w:t>24%</w:t>
            </w:r>
          </w:p>
        </w:tc>
        <w:tc>
          <w:tcPr>
            <w:tcW w:w="1540" w:type="dxa"/>
            <w:vAlign w:val="bottom"/>
            <w:gridSpan w:val="3"/>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ASD Healthcare and Oncology Supply (ASD)</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McKesson Plasma &amp; Biologics and McKesson Specialty Care Distribution LLC (McKesson)</w:t>
            </w: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7"/>
                <w:szCs w:val="17"/>
                <w:color w:val="auto"/>
              </w:rPr>
              <w:t>12%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Amount is less than 10% for the period indicated.</w:t>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includes those counterparties that represent more than 10% of accounts receivable at the date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280" w:type="dxa"/>
            <w:vAlign w:val="bottom"/>
          </w:tcPr>
          <w:p>
            <w:pPr>
              <w:spacing w:after="0"/>
              <w:rPr>
                <w:sz w:val="18"/>
                <w:szCs w:val="18"/>
                <w:color w:val="auto"/>
              </w:rPr>
            </w:pP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20" w:type="dxa"/>
            <w:vAlign w:val="bottom"/>
            <w:gridSpan w:val="3"/>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4"/>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Incyte</w:t>
            </w:r>
          </w:p>
        </w:tc>
        <w:tc>
          <w:tcPr>
            <w:tcW w:w="90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color w:val="auto"/>
              </w:rPr>
              <w:t>69%</w:t>
            </w: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2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Emergent Biosolutions</w:t>
            </w:r>
          </w:p>
        </w:tc>
        <w:tc>
          <w:tcPr>
            <w:tcW w:w="90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rPr>
              <w:t>16%</w:t>
            </w:r>
          </w:p>
        </w:tc>
        <w:tc>
          <w:tcPr>
            <w:tcW w:w="2020" w:type="dxa"/>
            <w:vAlign w:val="bottom"/>
            <w:gridSpan w:val="3"/>
          </w:tcPr>
          <w:p>
            <w:pPr>
              <w:jc w:val="center"/>
              <w:ind w:left="63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TerSera</w:t>
            </w:r>
          </w:p>
        </w:tc>
        <w:tc>
          <w:tcPr>
            <w:tcW w:w="90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color w:val="auto"/>
              </w:rPr>
              <w:t>12%</w:t>
            </w:r>
          </w:p>
        </w:tc>
        <w:tc>
          <w:tcPr>
            <w:tcW w:w="2020" w:type="dxa"/>
            <w:vAlign w:val="bottom"/>
            <w:gridSpan w:val="3"/>
            <w:shd w:val="clear" w:color="auto" w:fill="CCEEFF"/>
          </w:tcPr>
          <w:p>
            <w:pPr>
              <w:jc w:val="center"/>
              <w:ind w:left="63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ASD</w:t>
            </w: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center"/>
              <w:ind w:left="613"/>
              <w:spacing w:after="0"/>
              <w:rPr>
                <w:sz w:val="20"/>
                <w:szCs w:val="20"/>
                <w:color w:val="auto"/>
              </w:rPr>
            </w:pPr>
            <w:r>
              <w:rPr>
                <w:rFonts w:ascii="Times New Roman" w:cs="Times New Roman" w:eastAsia="Times New Roman" w:hAnsi="Times New Roman"/>
                <w:sz w:val="17"/>
                <w:szCs w:val="17"/>
                <w:color w:val="auto"/>
              </w:rPr>
              <w:t>18%</w:t>
            </w:r>
          </w:p>
        </w:tc>
      </w:tr>
      <w:tr>
        <w:trPr>
          <w:trHeight w:val="22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9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rPr>
              <w:t>13%</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Cardinal Health, Inc.</w:t>
            </w: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center"/>
              <w:ind w:left="613"/>
              <w:spacing w:after="0"/>
              <w:rPr>
                <w:sz w:val="20"/>
                <w:szCs w:val="20"/>
                <w:color w:val="auto"/>
              </w:rPr>
            </w:pPr>
            <w:r>
              <w:rPr>
                <w:rFonts w:ascii="Times New Roman" w:cs="Times New Roman" w:eastAsia="Times New Roman" w:hAnsi="Times New Roman"/>
                <w:sz w:val="17"/>
                <w:szCs w:val="17"/>
                <w:color w:val="auto"/>
              </w:rPr>
              <w:t>12%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Balance is less than 10% as of the date indicated.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73"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Inventory is composed of raw materials valued at the lower of cost or estimated net realizable value. Cost is determined using the moving average cost basis, which approximates cost on a first-in, first-out basis. The Company performs an assessment of the recoverability of capitalized inventory during each reporting period, and it writes down any excess, obsolete or expired materials to their estimated realizable value in the period in which the impairment is first identified. Such write downs, should they occur, are recorded within the cost of manufacturing services in the statement of operations. Inventory at December 31, 2025 consists of $7.9 million in raw materials and supplies procured for the purpose of manufacturing drug substance for the Company's contract manufacturing customers. At December 31, 2025 there was no inventory reserve recorded.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w:t>
      </w:r>
    </w:p>
    <w:p>
      <w:pPr>
        <w:spacing w:after="0" w:line="173"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Property, equipment and software are stated at cost. Upon retirement or sale, the cost of assets disposed of and the related accumulated depreciation or amortization are removed from the accounts and any resulting gain or loss is credited 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86" w:name="page87"/>
    <w:bookmarkEnd w:id="86"/>
    <w:p>
      <w:pPr>
        <w:ind w:right="120"/>
        <w:spacing w:after="0" w:line="294" w:lineRule="auto"/>
        <w:rPr>
          <w:sz w:val="20"/>
          <w:szCs w:val="20"/>
          <w:color w:val="auto"/>
        </w:rPr>
      </w:pPr>
      <w:r>
        <w:rPr>
          <w:rFonts w:ascii="Times New Roman" w:cs="Times New Roman" w:eastAsia="Times New Roman" w:hAnsi="Times New Roman"/>
          <w:sz w:val="17"/>
          <w:szCs w:val="17"/>
          <w:color w:val="auto"/>
        </w:rPr>
        <w:t>charged to operations. Repairs and maintenance costs are expensed as incurred. Depreciation and amortization are computed using the straight-line method over the following estimated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3 years</w:t>
            </w: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726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3 years</w:t>
            </w:r>
          </w:p>
        </w:tc>
      </w:t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10 years</w:t>
            </w: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Laboratory and office equipment</w:t>
            </w:r>
          </w:p>
        </w:tc>
        <w:tc>
          <w:tcPr>
            <w:tcW w:w="726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5 years</w:t>
            </w:r>
          </w:p>
        </w:tc>
      </w:t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Shorter of lease term or useful life</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71"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 xml:space="preserve">The Company assesses the recoverability of its long-lived assets in accordance with the provisions of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2025, and 2024, the Company determined that there were no impaired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20" w:firstLine="703"/>
        <w:spacing w:after="0" w:line="263" w:lineRule="auto"/>
        <w:rPr>
          <w:sz w:val="20"/>
          <w:szCs w:val="20"/>
          <w:color w:val="auto"/>
        </w:rPr>
      </w:pPr>
      <w:r>
        <w:rPr>
          <w:rFonts w:ascii="Times New Roman" w:cs="Times New Roman" w:eastAsia="Times New Roman" w:hAnsi="Times New Roman"/>
          <w:sz w:val="17"/>
          <w:szCs w:val="17"/>
          <w:color w:val="auto"/>
        </w:rPr>
        <w:t xml:space="preserve">The Company recognizes revenue under ASC Topic 606, </w:t>
      </w:r>
      <w:r>
        <w:rPr>
          <w:rFonts w:ascii="Times New Roman" w:cs="Times New Roman" w:eastAsia="Times New Roman" w:hAnsi="Times New Roman"/>
          <w:sz w:val="17"/>
          <w:szCs w:val="17"/>
          <w:i w:val="1"/>
          <w:iCs w:val="1"/>
          <w:color w:val="auto"/>
        </w:rPr>
        <w:t>Revenue from Contracts with Customer</w:t>
      </w:r>
      <w:r>
        <w:rPr>
          <w:rFonts w:ascii="Times New Roman" w:cs="Times New Roman" w:eastAsia="Times New Roman" w:hAnsi="Times New Roman"/>
          <w:sz w:val="17"/>
          <w:szCs w:val="17"/>
          <w:color w:val="auto"/>
        </w:rPr>
        <w:t>s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Collaborative and Other Agreements</w:t>
      </w:r>
    </w:p>
    <w:p>
      <w:pPr>
        <w:spacing w:after="0" w:line="171" w:lineRule="exact"/>
        <w:rPr>
          <w:sz w:val="20"/>
          <w:szCs w:val="20"/>
          <w:color w:val="auto"/>
        </w:rPr>
      </w:pPr>
    </w:p>
    <w:p>
      <w:pPr>
        <w:ind w:right="380" w:firstLine="625"/>
        <w:spacing w:after="0" w:line="265" w:lineRule="auto"/>
        <w:rPr>
          <w:sz w:val="20"/>
          <w:szCs w:val="20"/>
          <w:color w:val="auto"/>
        </w:rPr>
      </w:pPr>
      <w:r>
        <w:rPr>
          <w:rFonts w:ascii="Times New Roman" w:cs="Times New Roman" w:eastAsia="Times New Roman" w:hAnsi="Times New Roman"/>
          <w:sz w:val="17"/>
          <w:szCs w:val="17"/>
          <w:color w:val="auto"/>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spacing w:after="0" w:line="119"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335"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 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7" w:name="page88"/>
    <w:bookmarkEnd w:id="87"/>
    <w:p>
      <w:pPr>
        <w:ind w:right="180"/>
        <w:spacing w:after="0" w:line="294" w:lineRule="auto"/>
        <w:rPr>
          <w:sz w:val="20"/>
          <w:szCs w:val="20"/>
          <w:color w:val="auto"/>
        </w:rPr>
      </w:pPr>
      <w:r>
        <w:rPr>
          <w:rFonts w:ascii="Times New Roman" w:cs="Times New Roman" w:eastAsia="Times New Roman" w:hAnsi="Times New Roman"/>
          <w:sz w:val="17"/>
          <w:szCs w:val="17"/>
          <w:color w:val="auto"/>
        </w:rPr>
        <w:t>contract inception. The Company does not include a financing component to its estimated transaction price at contract inception unless it estimates that certain performance obligations will not be satisfied within one year.</w:t>
      </w:r>
    </w:p>
    <w:p>
      <w:pPr>
        <w:spacing w:after="0" w:line="94"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62"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Licenses. </w:t>
      </w:r>
      <w:r>
        <w:rPr>
          <w:rFonts w:ascii="Times New Roman" w:cs="Times New Roman" w:eastAsia="Times New Roman" w:hAnsi="Times New Roman"/>
          <w:sz w:val="17"/>
          <w:szCs w:val="17"/>
          <w:color w:val="252525"/>
        </w:rPr>
        <w:t>When the Company grants a license to its intellectual property,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nature of the intellectual property to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w:t>
      </w:r>
    </w:p>
    <w:p>
      <w:pPr>
        <w:spacing w:after="0" w:line="257" w:lineRule="auto"/>
        <w:rPr>
          <w:sz w:val="20"/>
          <w:szCs w:val="20"/>
          <w:color w:val="auto"/>
        </w:rPr>
      </w:pPr>
      <w:r>
        <w:rPr>
          <w:rFonts w:ascii="Times New Roman" w:cs="Times New Roman" w:eastAsia="Times New Roman" w:hAnsi="Times New Roman"/>
          <w:sz w:val="17"/>
          <w:szCs w:val="17"/>
          <w:color w:val="252525"/>
        </w:rPr>
        <w:t>license is transferred to the customer. Revenue from symbolic IP is recognized over the access period to the Company’s intellectual property</w:t>
      </w:r>
      <w:r>
        <w:rPr>
          <w:rFonts w:ascii="Times New Roman" w:cs="Times New Roman" w:eastAsia="Times New Roman" w:hAnsi="Times New Roman"/>
          <w:sz w:val="20"/>
          <w:szCs w:val="20"/>
          <w:color w:val="252525"/>
        </w:rPr>
        <w:t>.</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If the license to the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26"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Research, Development and/or Manufacturing Services. </w:t>
      </w:r>
      <w:r>
        <w:rPr>
          <w:rFonts w:ascii="Times New Roman" w:cs="Times New Roman" w:eastAsia="Times New Roman" w:hAnsi="Times New Roman"/>
          <w:sz w:val="17"/>
          <w:szCs w:val="17"/>
          <w:color w:val="auto"/>
        </w:rPr>
        <w:t>The promises under the Company’s agreements may include research and development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Customer Options. </w:t>
      </w:r>
      <w:r>
        <w:rPr>
          <w:rFonts w:ascii="Times New Roman" w:cs="Times New Roman" w:eastAsia="Times New Roman" w:hAnsi="Times New Roman"/>
          <w:sz w:val="17"/>
          <w:szCs w:val="17"/>
          <w:color w:val="auto"/>
        </w:rPr>
        <w:t>If an arrangement contains customer options, the Company evaluates whether the options are material rights because they allow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73"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development milestone payments, the Company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88" w:name="page89"/>
    <w:bookmarkEnd w:id="88"/>
    <w:p>
      <w:pPr>
        <w:ind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which are the result of a customer-vendor relationship and for which the license is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1"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 complete discussion of accounting for revenue from collaborative and other agreements, see Note 7,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manufacturing revenue</w:t>
      </w:r>
    </w:p>
    <w:p>
      <w:pPr>
        <w:spacing w:after="0" w:line="171" w:lineRule="exact"/>
        <w:rPr>
          <w:sz w:val="20"/>
          <w:szCs w:val="20"/>
          <w:color w:val="auto"/>
        </w:rPr>
      </w:pPr>
    </w:p>
    <w:p>
      <w:pPr>
        <w:ind w:right="200" w:firstLine="625"/>
        <w:spacing w:after="0" w:line="279" w:lineRule="auto"/>
        <w:rPr>
          <w:sz w:val="20"/>
          <w:szCs w:val="20"/>
          <w:color w:val="auto"/>
        </w:rPr>
      </w:pPr>
      <w:r>
        <w:rPr>
          <w:rFonts w:ascii="Times New Roman" w:cs="Times New Roman" w:eastAsia="Times New Roman" w:hAnsi="Times New Roman"/>
          <w:sz w:val="17"/>
          <w:szCs w:val="17"/>
          <w:color w:val="auto"/>
        </w:rPr>
        <w:t>The Company enters into agreements with third parties to manufacture their drug substance at its Good Manufacturing Practice (GMP) facility. The terms of these arrangements can include an upfront payment to the Company to reserve manufacturing capacity, scheduled payments during the manufacturing</w:t>
      </w:r>
    </w:p>
    <w:p>
      <w:pPr>
        <w:spacing w:after="0" w:line="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process and reimbursement for materials used to manufacture product. The Company recognizes revenue over time on a straight-line basis as the manufacturing services are performed, as the Company believes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 Including Clinical Trial Accruals/Expenses</w:t>
      </w:r>
    </w:p>
    <w:p>
      <w:pPr>
        <w:spacing w:after="0" w:line="173"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spacing w:after="0" w:line="119"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spacing w:after="0" w:line="112" w:lineRule="exact"/>
        <w:rPr>
          <w:sz w:val="20"/>
          <w:szCs w:val="20"/>
          <w:color w:val="auto"/>
        </w:rPr>
      </w:pPr>
    </w:p>
    <w:p>
      <w:pPr>
        <w:ind w:right="120" w:firstLine="625"/>
        <w:spacing w:after="0" w:line="259" w:lineRule="auto"/>
        <w:rPr>
          <w:sz w:val="20"/>
          <w:szCs w:val="20"/>
          <w:color w:val="auto"/>
        </w:rPr>
      </w:pPr>
      <w:r>
        <w:rPr>
          <w:rFonts w:ascii="Times New Roman" w:cs="Times New Roman" w:eastAsia="Times New Roman" w:hAnsi="Times New Roman"/>
          <w:sz w:val="17"/>
          <w:szCs w:val="17"/>
          <w:color w:val="auto"/>
        </w:rPr>
        <w:t>Clinical trial expenses are a significant component of research and development expense,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 are recorded as</w:t>
      </w:r>
    </w:p>
    <w:p>
      <w:pPr>
        <w:spacing w:after="0" w:line="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as incurred</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Non-refundable advance clinical payments for goods or services that will be used or rendered for future research and development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9" w:name="page90"/>
    <w:bookmarkEnd w:id="89"/>
    <w:p>
      <w:pPr>
        <w:ind w:right="100"/>
        <w:spacing w:after="0" w:line="268" w:lineRule="auto"/>
        <w:rPr>
          <w:sz w:val="20"/>
          <w:szCs w:val="20"/>
          <w:color w:val="auto"/>
        </w:rPr>
      </w:pPr>
      <w:r>
        <w:rPr>
          <w:rFonts w:ascii="Times New Roman" w:cs="Times New Roman" w:eastAsia="Times New Roman" w:hAnsi="Times New Roman"/>
          <w:sz w:val="17"/>
          <w:szCs w:val="17"/>
          <w:color w:val="auto"/>
        </w:rPr>
        <w:t>activities are recorded as a prepaid asset and recognized as expense as the related goods are delivered or the related services are performed. When evaluating the adequacy of the accrued expenses, management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The Company determines whether an arrangement is or contains a lease at the inception of an arrangement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73"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252525"/>
        </w:rPr>
        <w:t>Comprehensive loss represents net loss adjusted for the change during the periods attributed to unrealized gains and losses on available-for-sale debt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73" w:lineRule="exact"/>
        <w:rPr>
          <w:sz w:val="20"/>
          <w:szCs w:val="20"/>
          <w:color w:val="auto"/>
        </w:rPr>
      </w:pPr>
    </w:p>
    <w:p>
      <w:pPr>
        <w:ind w:right="240" w:firstLine="625"/>
        <w:spacing w:after="0" w:line="271" w:lineRule="auto"/>
        <w:rPr>
          <w:sz w:val="20"/>
          <w:szCs w:val="20"/>
          <w:color w:val="auto"/>
        </w:rPr>
      </w:pPr>
      <w:r>
        <w:rPr>
          <w:rFonts w:ascii="Times New Roman" w:cs="Times New Roman" w:eastAsia="Times New Roman" w:hAnsi="Times New Roman"/>
          <w:sz w:val="17"/>
          <w:szCs w:val="17"/>
          <w:color w:val="auto"/>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 stock options and RSUs that were excluded from the calculation of net loss per share:</w:t>
      </w: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900" w:type="dxa"/>
            <w:vAlign w:val="bottom"/>
            <w:tcBorders>
              <w:bottom w:val="single" w:sz="8" w:color="auto"/>
            </w:tcBorders>
          </w:tcPr>
          <w:p>
            <w:pPr>
              <w:spacing w:after="0"/>
              <w:rPr>
                <w:sz w:val="19"/>
                <w:szCs w:val="19"/>
                <w:color w:val="auto"/>
              </w:rPr>
            </w:pPr>
          </w:p>
        </w:tc>
      </w:tr>
      <w:tr>
        <w:trPr>
          <w:trHeight w:val="214"/>
        </w:trPr>
        <w:tc>
          <w:tcPr>
            <w:tcW w:w="4840" w:type="dxa"/>
            <w:vAlign w:val="bottom"/>
          </w:tcPr>
          <w:p>
            <w:pPr>
              <w:spacing w:after="0"/>
              <w:rPr>
                <w:sz w:val="18"/>
                <w:szCs w:val="18"/>
                <w:color w:val="auto"/>
              </w:rPr>
            </w:pPr>
          </w:p>
        </w:tc>
        <w:tc>
          <w:tcPr>
            <w:tcW w:w="188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40" w:type="dxa"/>
            <w:vAlign w:val="bottom"/>
            <w:gridSpan w:val="2"/>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8"/>
                <w:szCs w:val="18"/>
                <w:color w:val="auto"/>
              </w:rPr>
            </w:pPr>
          </w:p>
        </w:tc>
        <w:tc>
          <w:tcPr>
            <w:tcW w:w="1900" w:type="dxa"/>
            <w:vAlign w:val="bottom"/>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RSUs</w:t>
            </w:r>
          </w:p>
        </w:tc>
        <w:tc>
          <w:tcPr>
            <w:tcW w:w="188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14,851,944</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14,008,511</w:t>
            </w:r>
          </w:p>
        </w:tc>
        <w:tc>
          <w:tcPr>
            <w:tcW w:w="1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13,129,251</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the sale of future royalties and related interest expense</w:t>
      </w:r>
    </w:p>
    <w:p>
      <w:pPr>
        <w:spacing w:after="0" w:line="251"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Company assesses the relevant accounting criteria under the FASB ASC Topic 470, Debt (ASC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revenues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loss. See Note 10, Royalty Monetization Arrangement,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52525"/>
        </w:rPr>
        <w:t>Recent Accounting Pronouncements Not Yet Adopted</w:t>
      </w:r>
    </w:p>
    <w:p>
      <w:pPr>
        <w:spacing w:after="0" w:line="249"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252525"/>
        </w:rPr>
        <w:t>In November 2024, the FASB issued Accounting Standards Update (ASU) No. 2024-03, Disaggregation of Income Statement Expense.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52525"/>
        </w:rPr>
        <w:t>Recently Adopted Accounting Pronouncements</w:t>
      </w:r>
    </w:p>
    <w:p>
      <w:pPr>
        <w:spacing w:after="0" w:line="249"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252525"/>
        </w:rPr>
        <w:t>In December 2023, the FASB issued ASU No. 2023-09, Income Taxes (Topic 740). The standard requires disaggregation of the effective rate reconciliation into standard categories, enhances disclosure of income taxes paid, and modifies other income tax-related disclosures. The Company adopted the standard in 2025 on a prospective basis, which resulted in incremental income tax disclosures. See Note 11, Income Taxes, for additional information.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252525"/>
              </w:rPr>
              <w:t>3. Marketable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8420" w:type="dxa"/>
            <w:vAlign w:val="bottom"/>
            <w:gridSpan w:val="11"/>
          </w:tcPr>
          <w:p>
            <w:pPr>
              <w:ind w:left="520"/>
              <w:spacing w:after="0"/>
              <w:rPr>
                <w:sz w:val="20"/>
                <w:szCs w:val="20"/>
                <w:color w:val="auto"/>
              </w:rPr>
            </w:pPr>
            <w:r>
              <w:rPr>
                <w:rFonts w:ascii="Times New Roman" w:cs="Times New Roman" w:eastAsia="Times New Roman" w:hAnsi="Times New Roman"/>
                <w:sz w:val="17"/>
                <w:szCs w:val="17"/>
                <w:color w:val="252525"/>
              </w:rPr>
              <w:t>Available-for-sale marketable securities as of December 31, 2025 and 2024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00"/>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0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center"/>
              <w:ind w:left="75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5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CEEFF"/>
          </w:tcPr>
          <w:p>
            <w:pPr>
              <w:jc w:val="center"/>
              <w:ind w:left="75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 xml:space="preserve">All of the Company's available-for-sale securities held at December 31, 2025 and 2024 had contractual maturities of less than one year. All of the Company’s available-for-sale marketable debt securities in an unrealized loss position as of December 31, 2025 were in a loss position for less than twelve months. Unrealized losses on available-for-sale debt securities as of December 31, 2025 </w:t>
      </w:r>
      <w:r>
        <w:rPr>
          <w:rFonts w:ascii="Times New Roman" w:cs="Times New Roman" w:eastAsia="Times New Roman" w:hAnsi="Times New Roman"/>
          <w:sz w:val="17"/>
          <w:szCs w:val="17"/>
          <w:color w:val="252525"/>
        </w:rPr>
        <w:t>were not</w:t>
      </w:r>
      <w:r>
        <w:rPr>
          <w:rFonts w:ascii="Times New Roman" w:cs="Times New Roman" w:eastAsia="Times New Roman" w:hAnsi="Times New Roman"/>
          <w:sz w:val="17"/>
          <w:szCs w:val="17"/>
          <w:color w:val="auto"/>
        </w:rPr>
        <w:t xml:space="preserve">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years ended </w:t>
      </w:r>
      <w:r>
        <w:rPr>
          <w:rFonts w:ascii="Times New Roman" w:cs="Times New Roman" w:eastAsia="Times New Roman" w:hAnsi="Times New Roman"/>
          <w:sz w:val="17"/>
          <w:szCs w:val="17"/>
          <w:color w:val="252525"/>
        </w:rPr>
        <w:t>December 31, 2025 and</w:t>
      </w:r>
      <w:r>
        <w:rPr>
          <w:rFonts w:ascii="Times New Roman" w:cs="Times New Roman" w:eastAsia="Times New Roman" w:hAnsi="Times New Roman"/>
          <w:sz w:val="17"/>
          <w:szCs w:val="17"/>
          <w:color w:val="auto"/>
        </w:rPr>
        <w:t xml:space="preserve"> 2024. The Company does not intend to sell these investments and it is not more likely than not that the Company will be required to sell the investments before recovery of their amortized cost bases, which may be at maturity. The Company recorded interest income of $3.4 million, $5.6 million and $4.0 million during the years ended December 31, 2025, 2024 and 2023, respectively, which is included in interest and other income on the consolidated statements of operations and comprehensive loss.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Property, Equipment and Software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65"/>
        </w:trPr>
        <w:tc>
          <w:tcPr>
            <w:tcW w:w="84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equipment and software consists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8"/>
        </w:trPr>
        <w:tc>
          <w:tcPr>
            <w:tcW w:w="8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21"/>
                <w:szCs w:val="21"/>
                <w:color w:val="auto"/>
              </w:rPr>
            </w:pPr>
          </w:p>
        </w:tc>
      </w:tr>
      <w:tr>
        <w:trPr>
          <w:trHeight w:val="214"/>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10,926</w:t>
            </w:r>
          </w:p>
        </w:tc>
      </w:tr>
      <w:tr>
        <w:trPr>
          <w:trHeight w:val="22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46,140</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44,097</w:t>
            </w:r>
          </w:p>
        </w:tc>
      </w:tr>
      <w:tr>
        <w:trPr>
          <w:trHeight w:val="22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r>
      <w:tr>
        <w:trPr>
          <w:trHeight w:val="214"/>
        </w:trPr>
        <w:tc>
          <w:tcPr>
            <w:tcW w:w="8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equipment and software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106,787</w:t>
            </w:r>
          </w:p>
        </w:tc>
      </w:tr>
      <w:tr>
        <w:trPr>
          <w:trHeight w:val="22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(88,687)</w:t>
            </w:r>
          </w:p>
        </w:tc>
      </w:tr>
      <w:tr>
        <w:trPr>
          <w:trHeight w:val="214"/>
        </w:trPr>
        <w:tc>
          <w:tcPr>
            <w:tcW w:w="8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equipment and software, net</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18,100</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280" w:firstLine="625"/>
        <w:spacing w:after="0" w:line="294" w:lineRule="auto"/>
        <w:rPr>
          <w:sz w:val="20"/>
          <w:szCs w:val="20"/>
          <w:color w:val="auto"/>
        </w:rPr>
      </w:pPr>
      <w:r>
        <w:rPr>
          <w:rFonts w:ascii="Times New Roman" w:cs="Times New Roman" w:eastAsia="Times New Roman" w:hAnsi="Times New Roman"/>
          <w:sz w:val="17"/>
          <w:szCs w:val="17"/>
          <w:color w:val="auto"/>
        </w:rPr>
        <w:t>Depreciation and amortization expense related to property, equipment and software for the years ended December 31, 2025, 2024 and 2023 was $7.2 million, $7.5 million and $9.6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Commitments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3"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252525"/>
        </w:rPr>
        <w:t>The Company has non-cancelable operating leases for manufacturing, laboratory, office and warehouse space in Maryland. The Company’s leases each have one or more five-year options to renew</w:t>
      </w:r>
      <w:r>
        <w:rPr>
          <w:rFonts w:ascii="Times New Roman" w:cs="Times New Roman" w:eastAsia="Times New Roman" w:hAnsi="Times New Roman"/>
          <w:sz w:val="17"/>
          <w:szCs w:val="17"/>
          <w:color w:val="000000"/>
        </w:rPr>
        <w:t>.</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supplemental balance sheet information related to operating leases:</w:t>
      </w:r>
    </w:p>
    <w:p>
      <w:pPr>
        <w:spacing w:after="0" w:line="206"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20955</wp:posOffset>
            </wp:positionV>
            <wp:extent cx="1645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 w:lineRule="exact"/>
        <w:rPr>
          <w:sz w:val="20"/>
          <w:szCs w:val="20"/>
          <w:color w:val="auto"/>
        </w:rPr>
      </w:pPr>
    </w:p>
    <w:p>
      <w:pPr>
        <w:ind w:left="9100"/>
        <w:spacing w:after="0"/>
        <w:tabs>
          <w:tab w:leader="none" w:pos="1042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4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10.0</w:t>
            </w:r>
          </w:p>
        </w:tc>
      </w:tr>
      <w:tr>
        <w:trPr>
          <w:trHeight w:val="227"/>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12.0%</w:t>
            </w:r>
          </w:p>
        </w:tc>
      </w:tr>
    </w:tbl>
    <w:p>
      <w:pPr>
        <w:spacing w:after="0" w:line="67" w:lineRule="exact"/>
        <w:rPr>
          <w:sz w:val="20"/>
          <w:szCs w:val="20"/>
          <w:color w:val="auto"/>
        </w:rPr>
      </w:pPr>
    </w:p>
    <w:p>
      <w:pPr>
        <w:ind w:right="700" w:firstLine="625"/>
        <w:spacing w:after="0" w:line="294" w:lineRule="auto"/>
        <w:rPr>
          <w:sz w:val="20"/>
          <w:szCs w:val="20"/>
          <w:color w:val="auto"/>
        </w:rPr>
      </w:pPr>
      <w:r>
        <w:rPr>
          <w:rFonts w:ascii="Times New Roman" w:cs="Times New Roman" w:eastAsia="Times New Roman" w:hAnsi="Times New Roman"/>
          <w:sz w:val="17"/>
          <w:szCs w:val="17"/>
          <w:color w:val="252525"/>
        </w:rPr>
        <w:t xml:space="preserve">During the years ended December 31, 2025 and </w:t>
      </w:r>
      <w:r>
        <w:rPr>
          <w:rFonts w:ascii="Times New Roman" w:cs="Times New Roman" w:eastAsia="Times New Roman" w:hAnsi="Times New Roman"/>
          <w:sz w:val="17"/>
          <w:szCs w:val="17"/>
          <w:color w:val="000000"/>
        </w:rPr>
        <w:t>2024, t</w:t>
      </w:r>
      <w:r>
        <w:rPr>
          <w:rFonts w:ascii="Times New Roman" w:cs="Times New Roman" w:eastAsia="Times New Roman" w:hAnsi="Times New Roman"/>
          <w:sz w:val="17"/>
          <w:szCs w:val="17"/>
          <w:color w:val="252525"/>
        </w:rPr>
        <w:t xml:space="preserve">he Company made cash payments for operating leases of $5.2 million and $3.8 million, respectively. As of December 31, 2025 and </w:t>
      </w:r>
      <w:r>
        <w:rPr>
          <w:rFonts w:ascii="Times New Roman" w:cs="Times New Roman" w:eastAsia="Times New Roman" w:hAnsi="Times New Roman"/>
          <w:sz w:val="17"/>
          <w:szCs w:val="17"/>
          <w:color w:val="000000"/>
        </w:rPr>
        <w:t>2024,</w:t>
      </w:r>
      <w:r>
        <w:rPr>
          <w:rFonts w:ascii="Times New Roman" w:cs="Times New Roman" w:eastAsia="Times New Roman" w:hAnsi="Times New Roman"/>
          <w:sz w:val="17"/>
          <w:szCs w:val="17"/>
          <w:color w:val="252525"/>
        </w:rPr>
        <w:t xml:space="preserve"> the Company’s ROU assets were valued at $22.9 million and $24.5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The components of lease cost for the years ended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xml:space="preserve"> and 2024 were as follows (in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8"/>
        </w:trPr>
        <w:tc>
          <w:tcPr>
            <w:tcW w:w="8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6,099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6,610</w:t>
            </w:r>
          </w:p>
        </w:tc>
      </w:tr>
      <w:tr>
        <w:trPr>
          <w:trHeight w:val="221"/>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80" w:type="dxa"/>
            <w:vAlign w:val="bottom"/>
          </w:tcPr>
          <w:p>
            <w:pPr>
              <w:spacing w:after="0"/>
              <w:rPr>
                <w:sz w:val="19"/>
                <w:szCs w:val="19"/>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w w:val="99"/>
              </w:rPr>
              <w:t>1,114</w:t>
            </w:r>
          </w:p>
        </w:tc>
      </w:tr>
      <w:tr>
        <w:trPr>
          <w:trHeight w:val="24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(1,145)</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lease cost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6,361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6,579</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7"/>
        </w:trPr>
        <w:tc>
          <w:tcPr>
            <w:tcW w:w="98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As of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the maturities of the Company’s operating lease liabilities were as follows (in thousands):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2"/>
        </w:trPr>
        <w:tc>
          <w:tcPr>
            <w:tcW w:w="9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w:t>
            </w:r>
          </w:p>
        </w:tc>
      </w:tr>
      <w:tr>
        <w:trPr>
          <w:trHeight w:val="221"/>
        </w:trPr>
        <w:tc>
          <w:tcPr>
            <w:tcW w:w="9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6,258</w:t>
            </w:r>
          </w:p>
        </w:tc>
      </w:tr>
      <w:tr>
        <w:trPr>
          <w:trHeight w:val="221"/>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7,413</w:t>
            </w:r>
          </w:p>
        </w:tc>
      </w:tr>
      <w:tr>
        <w:trPr>
          <w:trHeight w:val="221"/>
        </w:trPr>
        <w:tc>
          <w:tcPr>
            <w:tcW w:w="9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6,346</w:t>
            </w:r>
          </w:p>
        </w:tc>
      </w:tr>
      <w:tr>
        <w:trPr>
          <w:trHeight w:val="221"/>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6,417</w:t>
            </w:r>
          </w:p>
        </w:tc>
      </w:tr>
      <w:tr>
        <w:trPr>
          <w:trHeight w:val="221"/>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33,356</w:t>
            </w:r>
          </w:p>
        </w:tc>
      </w:tr>
      <w:tr>
        <w:trPr>
          <w:trHeight w:val="21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65,297</w:t>
            </w:r>
          </w:p>
        </w:tc>
      </w:tr>
      <w:tr>
        <w:trPr>
          <w:trHeight w:val="221"/>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(28,535)</w:t>
            </w:r>
          </w:p>
        </w:tc>
      </w:tr>
      <w:tr>
        <w:trPr>
          <w:trHeight w:val="239"/>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In-licensing arrangement</w:t>
      </w:r>
    </w:p>
    <w:p>
      <w:pPr>
        <w:spacing w:after="0" w:line="173" w:lineRule="exact"/>
        <w:rPr>
          <w:sz w:val="20"/>
          <w:szCs w:val="20"/>
          <w:color w:val="auto"/>
        </w:rPr>
      </w:pPr>
    </w:p>
    <w:p>
      <w:pPr>
        <w:ind w:right="20" w:firstLine="625"/>
        <w:spacing w:after="0" w:line="211" w:lineRule="exact"/>
        <w:rPr>
          <w:sz w:val="20"/>
          <w:szCs w:val="20"/>
          <w:color w:val="auto"/>
        </w:rPr>
      </w:pPr>
      <w:r>
        <w:rPr>
          <w:rFonts w:ascii="Times New Roman" w:cs="Times New Roman" w:eastAsia="Times New Roman" w:hAnsi="Times New Roman"/>
          <w:sz w:val="17"/>
          <w:szCs w:val="17"/>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The Company incurred $3.2 million, $4.7 million and $2.8 million in expense under this agreement during the years ended December 31, 2025, 2024 and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Commitments</w:t>
      </w:r>
    </w:p>
    <w:p>
      <w:pPr>
        <w:spacing w:after="0" w:line="173"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The Company has certain contractual commitments under manufacturing-related supplier arrangements as of December 31, 2025 totaling $4.1 million that expire through May 2026.</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Stockholders' Equity</w:t>
      </w:r>
    </w:p>
    <w:p>
      <w:pPr>
        <w:spacing w:after="0" w:line="171" w:lineRule="exact"/>
        <w:rPr>
          <w:sz w:val="20"/>
          <w:szCs w:val="20"/>
          <w:color w:val="auto"/>
        </w:rPr>
      </w:pPr>
    </w:p>
    <w:p>
      <w:pPr>
        <w:ind w:right="680" w:firstLine="625"/>
        <w:spacing w:after="0" w:line="274"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125,000,000 shares of common stock, and 5,000,000 shares of undesignated preferred stock, both with a par value of $0.01 per share. There were no shares of undesignated preferred stock issued or outstanding as of December 31, 2025 or 2024.</w:t>
      </w:r>
    </w:p>
    <w:p>
      <w:pPr>
        <w:spacing w:after="0" w:line="112"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In March 2023, the Company entered into a sales agreement with an agent to sell, from time to time, shares of its common stock having an aggregate sales price of up to $100.0 million through an “at the market offering” (ATM Offering) as defined in Rule 415 under the Securities Act of 1933, as amended. No shares were sold under the ATM offering during the years ended December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Collaborative and Other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Incyte License Agreement</w:t>
      </w:r>
    </w:p>
    <w:p>
      <w:pPr>
        <w:spacing w:after="0" w:line="171" w:lineRule="exact"/>
        <w:rPr>
          <w:sz w:val="20"/>
          <w:szCs w:val="20"/>
          <w:color w:val="auto"/>
        </w:rPr>
      </w:pPr>
    </w:p>
    <w:p>
      <w:pPr>
        <w:ind w:right="340" w:firstLine="625"/>
        <w:spacing w:after="0" w:line="263" w:lineRule="auto"/>
        <w:rPr>
          <w:sz w:val="20"/>
          <w:szCs w:val="20"/>
          <w:color w:val="auto"/>
        </w:rPr>
      </w:pPr>
      <w:r>
        <w:rPr>
          <w:rFonts w:ascii="Times New Roman" w:cs="Times New Roman" w:eastAsia="Times New Roman" w:hAnsi="Times New Roman"/>
          <w:sz w:val="17"/>
          <w:szCs w:val="17"/>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3" w:name="page94"/>
    <w:bookmarkEnd w:id="93"/>
    <w:p>
      <w:pPr>
        <w:ind w:right="120"/>
        <w:spacing w:after="0" w:line="261" w:lineRule="auto"/>
        <w:rPr>
          <w:sz w:val="20"/>
          <w:szCs w:val="20"/>
          <w:color w:val="auto"/>
        </w:rPr>
      </w:pPr>
      <w:r>
        <w:rPr>
          <w:rFonts w:ascii="Times New Roman" w:cs="Times New Roman" w:eastAsia="Times New Roman" w:hAnsi="Times New Roman"/>
          <w:sz w:val="17"/>
          <w:szCs w:val="17"/>
          <w:color w:val="auto"/>
        </w:rPr>
        <w:t>treatment of adults with metastatic or recurrent locally advanced Merkel cell carcinoma. In May 2025, the FDA approved ZYNYZ with carboplatin and paclitaxel for the first-line treatment of adults with inoperable locally recurrent or metastatic squamous cell carcinoma of the anal canal (SCAC), and as a single agent, for adults with locally recurrent or metastatic SCAC with disease progression on or intolerance to platinum-based chemotherapy. In December 2025, Japan’s Ministry of Health, Labour and Welfare approved ZYNYZ as first-line therapy for adults with locally recurrent or metastatic SCAC. In March 2026, Incyte announced that the European Commission approved ZYNYZ in combination with carboplatin and paclitaxel for the first-line treatment of adult patients with metastatic or inoperable locally recurrent SCAC. Furthermore, Incyte has stated it is pursuing development of retifanlimab in potentially registration-enabling studies, including in patients with non-small cell lung cancer. Incyte is also pursuing development of retifanlimab in combination with select product candidates from its pipeline.</w:t>
      </w:r>
    </w:p>
    <w:p>
      <w:pPr>
        <w:spacing w:after="0" w:line="200" w:lineRule="exact"/>
        <w:rPr>
          <w:sz w:val="20"/>
          <w:szCs w:val="20"/>
          <w:color w:val="auto"/>
        </w:rPr>
      </w:pPr>
    </w:p>
    <w:p>
      <w:pPr>
        <w:spacing w:after="0" w:line="213" w:lineRule="exact"/>
        <w:rPr>
          <w:sz w:val="20"/>
          <w:szCs w:val="20"/>
          <w:color w:val="auto"/>
        </w:rPr>
      </w:pPr>
    </w:p>
    <w:p>
      <w:pPr>
        <w:ind w:right="20" w:firstLine="625"/>
        <w:spacing w:after="0" w:line="258" w:lineRule="auto"/>
        <w:rPr>
          <w:sz w:val="20"/>
          <w:szCs w:val="20"/>
          <w:color w:val="auto"/>
        </w:rPr>
      </w:pPr>
      <w:r>
        <w:rPr>
          <w:rFonts w:ascii="Times New Roman" w:cs="Times New Roman" w:eastAsia="Times New Roman" w:hAnsi="Times New Roman"/>
          <w:sz w:val="17"/>
          <w:szCs w:val="17"/>
          <w:color w:val="auto"/>
        </w:rPr>
        <w:t xml:space="preserve">Under the terms of the Incyte License Agreement, as amended, Incyte leads global development of retifanlimab. From the inception of the Incyte License Agreement through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the Company has recognized $215.0 million for certain development and regulatory milestones under the Incyte License Agreement, including $15.0 million received following the FDA approval of ZYNYZ and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but sold this right to Sagard in June 2025 as described more fully in Note 10, Royalty Monetization Arrangement.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 w:lineRule="exact"/>
        <w:rPr>
          <w:sz w:val="20"/>
          <w:szCs w:val="20"/>
          <w:color w:val="auto"/>
        </w:rPr>
      </w:pPr>
    </w:p>
    <w:p>
      <w:pPr>
        <w:ind w:right="20" w:firstLine="729"/>
        <w:spacing w:after="0" w:line="256" w:lineRule="auto"/>
        <w:rPr>
          <w:sz w:val="20"/>
          <w:szCs w:val="20"/>
          <w:color w:val="auto"/>
        </w:rPr>
      </w:pPr>
      <w:r>
        <w:rPr>
          <w:rFonts w:ascii="Times New Roman" w:cs="Times New Roman" w:eastAsia="Times New Roman" w:hAnsi="Times New Roman"/>
          <w:sz w:val="17"/>
          <w:szCs w:val="17"/>
          <w:color w:val="auto"/>
        </w:rPr>
        <w:t xml:space="preserve">The Company evaluated the Incyte License Agreement under the provisions of 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w:t>
      </w:r>
      <w:r>
        <w:rPr>
          <w:rFonts w:ascii="Times New Roman" w:cs="Times New Roman" w:eastAsia="Times New Roman" w:hAnsi="Times New Roman"/>
          <w:sz w:val="17"/>
          <w:szCs w:val="17"/>
          <w:color w:val="252525"/>
        </w:rPr>
        <w:t>fully constrained until the Company concludes that achievement of the milestone is probable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that recognition of revenue related to the milestone will not result in a significant reversal in amounts recognized in future periods, </w:t>
      </w:r>
      <w:r>
        <w:rPr>
          <w:rFonts w:ascii="Times New Roman" w:cs="Times New Roman" w:eastAsia="Times New Roman" w:hAnsi="Times New Roman"/>
          <w:sz w:val="17"/>
          <w:szCs w:val="17"/>
          <w:color w:val="000000"/>
        </w:rPr>
        <w:t>and as such have been</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during the year ended December 31, 2024. </w:t>
      </w:r>
      <w:r>
        <w:rPr>
          <w:rFonts w:ascii="Times New Roman" w:cs="Times New Roman" w:eastAsia="Times New Roman" w:hAnsi="Times New Roman"/>
          <w:sz w:val="17"/>
          <w:szCs w:val="17"/>
          <w:color w:val="252525"/>
        </w:rPr>
        <w:t>From 2018 through December 31,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it became probable that a significant reversal of cumulative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 xml:space="preserve">revenue would not occur for development milestones totaling </w:t>
      </w:r>
      <w:r>
        <w:rPr>
          <w:rFonts w:ascii="Times New Roman" w:cs="Times New Roman" w:eastAsia="Times New Roman" w:hAnsi="Times New Roman"/>
          <w:sz w:val="17"/>
          <w:szCs w:val="17"/>
          <w:color w:val="000000"/>
        </w:rPr>
        <w:t>$215.0 million</w:t>
      </w:r>
      <w:r>
        <w:rPr>
          <w:rFonts w:ascii="Times New Roman" w:cs="Times New Roman" w:eastAsia="Times New Roman" w:hAnsi="Times New Roman"/>
          <w:sz w:val="17"/>
          <w:szCs w:val="17"/>
          <w:color w:val="252525"/>
        </w:rPr>
        <w:t xml:space="preserve"> related to clinical and regulatory activities related to the further advancement of retifanlimab. </w:t>
      </w:r>
      <w:r>
        <w:rPr>
          <w:rFonts w:ascii="Times New Roman" w:cs="Times New Roman" w:eastAsia="Times New Roman" w:hAnsi="Times New Roman"/>
          <w:sz w:val="17"/>
          <w:szCs w:val="17"/>
          <w:color w:val="000000"/>
        </w:rPr>
        <w:t>Therefore</w:t>
      </w:r>
      <w:r>
        <w:rPr>
          <w:rFonts w:ascii="Times New Roman" w:cs="Times New Roman" w:eastAsia="Times New Roman" w:hAnsi="Times New Roman"/>
          <w:sz w:val="17"/>
          <w:szCs w:val="17"/>
          <w:color w:val="252525"/>
        </w:rPr>
        <w:t xml:space="preserve"> the associated consideration was added to the estimated transaction price and was recognized as revenue.</w:t>
      </w:r>
    </w:p>
    <w:p>
      <w:pPr>
        <w:spacing w:after="0" w:line="135" w:lineRule="exact"/>
        <w:rPr>
          <w:sz w:val="20"/>
          <w:szCs w:val="20"/>
          <w:color w:val="auto"/>
        </w:rPr>
      </w:pPr>
    </w:p>
    <w:p>
      <w:pPr>
        <w:ind w:firstLine="729"/>
        <w:spacing w:after="0" w:line="268" w:lineRule="auto"/>
        <w:rPr>
          <w:sz w:val="20"/>
          <w:szCs w:val="20"/>
          <w:color w:val="auto"/>
        </w:rPr>
      </w:pPr>
      <w:r>
        <w:rPr>
          <w:rFonts w:ascii="Times New Roman" w:cs="Times New Roman" w:eastAsia="Times New Roman" w:hAnsi="Times New Roman"/>
          <w:sz w:val="17"/>
          <w:szCs w:val="17"/>
          <w:color w:val="252525"/>
        </w:rPr>
        <w:t xml:space="preserve">The Company recognized the </w:t>
      </w:r>
      <w:r>
        <w:rPr>
          <w:rFonts w:ascii="Times New Roman" w:cs="Times New Roman" w:eastAsia="Times New Roman" w:hAnsi="Times New Roman"/>
          <w:sz w:val="17"/>
          <w:szCs w:val="17"/>
          <w:color w:val="000000"/>
        </w:rPr>
        <w:t>$150.0 million</w:t>
      </w:r>
      <w:r>
        <w:rPr>
          <w:rFonts w:ascii="Times New Roman" w:cs="Times New Roman" w:eastAsia="Times New Roman" w:hAnsi="Times New Roman"/>
          <w:sz w:val="17"/>
          <w:szCs w:val="17"/>
          <w:color w:val="252525"/>
        </w:rPr>
        <w:t xml:space="preserve"> allocated to the </w:t>
      </w:r>
      <w:r>
        <w:rPr>
          <w:rFonts w:ascii="Times New Roman" w:cs="Times New Roman" w:eastAsia="Times New Roman" w:hAnsi="Times New Roman"/>
          <w:sz w:val="17"/>
          <w:szCs w:val="17"/>
          <w:color w:val="000000"/>
        </w:rPr>
        <w:t>license when it satisfied its performance obligation and transferred the license to Incyte in</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2017. The $4.0 million allocated to the clinical activities was recognized ratably as services were performed during 2017 and 2018. The Company recognized revenue of $9.7 million, $100.6 million and $15.0 million under the Incyte License Agreement during the years ended December 31, 2025, 2024 and 2023, respectively. The revenue is primarily related to development milestones and includes royalties on ZYNYZ sales beginning in late 2023.</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i w:val="1"/>
          <w:iCs w:val="1"/>
          <w:color w:val="auto"/>
        </w:rPr>
        <w:t>Incyte Commercial Supply Agreement</w:t>
      </w:r>
    </w:p>
    <w:p>
      <w:pPr>
        <w:spacing w:after="0" w:line="171" w:lineRule="exact"/>
        <w:rPr>
          <w:sz w:val="20"/>
          <w:szCs w:val="20"/>
          <w:color w:val="auto"/>
        </w:rPr>
      </w:pPr>
    </w:p>
    <w:p>
      <w:pPr>
        <w:ind w:firstLine="729"/>
        <w:spacing w:after="0" w:line="260" w:lineRule="auto"/>
        <w:rPr>
          <w:sz w:val="20"/>
          <w:szCs w:val="20"/>
          <w:color w:val="auto"/>
        </w:rPr>
      </w:pPr>
      <w:r>
        <w:rPr>
          <w:rFonts w:ascii="Times New Roman" w:cs="Times New Roman" w:eastAsia="Times New Roman" w:hAnsi="Times New Roman"/>
          <w:sz w:val="17"/>
          <w:szCs w:val="17"/>
          <w:color w:val="auto"/>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years ended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xml:space="preserve"> 2024, and 2023, the Company recognized revenue of $1.7 million, $1.8 million and $4.2 million, respectively, for services performed under the Incyte Commercial Supply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 Sciences, Inc.</w:t>
      </w:r>
    </w:p>
    <w:p>
      <w:pPr>
        <w:spacing w:after="0" w:line="173"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In 2022, the Company and Gilead entered into an exclusive option and collaboration agreement (Gilead Agreement) to develop and commercialize MGD024, an investigational, bispecific antibody that binds CD123 and CD3, and create bispecific cancer antibodies using the Company’s DART and TRIDENT platforms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extends the period for Gilead to select its second research target combination.</w:t>
      </w:r>
    </w:p>
    <w:p>
      <w:pPr>
        <w:spacing w:after="0" w:line="336"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a total of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21" w:lineRule="exact"/>
        <w:rPr>
          <w:sz w:val="20"/>
          <w:szCs w:val="20"/>
          <w:color w:val="auto"/>
        </w:rPr>
      </w:pPr>
    </w:p>
    <w:p>
      <w:pPr>
        <w:ind w:firstLine="625"/>
        <w:spacing w:after="0" w:line="267" w:lineRule="auto"/>
        <w:rPr>
          <w:sz w:val="20"/>
          <w:szCs w:val="20"/>
          <w:color w:val="auto"/>
        </w:rPr>
      </w:pPr>
      <w:r>
        <w:rPr>
          <w:rFonts w:ascii="Times New Roman" w:cs="Times New Roman" w:eastAsia="Times New Roman" w:hAnsi="Times New Roman"/>
          <w:sz w:val="17"/>
          <w:szCs w:val="17"/>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328" w:lineRule="exact"/>
        <w:rPr>
          <w:sz w:val="20"/>
          <w:szCs w:val="20"/>
          <w:color w:val="auto"/>
        </w:rPr>
      </w:pPr>
    </w:p>
    <w:p>
      <w:pPr>
        <w:ind w:right="340" w:firstLine="625"/>
        <w:spacing w:after="0" w:line="263" w:lineRule="auto"/>
        <w:rPr>
          <w:sz w:val="20"/>
          <w:szCs w:val="20"/>
          <w:color w:val="auto"/>
        </w:rPr>
      </w:pPr>
      <w:r>
        <w:rPr>
          <w:rFonts w:ascii="Times New Roman" w:cs="Times New Roman" w:eastAsia="Times New Roman" w:hAnsi="Times New Roman"/>
          <w:sz w:val="17"/>
          <w:szCs w:val="17"/>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21"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In accordance with ASC 606, the Company determined that the initial transaction price under the Gilead Agreement was $60.0 million, consisting of the upfront, non-refundable payment paid by Gilead. The CD123 Option and Research</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95" w:name="page96"/>
    <w:bookmarkEnd w:id="95"/>
    <w:p>
      <w:pPr>
        <w:ind w:right="140"/>
        <w:spacing w:after="0" w:line="287" w:lineRule="auto"/>
        <w:rPr>
          <w:sz w:val="20"/>
          <w:szCs w:val="20"/>
          <w:color w:val="auto"/>
        </w:rPr>
      </w:pPr>
      <w:r>
        <w:rPr>
          <w:rFonts w:ascii="Times New Roman" w:cs="Times New Roman" w:eastAsia="Times New Roman" w:hAnsi="Times New Roman"/>
          <w:sz w:val="17"/>
          <w:szCs w:val="17"/>
          <w:color w:val="auto"/>
        </w:rPr>
        <w:t>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w:t>
      </w:r>
    </w:p>
    <w:p>
      <w:pPr>
        <w:spacing w:after="0" w:line="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color w:val="auto"/>
        </w:rPr>
        <w:t>consideration included in the transaction price 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w:t>
      </w:r>
    </w:p>
    <w:p>
      <w:pPr>
        <w:spacing w:after="0" w:line="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CD123 Option, the Company utilized an income-based approach which included the following key assumptions: post-option development timeline and costs, forecasted revenues, discount rates and probabilities of technical and regulatory success.</w:t>
      </w:r>
    </w:p>
    <w:p>
      <w:pPr>
        <w:spacing w:after="0" w:line="94" w:lineRule="exact"/>
        <w:rPr>
          <w:sz w:val="20"/>
          <w:szCs w:val="20"/>
          <w:color w:val="auto"/>
        </w:rPr>
      </w:pPr>
    </w:p>
    <w:p>
      <w:pPr>
        <w:ind w:right="380" w:firstLine="625"/>
        <w:spacing w:after="0" w:line="265" w:lineRule="auto"/>
        <w:rPr>
          <w:sz w:val="20"/>
          <w:szCs w:val="20"/>
          <w:color w:val="auto"/>
        </w:rPr>
      </w:pPr>
      <w:r>
        <w:rPr>
          <w:rFonts w:ascii="Times New Roman" w:cs="Times New Roman" w:eastAsia="Times New Roman" w:hAnsi="Times New Roman"/>
          <w:sz w:val="17"/>
          <w:szCs w:val="17"/>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has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19" w:lineRule="exact"/>
        <w:rPr>
          <w:sz w:val="20"/>
          <w:szCs w:val="20"/>
          <w:color w:val="auto"/>
        </w:rPr>
      </w:pPr>
    </w:p>
    <w:p>
      <w:pPr>
        <w:jc w:val="both"/>
        <w:ind w:right="300" w:firstLine="625"/>
        <w:spacing w:after="0" w:line="274" w:lineRule="auto"/>
        <w:rPr>
          <w:sz w:val="20"/>
          <w:szCs w:val="20"/>
          <w:color w:val="auto"/>
        </w:rPr>
      </w:pPr>
      <w:r>
        <w:rPr>
          <w:rFonts w:ascii="Times New Roman" w:cs="Times New Roman" w:eastAsia="Times New Roman" w:hAnsi="Times New Roman"/>
          <w:sz w:val="17"/>
          <w:szCs w:val="17"/>
          <w:color w:val="auto"/>
        </w:rPr>
        <w:t xml:space="preserve">During the year ended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xml:space="preserve">, the Company recorded de minimis revenue under the Gilead Agreement. During each of the years ended December 31, 2024 and 2023, the Company recorded revenue of $1.5 million related to the Gilead Agreement. As of </w:t>
      </w:r>
      <w:r>
        <w:rPr>
          <w:rFonts w:ascii="Times New Roman" w:cs="Times New Roman" w:eastAsia="Times New Roman" w:hAnsi="Times New Roman"/>
          <w:sz w:val="17"/>
          <w:szCs w:val="17"/>
          <w:color w:val="252525"/>
        </w:rPr>
        <w:t>December 31, 2025 and</w:t>
      </w:r>
      <w:r>
        <w:rPr>
          <w:rFonts w:ascii="Times New Roman" w:cs="Times New Roman" w:eastAsia="Times New Roman" w:hAnsi="Times New Roman"/>
          <w:sz w:val="17"/>
          <w:szCs w:val="17"/>
          <w:color w:val="auto"/>
        </w:rPr>
        <w:t xml:space="preserve"> December 31, 2024, $56.8 million in revenue was deferred under this agreement, $1.3 million of which was current and $55.5 million of which was non-current.</w:t>
      </w:r>
    </w:p>
    <w:p>
      <w:pPr>
        <w:spacing w:after="0" w:line="11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 September 2023, the Company and Gilead executed a Letter Agreement (First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26"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21"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 xml:space="preserve">As of December 31, 2025, the Company has completed performing the services related to the First Research Program and therefore all of the related revenue has been recognized. During the years ended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xml:space="preserve"> 2024 and 2023 the Company recorded revenue of $11.0 million, $7.8 million and $0.8 million, respectively, related to the First Research Program. As of December 31, 2025, no </w:t>
      </w:r>
      <w:r>
        <w:rPr>
          <w:rFonts w:ascii="Times New Roman" w:cs="Times New Roman" w:eastAsia="Times New Roman" w:hAnsi="Times New Roman"/>
          <w:sz w:val="17"/>
          <w:szCs w:val="17"/>
          <w:color w:val="252525"/>
        </w:rPr>
        <w:t>revenue was deferred under this agreement.</w:t>
      </w:r>
      <w:r>
        <w:rPr>
          <w:rFonts w:ascii="Times New Roman" w:cs="Times New Roman" w:eastAsia="Times New Roman" w:hAnsi="Times New Roman"/>
          <w:sz w:val="17"/>
          <w:szCs w:val="17"/>
          <w:color w:val="auto"/>
        </w:rPr>
        <w:t xml:space="preserve"> As of December 31, 2024, $11.0 million in revenue was deferred under this agreement, all of which was current.</w:t>
      </w:r>
    </w:p>
    <w:p>
      <w:pPr>
        <w:spacing w:after="0" w:line="117"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In November 2025,the parties amended the Gilead Agreement by entering into a third letter agreement (Third Letter Agreement) under which Gilead nominated the second of the two research programs contemplated in the Gilead Agreement (Second Research Program) and the Company granted Gilead a research license. Gilead also exercised their exclusive option to obtain a license to exploit the research molecule and research product with respect to the Second Research Program. Gilead paid the Company a total of $25.0 million related to the nomination and option exercise. The Company evaluated the Third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there is one performance obligation under the Third Letter Agreement; to grant the research term license and exploitation license. In accordance with ASC 606, the Company determined that the initial transaction price for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96" w:name="page97"/>
    <w:bookmarkEnd w:id="96"/>
    <w:p>
      <w:pPr>
        <w:ind w:right="60"/>
        <w:spacing w:after="0" w:line="262" w:lineRule="auto"/>
        <w:rPr>
          <w:sz w:val="20"/>
          <w:szCs w:val="20"/>
          <w:color w:val="auto"/>
        </w:rPr>
      </w:pPr>
      <w:r>
        <w:rPr>
          <w:rFonts w:ascii="Times New Roman" w:cs="Times New Roman" w:eastAsia="Times New Roman" w:hAnsi="Times New Roman"/>
          <w:sz w:val="17"/>
          <w:szCs w:val="17"/>
          <w:color w:val="auto"/>
        </w:rPr>
        <w:t xml:space="preserve">Second Research Program was $25.0 million, consisting of the non-refundable payment made by Gilead. The Company recognized this amount when it satisfied its performance obligation and transferred the license to Gilead during the year ended </w:t>
      </w:r>
      <w:r>
        <w:rPr>
          <w:rFonts w:ascii="Times New Roman" w:cs="Times New Roman" w:eastAsia="Times New Roman" w:hAnsi="Times New Roman"/>
          <w:sz w:val="17"/>
          <w:szCs w:val="17"/>
          <w:color w:val="252525"/>
        </w:rPr>
        <w:t>December 31, 2025. The Company is entitled to future development,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regulatory and commercial milestones related to the Second Research Program should Gilead successfully develop and commercialize the molecule. </w:t>
      </w:r>
      <w:r>
        <w:rPr>
          <w:rFonts w:ascii="Times New Roman" w:cs="Times New Roman" w:eastAsia="Times New Roman" w:hAnsi="Times New Roman"/>
          <w:sz w:val="17"/>
          <w:szCs w:val="17"/>
          <w:color w:val="000000"/>
        </w:rPr>
        <w:t>These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potential development and regulatory milestone payments are </w:t>
      </w:r>
      <w:r>
        <w:rPr>
          <w:rFonts w:ascii="Times New Roman" w:cs="Times New Roman" w:eastAsia="Times New Roman" w:hAnsi="Times New Roman"/>
          <w:sz w:val="17"/>
          <w:szCs w:val="17"/>
          <w:color w:val="252525"/>
        </w:rPr>
        <w:t>fully constrained until the Company concludes that achievement of the milestone is probable 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 xml:space="preserve">that recognition of revenue related to the milestone will not result in a significant reversal in amounts recognized in future periods, </w:t>
      </w:r>
      <w:r>
        <w:rPr>
          <w:rFonts w:ascii="Times New Roman" w:cs="Times New Roman" w:eastAsia="Times New Roman" w:hAnsi="Times New Roman"/>
          <w:sz w:val="17"/>
          <w:szCs w:val="17"/>
          <w:color w:val="000000"/>
        </w:rPr>
        <w:t>and as such have been</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excluded from the transaction price. Any consideration related to sales-based milestones and royalties will be recognized when the related sales occur, as they were determined to relate predominantly to the license granted to Gilead and, therefore, have also been excluded from the transaction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 S.A.</w:t>
      </w:r>
    </w:p>
    <w:p>
      <w:pPr>
        <w:spacing w:after="0" w:line="173"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In 2018, the Company entered into an asset purchase agreement with Provention Bio, Inc. (Provention) pursuant to which Provention acquired the Company’s interest in teplizumab, a monoclonal antibody being developed for the treatment of type 1 diabetes (Provention APA). The FDA approved the BLA for TZIELD (teplizumab-mzwv) in November 2022. In March 2023, the Company sold its single-digit royalty interest in TZIELD to a wholly-owned subsidiary of DRI Healthcare Trust (DRI) and received a $100.0 million payment from DRI under a Royalty Purchase Agreement. The Company retained its other economic interests related to TZIELD, including future potential regulatory and commercial milestones, as well as the right to receive a 50% share of the royalty on global net sales above a certain annual threshold. In addition, the Company remains eligible to receive an additional $50.0 million if TZIELD achieves a certain level of net sales.</w:t>
      </w:r>
    </w:p>
    <w:p>
      <w:pPr>
        <w:spacing w:after="0" w:line="121"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In April 2023, Sanofi S.A. completed its acquisition of Provention and the Company entered into a tripartite agreement with DRI and Sanofi under which it was released of any obligations under the Royalty Purchase Agreement. In September 2023, the Company and Sanofi executed Amendment No. 2 to the Provention APA and terminated the Royalty Purchase Agreement with DRI. As a result, the remaining $50.0 million sales milestone under the Royalty Purchase Agreement was incorporated into the Provention APA.</w:t>
      </w:r>
    </w:p>
    <w:p>
      <w:pPr>
        <w:spacing w:after="0" w:line="195"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The Company evaluated the Provention APA under the provisions of ASC 606, and determined that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Any consideration related to sales-based milestones will be recognized when the related sales occur. The Company re-assesses the transaction price in each reporting period and when events whose outcomes are resolved or other changes in circumstances occur.</w:t>
      </w:r>
    </w:p>
    <w:p>
      <w:pPr>
        <w:spacing w:after="0" w:line="197"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two regulatory milestones were achieved and the Company recognized $50.0 million in revenue. During the year ended December 31, 2024, no revenue was recognized under these agreements. During the year ended December 31, 2023, the Company recognized revenue of $5.6 million under these agreements.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Services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w:t>
      </w:r>
    </w:p>
    <w:p>
      <w:pPr>
        <w:spacing w:after="0" w:line="173"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In January 2022, the Company entered into a Manufacturing and Clinical Supply Agreement with Incyte (2022 Incyte Manufacturing and Clinical Supply Agreement) to provide manufacturing services to produce certain Incyte bulk drug substance over a three-year period. Under the terms of the 2022 Incyte Manufacturing and Clinical Supply Agreement, the Company received an upfront payment of $10.0 million and was eligible to receive annual fixed payments paid quarterly over the term of the contract totaling $14.4 million. The Company was also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during 2025 with a total fixed cost of $13.5 million (Incyte Letter Agreements).</w:t>
      </w:r>
    </w:p>
    <w:p>
      <w:pPr>
        <w:spacing w:after="0" w:line="71" w:lineRule="exact"/>
        <w:rPr>
          <w:sz w:val="20"/>
          <w:szCs w:val="20"/>
          <w:color w:val="auto"/>
        </w:rPr>
      </w:pPr>
    </w:p>
    <w:p>
      <w:pPr>
        <w:jc w:val="both"/>
        <w:ind w:right="80" w:firstLine="625"/>
        <w:spacing w:after="0" w:line="263" w:lineRule="auto"/>
        <w:rPr>
          <w:sz w:val="20"/>
          <w:szCs w:val="20"/>
          <w:color w:val="auto"/>
        </w:rPr>
      </w:pPr>
      <w:r>
        <w:rPr>
          <w:rFonts w:ascii="Times New Roman" w:cs="Times New Roman" w:eastAsia="Times New Roman" w:hAnsi="Times New Roman"/>
          <w:sz w:val="17"/>
          <w:szCs w:val="17"/>
          <w:color w:val="auto"/>
        </w:rPr>
        <w:t>The Company evaluated the Incyte Manufacturing and Clinical Supply Agreement, the July 2022 Incyte Amendment and the Incyte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$10.0 million, the annual fixed payments and the payments per batch under the Incyte Letter Agreements totaling $41.7 million. The Company is recognizing revenue over time on a straight-line basis as the manufacturing services are provided to Incyte, as the Company determined that its efforts in providing the manufacturing services are incurred evenly throughout the performance period and therefore straight-line revenue recognition closely approximates the level of effort for the manufacturing services. Variable consideration relating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97" w:name="page98"/>
    <w:bookmarkEnd w:id="97"/>
    <w:p>
      <w:pPr>
        <w:ind w:right="100"/>
        <w:spacing w:after="0" w:line="274" w:lineRule="auto"/>
        <w:rPr>
          <w:sz w:val="20"/>
          <w:szCs w:val="20"/>
          <w:color w:val="auto"/>
        </w:rPr>
      </w:pPr>
      <w:r>
        <w:rPr>
          <w:rFonts w:ascii="Times New Roman" w:cs="Times New Roman" w:eastAsia="Times New Roman" w:hAnsi="Times New Roman"/>
          <w:sz w:val="17"/>
          <w:szCs w:val="17"/>
          <w:color w:val="auto"/>
        </w:rPr>
        <w:t>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inventory and are capitalized and expensed as the materials are used to provide the manufacturing services.</w:t>
      </w:r>
    </w:p>
    <w:p>
      <w:pPr>
        <w:spacing w:after="0" w:line="60"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During the years ended December 31, 2025, 2024, and 2023, the Company recognized revenue of $36.8 million, $11.0 million and $9.7 million, respectively, under the 2022 Incyte Manufacturing and Clinical Supply Agreement. As of </w:t>
      </w:r>
      <w:r>
        <w:rPr>
          <w:rFonts w:ascii="Times New Roman" w:cs="Times New Roman" w:eastAsia="Times New Roman" w:hAnsi="Times New Roman"/>
          <w:sz w:val="17"/>
          <w:szCs w:val="17"/>
          <w:color w:val="252525"/>
        </w:rPr>
        <w:t>December 31, 2025,</w:t>
      </w:r>
      <w:r>
        <w:rPr>
          <w:rFonts w:ascii="Times New Roman" w:cs="Times New Roman" w:eastAsia="Times New Roman" w:hAnsi="Times New Roman"/>
          <w:sz w:val="17"/>
          <w:szCs w:val="17"/>
          <w:color w:val="auto"/>
        </w:rPr>
        <w:t xml:space="preserve"> $1.5 million </w:t>
      </w:r>
      <w:r>
        <w:rPr>
          <w:rFonts w:ascii="Times New Roman" w:cs="Times New Roman" w:eastAsia="Times New Roman" w:hAnsi="Times New Roman"/>
          <w:sz w:val="17"/>
          <w:szCs w:val="17"/>
          <w:color w:val="252525"/>
        </w:rPr>
        <w:t>in revenue was deferred under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agreement, all of which was current. </w:t>
      </w:r>
      <w:r>
        <w:rPr>
          <w:rFonts w:ascii="Times New Roman" w:cs="Times New Roman" w:eastAsia="Times New Roman" w:hAnsi="Times New Roman"/>
          <w:sz w:val="17"/>
          <w:szCs w:val="17"/>
          <w:color w:val="000000"/>
        </w:rPr>
        <w:t>As of December 31, 2024</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$3.4 million</w:t>
      </w:r>
      <w:r>
        <w:rPr>
          <w:rFonts w:ascii="Times New Roman" w:cs="Times New Roman" w:eastAsia="Times New Roman" w:hAnsi="Times New Roman"/>
          <w:sz w:val="17"/>
          <w:szCs w:val="17"/>
          <w:color w:val="252525"/>
        </w:rPr>
        <w:t xml:space="preserve"> in revenue was deferred under this agreement, all of which was current.</w:t>
      </w:r>
    </w:p>
    <w:p>
      <w:pPr>
        <w:spacing w:after="0" w:line="11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252525"/>
        </w:rPr>
        <w:t xml:space="preserve">In September 2025, the Company entered into a new Manufacturing and Clinical Supply Agreement with Incyte (2025 Incyte Manufacturing and Clinical Supply Agreement) to provide manufacturing services to produce certain Incyte bulk drug substance over a three-year period beginning in January 2026. Based on the current manufacturing schedule contemplated in the 2025 Incyte Manufacturing and Clinical Supply Agreement, Incyte will pay a total fixed cost of </w:t>
      </w:r>
      <w:r>
        <w:rPr>
          <w:rFonts w:ascii="Times New Roman" w:cs="Times New Roman" w:eastAsia="Times New Roman" w:hAnsi="Times New Roman"/>
          <w:sz w:val="17"/>
          <w:szCs w:val="17"/>
          <w:color w:val="000000"/>
        </w:rPr>
        <w:t>$16.8 million</w:t>
      </w:r>
      <w:r>
        <w:rPr>
          <w:rFonts w:ascii="Times New Roman" w:cs="Times New Roman" w:eastAsia="Times New Roman" w:hAnsi="Times New Roman"/>
          <w:sz w:val="17"/>
          <w:szCs w:val="17"/>
          <w:color w:val="252525"/>
        </w:rPr>
        <w:t xml:space="preserve"> over the term of the agreement. The Company will also be reimbursed for materials used to manufacture product as well as other costs incurred to provide manufacturing services.</w:t>
      </w:r>
    </w:p>
    <w:p>
      <w:pPr>
        <w:spacing w:after="0" w:line="119"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The Company evaluated the 2025 Incyte Manufacturing and Clinical Supply Agreement under the provisions of ASC 606 and identified one performance obligation to provide manufacturing runs to Incyte, as and when requested by Incyte, over the term of the contract that is part of a series of goods and services.</w:t>
      </w:r>
    </w:p>
    <w:p>
      <w:pPr>
        <w:spacing w:after="0" w:line="60" w:lineRule="exact"/>
        <w:rPr>
          <w:sz w:val="20"/>
          <w:szCs w:val="20"/>
          <w:color w:val="auto"/>
        </w:rPr>
      </w:pPr>
    </w:p>
    <w:p>
      <w:pPr>
        <w:ind w:right="180" w:firstLine="625"/>
        <w:spacing w:after="0" w:line="263" w:lineRule="auto"/>
        <w:rPr>
          <w:sz w:val="20"/>
          <w:szCs w:val="20"/>
          <w:color w:val="auto"/>
        </w:rPr>
      </w:pPr>
      <w:r>
        <w:rPr>
          <w:rFonts w:ascii="Times New Roman" w:cs="Times New Roman" w:eastAsia="Times New Roman" w:hAnsi="Times New Roman"/>
          <w:sz w:val="17"/>
          <w:szCs w:val="17"/>
          <w:color w:val="auto"/>
        </w:rPr>
        <w:t xml:space="preserve">The Company will recognize revenue over time on a straight-line basis as the manufacturing services are provided to Incyte, as the Company determined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inventory and are capitalized and expensed as the materials are used to provide the manufacturing services. </w:t>
      </w:r>
      <w:r>
        <w:rPr>
          <w:rFonts w:ascii="Times New Roman" w:cs="Times New Roman" w:eastAsia="Times New Roman" w:hAnsi="Times New Roman"/>
          <w:sz w:val="17"/>
          <w:szCs w:val="17"/>
          <w:color w:val="252525"/>
        </w:rPr>
        <w:t>As of December 31, 2025, no revenue was recorded under this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52525"/>
        </w:rPr>
        <w:t>Emergent Biosolutions</w:t>
      </w:r>
    </w:p>
    <w:p>
      <w:pPr>
        <w:spacing w:after="0" w:line="173"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 xml:space="preserve">In 2024 and 2025, the Company entered into agreements with Emergent BioSolutions (Emergent) to provide manufacturing services to produce certain Emergent bulk drug substance (Emergent Agreement). Under the terms of the agreement, the Company receives payments in accordance with the manufacturing schedule and are reimbursed for materials used to manufacture product, as well as other costs incurred to provide development and manufacturing services. The Company evaluated the Emergent Agreement under the provisions of ASC 606 and identified one performance obligation to manufacture bulk drug substances over the term of the contract that is part of a series of goods and services. The Company determined that the transaction price consisted of $13.5 million of fixed consideration. The Company is recognizing revenue over time on a straight-line basis as the manufacturing is provided to Emergent,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Emergent will be allocated to the related manufacturing activities and will be recognized as revenue as those activities occur. During the years ended December 31, 2025 and 2024, the Company recognized revenue of $10.7 million and $2.0 million, respectively, under the Emergent Agreement. During the year ended December 31, 2023, de minimis revenue was recognized under the agreement. As of </w:t>
      </w:r>
      <w:r>
        <w:rPr>
          <w:rFonts w:ascii="Times New Roman" w:cs="Times New Roman" w:eastAsia="Times New Roman" w:hAnsi="Times New Roman"/>
          <w:sz w:val="17"/>
          <w:szCs w:val="17"/>
          <w:color w:val="252525"/>
        </w:rPr>
        <w:t>December 31, 2025, $5.6 million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revenue was deferred under this agreement, all of which was current. </w:t>
      </w:r>
      <w:r>
        <w:rPr>
          <w:rFonts w:ascii="Times New Roman" w:cs="Times New Roman" w:eastAsia="Times New Roman" w:hAnsi="Times New Roman"/>
          <w:sz w:val="17"/>
          <w:szCs w:val="17"/>
          <w:color w:val="000000"/>
        </w:rPr>
        <w:t>As of December 31, 2024</w:t>
      </w:r>
      <w:r>
        <w:rPr>
          <w:rFonts w:ascii="Times New Roman" w:cs="Times New Roman" w:eastAsia="Times New Roman" w:hAnsi="Times New Roman"/>
          <w:sz w:val="17"/>
          <w:szCs w:val="17"/>
          <w:color w:val="252525"/>
        </w:rPr>
        <w:t>, $0.3 million in revenue was deferred under this agreement, all of which was current.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73"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98" w:name="page99"/>
    <w:bookmarkEnd w:id="98"/>
    <w:p>
      <w:pPr>
        <w:ind w:right="1400"/>
        <w:spacing w:after="0" w:line="447" w:lineRule="auto"/>
        <w:rPr>
          <w:sz w:val="20"/>
          <w:szCs w:val="20"/>
          <w:color w:val="auto"/>
        </w:rPr>
      </w:pPr>
      <w:r>
        <w:rPr>
          <w:rFonts w:ascii="Times New Roman" w:cs="Times New Roman" w:eastAsia="Times New Roman" w:hAnsi="Times New Roman"/>
          <w:sz w:val="17"/>
          <w:szCs w:val="17"/>
          <w:color w:val="auto"/>
        </w:rPr>
        <w:t xml:space="preserve">employees purchased 105,652 shares of common stock under the 2016 ESPP for net proceeds to the Company of approximately $0.1 million. </w:t>
      </w:r>
      <w:r>
        <w:rPr>
          <w:rFonts w:ascii="Times New Roman" w:cs="Times New Roman" w:eastAsia="Times New Roman" w:hAnsi="Times New Roman"/>
          <w:sz w:val="17"/>
          <w:szCs w:val="17"/>
          <w:b w:val="1"/>
          <w:bCs w:val="1"/>
          <w:i w:val="1"/>
          <w:iCs w:val="1"/>
          <w:color w:val="auto"/>
        </w:rPr>
        <w:t>Employee Stock Incentive Plans</w:t>
      </w:r>
    </w:p>
    <w:p>
      <w:pPr>
        <w:spacing w:after="0" w:line="1" w:lineRule="exact"/>
        <w:rPr>
          <w:sz w:val="20"/>
          <w:szCs w:val="20"/>
          <w:color w:val="auto"/>
        </w:rPr>
      </w:pPr>
    </w:p>
    <w:p>
      <w:pPr>
        <w:ind w:right="240" w:firstLine="625"/>
        <w:spacing w:after="0" w:line="268" w:lineRule="auto"/>
        <w:rPr>
          <w:sz w:val="20"/>
          <w:szCs w:val="20"/>
          <w:color w:val="auto"/>
        </w:rPr>
      </w:pPr>
      <w:r>
        <w:rPr>
          <w:rFonts w:ascii="Times New Roman" w:cs="Times New Roman" w:eastAsia="Times New Roman" w:hAnsi="Times New Roman"/>
          <w:sz w:val="17"/>
          <w:szCs w:val="17"/>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spacing w:after="0" w:line="117" w:lineRule="exact"/>
        <w:rPr>
          <w:sz w:val="20"/>
          <w:szCs w:val="20"/>
          <w:color w:val="auto"/>
        </w:rPr>
      </w:pPr>
    </w:p>
    <w:p>
      <w:pPr>
        <w:ind w:right="420" w:firstLine="625"/>
        <w:spacing w:after="0" w:line="294" w:lineRule="auto"/>
        <w:rPr>
          <w:sz w:val="20"/>
          <w:szCs w:val="20"/>
          <w:color w:val="auto"/>
        </w:rPr>
      </w:pPr>
      <w:r>
        <w:rPr>
          <w:rFonts w:ascii="Times New Roman" w:cs="Times New Roman" w:eastAsia="Times New Roman" w:hAnsi="Times New Roman"/>
          <w:sz w:val="17"/>
          <w:szCs w:val="17"/>
          <w:color w:val="auto"/>
        </w:rPr>
        <w:t>As of December 31, 2025, under the 2013 Plan, there were options to purchase an aggregate of 9,202,161 shares of common stock outstanding at a weighted average exercise price of $14.27 per share. As of December 31, 2025, there were 144,263 unvested RSUs outstanding under the 2013 Plan.</w:t>
      </w:r>
    </w:p>
    <w:p>
      <w:pPr>
        <w:spacing w:after="0" w:line="94" w:lineRule="exact"/>
        <w:rPr>
          <w:sz w:val="20"/>
          <w:szCs w:val="20"/>
          <w:color w:val="auto"/>
        </w:rPr>
      </w:pPr>
    </w:p>
    <w:p>
      <w:pPr>
        <w:ind w:right="120" w:firstLine="625"/>
        <w:spacing w:after="0" w:line="261" w:lineRule="auto"/>
        <w:rPr>
          <w:sz w:val="20"/>
          <w:szCs w:val="20"/>
          <w:color w:val="auto"/>
        </w:rPr>
      </w:pPr>
      <w:r>
        <w:rPr>
          <w:rFonts w:ascii="Times New Roman" w:cs="Times New Roman" w:eastAsia="Times New Roman" w:hAnsi="Times New Roman"/>
          <w:sz w:val="17"/>
          <w:szCs w:val="17"/>
          <w:color w:val="auto"/>
        </w:rPr>
        <w:t>The 2023 Plan was effective as of stockholder approval in May 2023 and provides for grants of stock options and other stock-based awards, as well as cash-based performance awards. The 2023 Plan has been amended pursuant to stockholder approval to increase the number of authorized shares of common stock, and as of December 31, 2025, there are 8,100,000 shares of common stock authorized for issuance under the 2023 Plan.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2025, under the 2023 Plan, there were options to purchase an aggregate of 4,897,067 shares of common stock outstanding at a weighted average exercise price of $6.94 per share. As of December 31, 2025, there were 601,328 unvested RSUs outstanding under the 2023 Plan.</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stock-based compensation amounts were recognized for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w:t>
            </w:r>
          </w:p>
        </w:tc>
      </w:tr>
      <w:tr>
        <w:trPr>
          <w:trHeight w:val="23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firstLine="625"/>
        <w:spacing w:after="0" w:line="279" w:lineRule="auto"/>
        <w:rPr>
          <w:sz w:val="20"/>
          <w:szCs w:val="20"/>
          <w:color w:val="auto"/>
        </w:rPr>
      </w:pPr>
      <w:r>
        <w:rPr>
          <w:rFonts w:ascii="Times New Roman" w:cs="Times New Roman" w:eastAsia="Times New Roman" w:hAnsi="Times New Roman"/>
          <w:sz w:val="17"/>
          <w:szCs w:val="17"/>
          <w:color w:val="auto"/>
        </w:rPr>
        <w:t>On October 25, 2024, Dr. Scott Koenig, the former President and Chief Executive Officer of the Company and the Company entered into a separation and consulting agreement (the Separation Agreement), which provided for the terms of Dr. Koenig’s separation from employment. The Company evaluated the</w:t>
      </w:r>
    </w:p>
    <w:p>
      <w:pPr>
        <w:spacing w:after="0" w:line="1"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7"/>
          <w:szCs w:val="17"/>
          <w:color w:val="auto"/>
        </w:rPr>
        <w:t xml:space="preserve">impacts of the Separation Agreement and the related modifications to Dr. Koenig’s option awards and RSU awards. As a result, the Company recognized all additional stock-based compensation expense in 2024 in accordance with ASC Topic 718, </w:t>
      </w:r>
      <w:r>
        <w:rPr>
          <w:rFonts w:ascii="Times New Roman" w:cs="Times New Roman" w:eastAsia="Times New Roman" w:hAnsi="Times New Roman"/>
          <w:sz w:val="17"/>
          <w:szCs w:val="17"/>
          <w:i w:val="1"/>
          <w:iCs w:val="1"/>
          <w:color w:val="252525"/>
        </w:rPr>
        <w:t>Compensation – Stock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w:t>
      </w:r>
      <w:r>
        <w:rPr>
          <w:rFonts w:ascii="Times New Roman" w:cs="Times New Roman" w:eastAsia="Times New Roman" w:hAnsi="Times New Roman"/>
          <w:sz w:val="17"/>
          <w:szCs w:val="17"/>
          <w:color w:val="auto"/>
        </w:rPr>
        <w:t>ASC 718) in the amount of $6.1 million.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assumptions used to estimate the fair value of Dr. Koenig’s modified awards in 2024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6360" w:type="dxa"/>
            <w:vAlign w:val="bottom"/>
            <w:shd w:val="clear" w:color="auto" w:fill="CCEEFF"/>
          </w:tcPr>
          <w:p>
            <w:pPr>
              <w:jc w:val="center"/>
              <w:ind w:left="1433"/>
              <w:spacing w:after="0"/>
              <w:rPr>
                <w:sz w:val="20"/>
                <w:szCs w:val="20"/>
                <w:color w:val="auto"/>
              </w:rPr>
            </w:pPr>
            <w:r>
              <w:rPr>
                <w:rFonts w:ascii="Times New Roman" w:cs="Times New Roman" w:eastAsia="Times New Roman" w:hAnsi="Times New Roman"/>
                <w:sz w:val="17"/>
                <w:szCs w:val="17"/>
                <w:color w:val="auto"/>
              </w:rPr>
              <w:t>0%</w:t>
            </w: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360" w:type="dxa"/>
            <w:vAlign w:val="bottom"/>
          </w:tcPr>
          <w:p>
            <w:pPr>
              <w:jc w:val="center"/>
              <w:ind w:left="1433"/>
              <w:spacing w:after="0"/>
              <w:rPr>
                <w:sz w:val="20"/>
                <w:szCs w:val="20"/>
                <w:color w:val="auto"/>
              </w:rPr>
            </w:pPr>
            <w:r>
              <w:rPr>
                <w:rFonts w:ascii="Times New Roman" w:cs="Times New Roman" w:eastAsia="Times New Roman" w:hAnsi="Times New Roman"/>
                <w:sz w:val="17"/>
                <w:szCs w:val="17"/>
                <w:color w:val="auto"/>
              </w:rPr>
              <w:t>108% -174%</w:t>
            </w: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360" w:type="dxa"/>
            <w:vAlign w:val="bottom"/>
            <w:shd w:val="clear" w:color="auto" w:fill="CCEEFF"/>
          </w:tcPr>
          <w:p>
            <w:pPr>
              <w:jc w:val="center"/>
              <w:ind w:left="1413"/>
              <w:spacing w:after="0"/>
              <w:rPr>
                <w:sz w:val="20"/>
                <w:szCs w:val="20"/>
                <w:color w:val="auto"/>
              </w:rPr>
            </w:pPr>
            <w:r>
              <w:rPr>
                <w:rFonts w:ascii="Times New Roman" w:cs="Times New Roman" w:eastAsia="Times New Roman" w:hAnsi="Times New Roman"/>
                <w:sz w:val="17"/>
                <w:szCs w:val="17"/>
                <w:color w:val="auto"/>
              </w:rPr>
              <w:t>4.2% - 4.3%</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6360" w:type="dxa"/>
            <w:vAlign w:val="bottom"/>
          </w:tcPr>
          <w:p>
            <w:pPr>
              <w:ind w:left="3180"/>
              <w:spacing w:after="0"/>
              <w:rPr>
                <w:sz w:val="20"/>
                <w:szCs w:val="20"/>
                <w:color w:val="auto"/>
              </w:rPr>
            </w:pPr>
            <w:r>
              <w:rPr>
                <w:rFonts w:ascii="Times New Roman" w:cs="Times New Roman" w:eastAsia="Times New Roman" w:hAnsi="Times New Roman"/>
                <w:sz w:val="17"/>
                <w:szCs w:val="17"/>
                <w:color w:val="auto"/>
              </w:rPr>
              <w:t>1.00 year - 5.50 years</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Options</w:t>
      </w:r>
    </w:p>
    <w:p>
      <w:pPr>
        <w:spacing w:after="0" w:line="251"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252525"/>
        </w:rPr>
        <w:t>The Company accounts for stock-based compensation to employees and non-employee directors in accordance with ASC 718. The Company estimates the fair value of stock option awards using the Black-Scholes option pricing model on the date of grant using the assumptions in the table below. Stock options granted to employees generally vest over four years and have a term of ten years. Stock-based compensation expense for stock options is recognized as expense over the requisite service period, which is the vesting period. As the Company has not paid dividends since inception, nor does it expect to pay any dividends for the foreseeable future, the expected dividend yield assumption is zero. The expected volatility is based on the historical stock volatility of the Company’s own common stock over a period equal to the expected term of the options. The risk-free rate of the stock options is based on the U.S. Treasury rate in effect at the time of grant for the expected term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9" w:name="page100"/>
    <w:bookmarkEnd w:id="99"/>
    <w:p>
      <w:pPr>
        <w:ind w:right="160"/>
        <w:spacing w:after="0" w:line="264" w:lineRule="auto"/>
        <w:rPr>
          <w:sz w:val="20"/>
          <w:szCs w:val="20"/>
          <w:color w:val="auto"/>
        </w:rPr>
      </w:pPr>
      <w:r>
        <w:rPr>
          <w:rFonts w:ascii="Times New Roman" w:cs="Times New Roman" w:eastAsia="Times New Roman" w:hAnsi="Times New Roman"/>
          <w:sz w:val="17"/>
          <w:szCs w:val="17"/>
          <w:color w:val="252525"/>
        </w:rPr>
        <w:t>stock options. The Company calculates expected term based on the historical experience with similar awards, giving consideration to the contractual terms of the share-based awards, vesting schedules and expectations of future employee behavior. In addition, the Company estimates the expected forfeiture rate and only recognizes expense for those shares expected to vest. The Company estimates the forfeiture rate based on historical experience and its expectations regarding future pre-vesting termination behavior of employees. The Company reviews its estimate of the expected forfeiture rate annually, and stock-based compensation expense is adjusted accordingly.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11"/>
          </w:tcPr>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460" w:type="dxa"/>
            <w:vAlign w:val="bottom"/>
            <w:gridSpan w:val="5"/>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w w:val="96"/>
              </w:rPr>
              <w:t>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111% -116%</w:t>
            </w:r>
          </w:p>
        </w:tc>
        <w:tc>
          <w:tcPr>
            <w:tcW w:w="1460" w:type="dxa"/>
            <w:vAlign w:val="bottom"/>
            <w:gridSpan w:val="5"/>
          </w:tcPr>
          <w:p>
            <w:pPr>
              <w:jc w:val="center"/>
              <w:ind w:left="473"/>
              <w:spacing w:after="0"/>
              <w:rPr>
                <w:sz w:val="20"/>
                <w:szCs w:val="20"/>
                <w:color w:val="auto"/>
              </w:rPr>
            </w:pPr>
            <w:r>
              <w:rPr>
                <w:rFonts w:ascii="Times New Roman" w:cs="Times New Roman" w:eastAsia="Times New Roman" w:hAnsi="Times New Roman"/>
                <w:sz w:val="17"/>
                <w:szCs w:val="17"/>
                <w:color w:val="auto"/>
              </w:rPr>
              <w:t>95% - 116%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76% - 96%</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3.7% - 4.5%</w:t>
            </w:r>
          </w:p>
        </w:tc>
        <w:tc>
          <w:tcPr>
            <w:tcW w:w="1460" w:type="dxa"/>
            <w:vAlign w:val="bottom"/>
            <w:gridSpan w:val="5"/>
            <w:shd w:val="clear" w:color="auto" w:fill="CCEEFF"/>
          </w:tcPr>
          <w:p>
            <w:pPr>
              <w:jc w:val="center"/>
              <w:ind w:left="453"/>
              <w:spacing w:after="0"/>
              <w:rPr>
                <w:sz w:val="20"/>
                <w:szCs w:val="20"/>
                <w:color w:val="auto"/>
              </w:rPr>
            </w:pPr>
            <w:r>
              <w:rPr>
                <w:rFonts w:ascii="Times New Roman" w:cs="Times New Roman" w:eastAsia="Times New Roman" w:hAnsi="Times New Roman"/>
                <w:sz w:val="17"/>
                <w:szCs w:val="17"/>
                <w:color w:val="auto"/>
              </w:rPr>
              <w:t>3.5% - 4.7%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 - 4.8</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6.11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left="113"/>
              <w:spacing w:after="0"/>
              <w:rPr>
                <w:sz w:val="20"/>
                <w:szCs w:val="20"/>
                <w:color w:val="auto"/>
              </w:rPr>
            </w:pPr>
            <w:r>
              <w:rPr>
                <w:rFonts w:ascii="Times New Roman" w:cs="Times New Roman" w:eastAsia="Times New Roman" w:hAnsi="Times New Roman"/>
                <w:sz w:val="17"/>
                <w:szCs w:val="17"/>
                <w:color w:val="auto"/>
              </w:rPr>
              <w:t>6.06 years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5.88 years</w:t>
            </w:r>
          </w:p>
        </w:tc>
        <w:tc>
          <w:tcPr>
            <w:tcW w:w="0" w:type="dxa"/>
            <w:vAlign w:val="bottom"/>
          </w:tcPr>
          <w:p>
            <w:pPr>
              <w:spacing w:after="0"/>
              <w:rPr>
                <w:sz w:val="1"/>
                <w:szCs w:val="1"/>
                <w:color w:val="auto"/>
              </w:rPr>
            </w:pPr>
          </w:p>
        </w:tc>
      </w:tr>
      <w:tr>
        <w:trPr>
          <w:trHeight w:val="529"/>
        </w:trPr>
        <w:tc>
          <w:tcPr>
            <w:tcW w:w="6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2025:</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7"/>
                <w:szCs w:val="17"/>
                <w:b w:val="1"/>
                <w:bCs w:val="1"/>
                <w:color w:val="auto"/>
                <w:w w:val="98"/>
              </w:rPr>
              <w:t>Term</w:t>
            </w:r>
          </w:p>
        </w:tc>
        <w:tc>
          <w:tcPr>
            <w:tcW w:w="120" w:type="dxa"/>
            <w:vAlign w:val="bottom"/>
          </w:tcPr>
          <w:p>
            <w:pPr>
              <w:spacing w:after="0"/>
              <w:rPr>
                <w:sz w:val="14"/>
                <w:szCs w:val="14"/>
                <w:color w:val="auto"/>
              </w:rPr>
            </w:pPr>
          </w:p>
        </w:tc>
        <w:tc>
          <w:tcPr>
            <w:tcW w:w="1300" w:type="dxa"/>
            <w:vAlign w:val="bottom"/>
            <w:gridSpan w:val="4"/>
          </w:tcPr>
          <w:p>
            <w:pPr>
              <w:jc w:val="center"/>
              <w:ind w:right="200"/>
              <w:spacing w:after="0" w:line="169" w:lineRule="exact"/>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0" w:type="dxa"/>
            <w:vAlign w:val="bottom"/>
          </w:tcPr>
          <w:p>
            <w:pPr>
              <w:spacing w:after="0"/>
              <w:rPr>
                <w:sz w:val="20"/>
                <w:szCs w:val="20"/>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12,939,517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3,074,544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(1,216,406)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December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14,106,148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As of December 31, 2025:</w:t>
            </w: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Exercisable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10,216,005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460" w:type="dxa"/>
            <w:vAlign w:val="bottom"/>
            <w:gridSpan w:val="5"/>
          </w:tcPr>
          <w:p>
            <w:pPr>
              <w:jc w:val="center"/>
              <w:ind w:left="73"/>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 and expected to vest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13,793,041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460" w:type="dxa"/>
            <w:vAlign w:val="bottom"/>
            <w:gridSpan w:val="5"/>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620" w:firstLine="625"/>
        <w:spacing w:after="0" w:line="274" w:lineRule="auto"/>
        <w:rPr>
          <w:sz w:val="20"/>
          <w:szCs w:val="20"/>
          <w:color w:val="auto"/>
        </w:rPr>
      </w:pPr>
      <w:r>
        <w:rPr>
          <w:rFonts w:ascii="Times New Roman" w:cs="Times New Roman" w:eastAsia="Times New Roman" w:hAnsi="Times New Roman"/>
          <w:sz w:val="17"/>
          <w:szCs w:val="17"/>
          <w:color w:val="auto"/>
        </w:rPr>
        <w:t>As of December 31, 2025, the total unrecognized compensation expense related to unvested stock options, net of related forfeiture estimates, was approximately $12.4 million, which the Company expects to recognize over a weighted-average period of approximately 1.2 years. The following table summarizes additional information on stock options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with stock options exercises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34,608</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fair value per share of stock options granted</w:t>
            </w:r>
          </w:p>
        </w:tc>
        <w:tc>
          <w:tcPr>
            <w:tcW w:w="112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5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37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stock options exercised</w:t>
            </w:r>
          </w:p>
        </w:tc>
        <w:tc>
          <w:tcPr>
            <w:tcW w:w="1120" w:type="dxa"/>
            <w:vAlign w:val="bottom"/>
            <w:vMerge w:val="restart"/>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received for stock options exercised</w:t>
            </w:r>
          </w:p>
        </w:tc>
        <w:tc>
          <w:tcPr>
            <w:tcW w:w="1120" w:type="dxa"/>
            <w:vAlign w:val="bottom"/>
            <w:vMerge w:val="restart"/>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100" w:type="dxa"/>
            <w:vAlign w:val="bottom"/>
          </w:tcPr>
          <w:p>
            <w:pPr>
              <w:spacing w:after="0"/>
              <w:rPr>
                <w:sz w:val="24"/>
                <w:szCs w:val="24"/>
                <w:color w:val="auto"/>
              </w:rPr>
            </w:pPr>
          </w:p>
        </w:tc>
        <w:tc>
          <w:tcPr>
            <w:tcW w:w="4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grant date fair value of stock options vested</w:t>
            </w:r>
          </w:p>
        </w:tc>
        <w:tc>
          <w:tcPr>
            <w:tcW w:w="1120" w:type="dxa"/>
            <w:vAlign w:val="bottom"/>
            <w:vMerge w:val="restart"/>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15,634</w:t>
            </w:r>
          </w:p>
        </w:tc>
        <w:tc>
          <w:tcPr>
            <w:tcW w:w="5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17,992</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1" w:lineRule="exact"/>
        <w:rPr>
          <w:sz w:val="20"/>
          <w:szCs w:val="20"/>
          <w:color w:val="auto"/>
        </w:rPr>
      </w:pPr>
    </w:p>
    <w:p>
      <w:pPr>
        <w:ind w:right="760" w:firstLine="625"/>
        <w:spacing w:after="0" w:line="297" w:lineRule="auto"/>
        <w:rPr>
          <w:sz w:val="20"/>
          <w:szCs w:val="20"/>
          <w:color w:val="auto"/>
        </w:rPr>
      </w:pPr>
      <w:r>
        <w:rPr>
          <w:rFonts w:ascii="Times New Roman" w:cs="Times New Roman" w:eastAsia="Times New Roman" w:hAnsi="Times New Roman"/>
          <w:sz w:val="17"/>
          <w:szCs w:val="17"/>
          <w:color w:val="auto"/>
        </w:rPr>
        <w:t>RSUs are valued based on the closing price of the Company’s common stock on the date of the grant. The fair value of RSUs is recognized and amortized on a straight-line basis over the requisite service period of the award</w:t>
      </w:r>
      <w:r>
        <w:rPr>
          <w:rFonts w:ascii="Arial" w:cs="Arial" w:eastAsia="Arial" w:hAnsi="Arial"/>
          <w:sz w:val="17"/>
          <w:szCs w:val="17"/>
          <w:color w:val="252525"/>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86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7"/>
        </w:trPr>
        <w:tc>
          <w:tcPr>
            <w:tcW w:w="78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RSU activity for 2025:</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6200" w:type="dxa"/>
            <w:vAlign w:val="bottom"/>
          </w:tcPr>
          <w:p>
            <w:pPr>
              <w:spacing w:after="0"/>
              <w:rPr>
                <w:sz w:val="24"/>
                <w:szCs w:val="24"/>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1,068,994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221"/>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21"/>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(506,646)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 or expired</w:t>
            </w:r>
          </w:p>
        </w:tc>
        <w:tc>
          <w:tcPr>
            <w:tcW w:w="1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(175,972)</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3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745,796</w:t>
            </w:r>
          </w:p>
        </w:tc>
        <w:tc>
          <w:tcPr>
            <w:tcW w:w="4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625"/>
        <w:spacing w:after="0" w:line="294" w:lineRule="auto"/>
        <w:rPr>
          <w:sz w:val="20"/>
          <w:szCs w:val="20"/>
          <w:color w:val="auto"/>
        </w:rPr>
      </w:pPr>
      <w:r>
        <w:rPr>
          <w:rFonts w:ascii="Times New Roman" w:cs="Times New Roman" w:eastAsia="Times New Roman" w:hAnsi="Times New Roman"/>
          <w:sz w:val="17"/>
          <w:szCs w:val="17"/>
          <w:color w:val="auto"/>
        </w:rPr>
        <w:t>At December 31, 2025, there was $2.9 million of total unrecognized compensation cost related to unvested RSUs, which the Company expects to recognize over a remaining weighted-average period of 1.0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TerSera Transaction</w:t>
      </w:r>
    </w:p>
    <w:p>
      <w:pPr>
        <w:spacing w:after="0" w:line="249"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In October 2024, the Company entered into an Asset Purchase and Sale Agreement (ASA) with TerSera in which TerSera acquired global rights to MARGENZA. Pursuant to the ASA, the Company received $40.0 million and may also receive up to $35.0 million in future sales milestone payments. The transaction closed in November 2024. In connection with the ASA, the Company also entered into a Master Manufacturing &amp; Supply Agreement (MSA) with TerSera under which it will manufacture MARGENZA product for TerSera, and a Transition Services Agreement under which it will provide certain services to ensure a smooth business transition to TerSera.</w:t>
      </w:r>
    </w:p>
    <w:p>
      <w:pPr>
        <w:spacing w:after="0" w:line="119" w:lineRule="exact"/>
        <w:rPr>
          <w:sz w:val="20"/>
          <w:szCs w:val="20"/>
          <w:color w:val="auto"/>
        </w:rPr>
      </w:pPr>
    </w:p>
    <w:p>
      <w:pPr>
        <w:ind w:right="80" w:firstLine="625"/>
        <w:spacing w:after="0" w:line="264" w:lineRule="auto"/>
        <w:rPr>
          <w:sz w:val="20"/>
          <w:szCs w:val="20"/>
          <w:color w:val="auto"/>
        </w:rPr>
      </w:pPr>
      <w:r>
        <w:rPr>
          <w:rFonts w:ascii="Times New Roman" w:cs="Times New Roman" w:eastAsia="Times New Roman" w:hAnsi="Times New Roman"/>
          <w:sz w:val="17"/>
          <w:szCs w:val="17"/>
          <w:color w:val="auto"/>
        </w:rPr>
        <w:t>The Company determined that the sale of MARGENZA does not qualify for reporting as a discontinued operation since it does not represent a strategic shift that has or will have a major effect on its operations and financial results. The Company determined that the agreements should be accounted for as one single combined contract with multiple elements under which the Company allocated the total consideration of $44.5 million on a relative standalone selling price basis in accordance with the applicable authoritative guidance. The Company recorded a $36.3 million gain on the sale of MARGENZA and related inventory in the “Gain on Sale of MARGENZA” line on its consolidated statements of operations and comprehensive loss for the year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Royalty Monetization Arrangement</w:t>
      </w:r>
    </w:p>
    <w:p>
      <w:pPr>
        <w:spacing w:after="0" w:line="249"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In June 2025, the Company and Sagard entered into a Purchase and Sale Agreement (Royalty Purchase Agreement) pursuant to which the Company sold to Sagard its right to receive royalties on global net sales of ZYNYZ (retifanlimab-dlwr) occurring on and after July 1, 2025 under the Company’s Global Collaboration and License Agreement, dated as of October 24, 2017, as amended (Incyte License Agreement), with Incyte Corporation (Incyte).</w:t>
      </w:r>
    </w:p>
    <w:p>
      <w:pPr>
        <w:spacing w:after="0" w:line="190"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Under the terms of the Royalty Purchase Agreement, the Company received a cash payment of $70.0 million. In exchange, Sagard acquired the royalties payable to the Company under the License Agreement for global net sales of ZYNYZ, subject to a cap. Following Sagard’s receipt of aggregate royalty payments totaling $140.0 million, the Company will resume collecting all future royalties under the License Agreement. The Company has retained its other economic interests related to ZYNYZ, including future potential development, regulatory and commercial milestones.</w:t>
      </w:r>
    </w:p>
    <w:p>
      <w:pPr>
        <w:spacing w:after="0" w:line="195"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The $70.0 million proceeds received from Sagard under the Royalty Purchase Agreement were recorded as a liability related to future royalties, net of transaction costs of $0.3 million, which will be amortized over the estimated life of the arrangement using the effective interest rate method. The Company accounted for the Royalty Purchase Agreement as a financing arrangement because the Company has significant continuing involvement in the generation of cash flows due to Sagard and other existing obligations under the License Agreement. Royalty revenue will be recognized as earned on net sales of ZYNYZ, and the Company will record the royalty payments Incyte makes to Sagard as a reduction of the liability when earned. The aggregate future estimated payments, less the $69.7 million of net proceeds, will be recorded as interest expense over the estimated life of the arrangement. As such payments are made to Sagard, the balance of the liability will be effectively repaid over the life of the Royalty Purchase Agreement. The Company estimates the payments to be made to Sagard over the term of the Royalty Purchase Agreement based on forecasted royalties and will calculate the effective interest rate required to discount such payments back to the liability balance. As of December 31, 2025, the estimated effective interest rate under the agreement was approximately 24.3%. Over the course of the Royalty Purchase Agreement, the actual effective interest rate will be affected by the amount and timing of net royalty revenue recognized and changes in forecasted revenue. On a quarterly basis, the Company will reassess the effective interest rate and adjust the rate prospectively as necessary. The Company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1" w:name="page102"/>
    <w:bookmarkEnd w:id="101"/>
    <w:p>
      <w:pPr>
        <w:ind w:right="220"/>
        <w:spacing w:after="0" w:line="294" w:lineRule="auto"/>
        <w:rPr>
          <w:sz w:val="20"/>
          <w:szCs w:val="20"/>
          <w:color w:val="auto"/>
        </w:rPr>
      </w:pPr>
      <w:r>
        <w:rPr>
          <w:rFonts w:ascii="Times New Roman" w:cs="Times New Roman" w:eastAsia="Times New Roman" w:hAnsi="Times New Roman"/>
          <w:sz w:val="17"/>
          <w:szCs w:val="17"/>
          <w:color w:val="auto"/>
        </w:rPr>
        <w:t>recognized non-cash interest expense of $8.3 million during the year ended December 31, 2025, which is reflected in the interest and other expense line on the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00" w:type="dxa"/>
            <w:vAlign w:val="bottom"/>
          </w:tcPr>
          <w:p>
            <w:pPr>
              <w:spacing w:after="0"/>
              <w:rPr>
                <w:sz w:val="20"/>
                <w:szCs w:val="20"/>
                <w:color w:val="auto"/>
              </w:rPr>
            </w:pPr>
            <w:r>
              <w:rPr>
                <w:rFonts w:ascii="Times New Roman" w:cs="Times New Roman" w:eastAsia="Times New Roman" w:hAnsi="Times New Roman"/>
                <w:sz w:val="17"/>
                <w:szCs w:val="17"/>
                <w:color w:val="auto"/>
              </w:rPr>
              <w:t>Changes to the liability related to future royalties were as follows for the year ended December 31, 2025 (in thousands):</w:t>
            </w: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1"/>
        </w:trPr>
        <w:tc>
          <w:tcPr>
            <w:tcW w:w="9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1"/>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relating to future royalties - beginning balance</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9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of future royalties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221"/>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transaction costs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21"/>
        </w:trPr>
        <w:tc>
          <w:tcPr>
            <w:tcW w:w="9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royalty revenue payable to Sagard</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(7,932)</w:t>
            </w:r>
          </w:p>
        </w:tc>
      </w:tr>
      <w:tr>
        <w:trPr>
          <w:trHeight w:val="221"/>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interest expense recognized</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8,259</w:t>
            </w:r>
          </w:p>
        </w:tc>
      </w:tr>
      <w:tr>
        <w:trPr>
          <w:trHeight w:val="214"/>
        </w:trPr>
        <w:tc>
          <w:tcPr>
            <w:tcW w:w="9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relating to future royalties - ending balance</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20"/>
        </w:trPr>
        <w:tc>
          <w:tcPr>
            <w:tcW w:w="9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71" w:lineRule="exact"/>
        <w:rPr>
          <w:sz w:val="20"/>
          <w:szCs w:val="20"/>
          <w:color w:val="auto"/>
        </w:rPr>
      </w:pPr>
    </w:p>
    <w:p>
      <w:pPr>
        <w:ind w:right="140" w:firstLine="62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2025, the Company recorded an income tax benefit of $0.7 million which reflects refunds net of income taxes paid. For the year ended December 31, 2024 the Company was is in a taxable income position due to the Tax Cuts and Jobs Act of 2017 (the Jobs Act) limitation on utilization of Net Operating Losses to 80% of taxable income as well as the limitation on utilization of income tax credits, while the company remains in a full valuation allowance position. For the year ended December 31, 2023 there was no provision for income taxes due to taxable losses generated, fully offset by a valuation allowance. During the year ended December 31, 2025, the Company paid $0.3 million in taxes (net of refunds) to the state of Maryland, and all of the payments made for Federal taxes were refunded.</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recorded i</w:t>
      </w:r>
      <w:r>
        <w:rPr>
          <w:rFonts w:ascii="Times New Roman" w:cs="Times New Roman" w:eastAsia="Times New Roman" w:hAnsi="Times New Roman"/>
          <w:sz w:val="17"/>
          <w:szCs w:val="17"/>
          <w:color w:val="252525"/>
        </w:rPr>
        <w:t>ncome tax benefit (expense)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14"/>
        </w:trPr>
        <w:tc>
          <w:tcPr>
            <w:tcW w:w="57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(benefit) expense:</w:t>
            </w: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1"/>
        </w:trPr>
        <w:tc>
          <w:tcPr>
            <w:tcW w:w="5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1300" w:type="dxa"/>
            <w:vAlign w:val="bottom"/>
          </w:tcPr>
          <w:p>
            <w:pPr>
              <w:jc w:val="right"/>
              <w:ind w:right="109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1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Beginning in 2025 annual reporting, the Company adopted ASU 2023-09 prospectively. See Note 2, Summary of Significant Accounting Policies - Recently Adopted Accounting Pronouncements for additional details. The reconciliation of the reported estimated income tax expense to the amount that would result by applying the U.S. federal statutory tax rate to the net income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r>
      <w:tr>
        <w:trPr>
          <w:trHeight w:val="214"/>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Rate</w:t>
            </w:r>
          </w:p>
        </w:tc>
      </w:tr>
      <w:tr>
        <w:trPr>
          <w:trHeight w:val="22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 federal tax at statutory rate</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(15,811)</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21.00 %</w:t>
            </w: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taxes (net of federal benefit)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0.31 %</w:t>
            </w:r>
          </w:p>
        </w:tc>
      </w:tr>
      <w:tr>
        <w:trPr>
          <w:trHeight w:val="22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credit,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Orphan drug credit,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r>
      <w:tr>
        <w:trPr>
          <w:trHeight w:val="22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Officers limit on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2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12,066</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r>
      <w:tr>
        <w:trPr>
          <w:trHeight w:val="221"/>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0.55 %</w:t>
            </w:r>
          </w:p>
        </w:tc>
      </w:tr>
      <w:tr>
        <w:trPr>
          <w:trHeight w:val="23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9"/>
          </w:tcPr>
          <w:p>
            <w:pPr>
              <w:jc w:val="right"/>
              <w:ind w:right="10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4"/>
        </w:trPr>
        <w:tc>
          <w:tcPr>
            <w:tcW w:w="7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Borders>
              <w:bottom w:val="single" w:sz="8" w:color="auto"/>
            </w:tcBorders>
          </w:tcPr>
          <w:p>
            <w:pPr>
              <w:spacing w:after="0"/>
              <w:rPr>
                <w:sz w:val="18"/>
                <w:szCs w:val="18"/>
                <w:color w:val="auto"/>
              </w:rPr>
            </w:pPr>
          </w:p>
        </w:tc>
      </w:tr>
      <w:tr>
        <w:trPr>
          <w:trHeight w:val="21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 federal tax at statutory rate</w:t>
            </w: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(13,866)</w:t>
            </w:r>
          </w:p>
        </w:tc>
        <w:tc>
          <w:tcPr>
            <w:tcW w:w="640" w:type="dxa"/>
            <w:vAlign w:val="bottom"/>
            <w:gridSpan w:val="3"/>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(1,902)</w:t>
            </w:r>
          </w:p>
        </w:tc>
      </w:t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4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w:t>
            </w: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adjustments</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w:t>
            </w:r>
          </w:p>
        </w:tc>
        <w:tc>
          <w:tcPr>
            <w:tcW w:w="40" w:type="dxa"/>
            <w:vAlign w:val="bottom"/>
            <w:shd w:val="clear" w:color="auto" w:fill="CCEEFF"/>
          </w:tcPr>
          <w:p>
            <w:pPr>
              <w:spacing w:after="0"/>
              <w:rPr>
                <w:sz w:val="19"/>
                <w:szCs w:val="19"/>
                <w:color w:val="auto"/>
              </w:rPr>
            </w:pPr>
          </w:p>
        </w:tc>
      </w:t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state blended rate adjustments</w:t>
            </w:r>
          </w:p>
        </w:tc>
        <w:tc>
          <w:tcPr>
            <w:tcW w:w="4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credit, net</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(3,168)</w:t>
            </w:r>
          </w:p>
        </w:tc>
      </w:t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Orphan drug credit, net</w:t>
            </w:r>
          </w:p>
        </w:tc>
        <w:tc>
          <w:tcPr>
            <w:tcW w:w="4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40" w:type="dxa"/>
            <w:vAlign w:val="bottom"/>
            <w:shd w:val="clear" w:color="auto" w:fill="CCEEFF"/>
          </w:tcPr>
          <w:p>
            <w:pPr>
              <w:spacing w:after="0"/>
              <w:rPr>
                <w:sz w:val="19"/>
                <w:szCs w:val="19"/>
                <w:color w:val="auto"/>
              </w:rPr>
            </w:pPr>
          </w:p>
        </w:tc>
      </w:t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4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(7,257)</w:t>
            </w:r>
          </w:p>
        </w:tc>
      </w:tr>
      <w:tr>
        <w:trPr>
          <w:trHeight w:val="221"/>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28"/>
        </w:trPr>
        <w:tc>
          <w:tcPr>
            <w:tcW w:w="914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The significant components of the Company's deferred income tax assets (liabilities) were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7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72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18"/>
                <w:szCs w:val="18"/>
                <w:color w:val="auto"/>
              </w:rPr>
            </w:pPr>
          </w:p>
        </w:tc>
      </w:tr>
      <w:tr>
        <w:trPr>
          <w:trHeight w:val="20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 U.S. net operating loss carryforward</w:t>
            </w:r>
          </w:p>
        </w:tc>
        <w:tc>
          <w:tcPr>
            <w:tcW w:w="480" w:type="dxa"/>
            <w:vAlign w:val="bottom"/>
          </w:tcPr>
          <w:p>
            <w:pPr>
              <w:spacing w:after="0"/>
              <w:rPr>
                <w:sz w:val="19"/>
                <w:szCs w:val="19"/>
                <w:color w:val="auto"/>
              </w:rPr>
            </w:pPr>
          </w:p>
        </w:tc>
        <w:tc>
          <w:tcPr>
            <w:tcW w:w="146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136,476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116,341</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net operating loss carryforward</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31,758</w:t>
            </w:r>
          </w:p>
        </w:tc>
        <w:tc>
          <w:tcPr>
            <w:tcW w:w="40" w:type="dxa"/>
            <w:vAlign w:val="bottom"/>
          </w:tcPr>
          <w:p>
            <w:pPr>
              <w:spacing w:after="0"/>
              <w:rPr>
                <w:sz w:val="19"/>
                <w:szCs w:val="19"/>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credit, net</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79,108</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Orphan drug credit, net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33,834</w:t>
            </w:r>
          </w:p>
        </w:tc>
        <w:tc>
          <w:tcPr>
            <w:tcW w:w="40" w:type="dxa"/>
            <w:vAlign w:val="bottom"/>
          </w:tcPr>
          <w:p>
            <w:pPr>
              <w:spacing w:after="0"/>
              <w:rPr>
                <w:sz w:val="19"/>
                <w:szCs w:val="19"/>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10,308</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18,795</w:t>
            </w:r>
          </w:p>
        </w:tc>
        <w:tc>
          <w:tcPr>
            <w:tcW w:w="40" w:type="dxa"/>
            <w:vAlign w:val="bottom"/>
          </w:tcPr>
          <w:p>
            <w:pPr>
              <w:spacing w:after="0"/>
              <w:rPr>
                <w:sz w:val="19"/>
                <w:szCs w:val="19"/>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Section 174 deferred tax asset</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98,810</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based compensation</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16,272</w:t>
            </w:r>
          </w:p>
        </w:tc>
        <w:tc>
          <w:tcPr>
            <w:tcW w:w="40" w:type="dxa"/>
            <w:vAlign w:val="bottom"/>
          </w:tcPr>
          <w:p>
            <w:pPr>
              <w:spacing w:after="0"/>
              <w:rPr>
                <w:sz w:val="19"/>
                <w:szCs w:val="19"/>
                <w:color w:val="auto"/>
              </w:rPr>
            </w:pPr>
          </w:p>
        </w:tc>
      </w:tr>
      <w:tr>
        <w:trPr>
          <w:trHeight w:val="221"/>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5,584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4,971</w:t>
            </w:r>
          </w:p>
        </w:tc>
        <w:tc>
          <w:tcPr>
            <w:tcW w:w="40" w:type="dxa"/>
            <w:vAlign w:val="bottom"/>
          </w:tcPr>
          <w:p>
            <w:pPr>
              <w:spacing w:after="0"/>
              <w:rPr>
                <w:sz w:val="19"/>
                <w:szCs w:val="19"/>
                <w:color w:val="auto"/>
              </w:rPr>
            </w:pPr>
          </w:p>
        </w:tc>
      </w:tr>
      <w:tr>
        <w:trPr>
          <w:trHeight w:val="214"/>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deferred income tax assets</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410,197</w:t>
            </w:r>
          </w:p>
        </w:tc>
        <w:tc>
          <w:tcPr>
            <w:tcW w:w="40" w:type="dxa"/>
            <w:vAlign w:val="bottom"/>
          </w:tcPr>
          <w:p>
            <w:pPr>
              <w:spacing w:after="0"/>
              <w:rPr>
                <w:sz w:val="18"/>
                <w:szCs w:val="18"/>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480" w:type="dxa"/>
            <w:vAlign w:val="bottom"/>
          </w:tcPr>
          <w:p>
            <w:pPr>
              <w:spacing w:after="0"/>
              <w:rPr>
                <w:sz w:val="19"/>
                <w:szCs w:val="19"/>
                <w:color w:val="auto"/>
              </w:rPr>
            </w:pP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(410,103)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40" w:type="dxa"/>
            <w:vAlign w:val="bottom"/>
          </w:tcPr>
          <w:p>
            <w:pPr>
              <w:spacing w:after="0"/>
              <w:rPr>
                <w:sz w:val="19"/>
                <w:szCs w:val="19"/>
                <w:color w:val="auto"/>
              </w:rPr>
            </w:pPr>
          </w:p>
        </w:tc>
      </w:tr>
      <w:tr>
        <w:trPr>
          <w:trHeight w:val="214"/>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assets</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40" w:type="dxa"/>
            <w:vAlign w:val="bottom"/>
          </w:tcPr>
          <w:p>
            <w:pPr>
              <w:spacing w:after="0"/>
              <w:rPr>
                <w:sz w:val="18"/>
                <w:szCs w:val="18"/>
                <w:color w:val="auto"/>
              </w:rPr>
            </w:pPr>
          </w:p>
        </w:tc>
      </w:tr>
      <w:tr>
        <w:trPr>
          <w:trHeight w:val="221"/>
        </w:trPr>
        <w:tc>
          <w:tcPr>
            <w:tcW w:w="7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w:t>
            </w:r>
          </w:p>
        </w:tc>
        <w:tc>
          <w:tcPr>
            <w:tcW w:w="40" w:type="dxa"/>
            <w:vAlign w:val="bottom"/>
          </w:tcPr>
          <w:p>
            <w:pPr>
              <w:spacing w:after="0"/>
              <w:rPr>
                <w:sz w:val="19"/>
                <w:szCs w:val="19"/>
                <w:color w:val="auto"/>
              </w:rPr>
            </w:pPr>
          </w:p>
        </w:tc>
      </w:tr>
      <w:tr>
        <w:trPr>
          <w:trHeight w:val="221"/>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expenditures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w:t>
            </w:r>
          </w:p>
        </w:tc>
        <w:tc>
          <w:tcPr>
            <w:tcW w:w="40" w:type="dxa"/>
            <w:vAlign w:val="bottom"/>
          </w:tcPr>
          <w:p>
            <w:pPr>
              <w:spacing w:after="0"/>
              <w:rPr>
                <w:sz w:val="19"/>
                <w:szCs w:val="19"/>
                <w:color w:val="auto"/>
              </w:rPr>
            </w:pPr>
          </w:p>
        </w:tc>
      </w:tr>
      <w:tr>
        <w:trPr>
          <w:trHeight w:val="214"/>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deferred income tax liabilities</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40" w:type="dxa"/>
            <w:vAlign w:val="bottom"/>
          </w:tcPr>
          <w:p>
            <w:pPr>
              <w:spacing w:after="0"/>
              <w:rPr>
                <w:sz w:val="18"/>
                <w:szCs w:val="18"/>
                <w:color w:val="auto"/>
              </w:rPr>
            </w:pPr>
          </w:p>
        </w:tc>
      </w:tr>
      <w:tr>
        <w:trPr>
          <w:trHeight w:val="24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asset/(liability)</w:t>
            </w:r>
          </w:p>
        </w:tc>
        <w:tc>
          <w:tcPr>
            <w:tcW w:w="4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40" w:firstLine="625"/>
        <w:spacing w:after="0" w:line="263" w:lineRule="auto"/>
        <w:rPr>
          <w:sz w:val="20"/>
          <w:szCs w:val="20"/>
          <w:color w:val="auto"/>
        </w:rPr>
      </w:pPr>
      <w:r>
        <w:rPr>
          <w:rFonts w:ascii="Times New Roman" w:cs="Times New Roman" w:eastAsia="Times New Roman" w:hAnsi="Times New Roman"/>
          <w:sz w:val="17"/>
          <w:szCs w:val="17"/>
          <w:color w:val="auto"/>
        </w:rPr>
        <w:t>In assessing the realization of deferred tax assets, the Company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The Company considers the scheduled reversal of deferred tax liabilities, projected future taxable income and tax planning strategies in making this assessment. After consideration of all the information available, the Company continues to maintain a full valuation allowance against U.S. federal and state net deferred tax assets due to the Company’s cumulative loss position and lack of sufficient positive evidence to support the realizability of its U.S. net deferred tax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color w:val="auto"/>
        </w:rPr>
        <w:t>The activity in the valuation allowance on deferred tax assets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7"/>
                <w:szCs w:val="17"/>
                <w:color w:val="auto"/>
              </w:rPr>
            </w:pPr>
          </w:p>
        </w:tc>
        <w:tc>
          <w:tcPr>
            <w:tcW w:w="1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Balance at Beginning of</w:t>
            </w:r>
          </w:p>
        </w:tc>
        <w:tc>
          <w:tcPr>
            <w:tcW w:w="340" w:type="dxa"/>
            <w:vAlign w:val="bottom"/>
          </w:tcPr>
          <w:p>
            <w:pPr>
              <w:spacing w:after="0"/>
              <w:rPr>
                <w:sz w:val="17"/>
                <w:szCs w:val="17"/>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320" w:type="dxa"/>
            <w:vAlign w:val="bottom"/>
          </w:tcPr>
          <w:p>
            <w:pPr>
              <w:spacing w:after="0"/>
              <w:rPr>
                <w:sz w:val="17"/>
                <w:szCs w:val="17"/>
                <w:color w:val="auto"/>
              </w:rPr>
            </w:pPr>
          </w:p>
        </w:tc>
        <w:tc>
          <w:tcPr>
            <w:tcW w:w="1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19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Balance at End of Year</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4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2025</w:t>
            </w: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410,103</w:t>
            </w:r>
          </w:p>
        </w:tc>
        <w:tc>
          <w:tcPr>
            <w:tcW w:w="0" w:type="dxa"/>
            <w:vAlign w:val="bottom"/>
          </w:tcPr>
          <w:p>
            <w:pPr>
              <w:spacing w:after="0"/>
              <w:rPr>
                <w:sz w:val="1"/>
                <w:szCs w:val="1"/>
                <w:color w:val="auto"/>
              </w:rPr>
            </w:pPr>
          </w:p>
        </w:tc>
      </w:tr>
      <w:tr>
        <w:trPr>
          <w:trHeight w:val="22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the Company has U.S. federal and state net operating loss (NOL) carryforwards of approximately $650.0 million. Of these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NOLs, $2.2 million will expire beginning in 2027 through 2028. $647.8 million of NOLs were generated post December 31, 2017 and carryforward indefinitely.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Company has U.S. federal tax credits of $108.5 million, which will expire in various years beginning in 2027 through 2045.</w:t>
      </w:r>
    </w:p>
    <w:p>
      <w:pPr>
        <w:spacing w:after="0" w:line="151"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Utilization of the Company's U.S. federal NOL and tax credit carryforwards may be subject to a substantial annual limitation under Sections 382 and 383 of the Internal Revenue Code (IRC) of 1986, and corresponding provisions of state law, due to ownership changes that may have occurred previously or that could occur in the future. These ownership changes may limit the amount of net operating loss and research and development tax credit carryforwards that can be utilized annually to offset future tax liabilities.</w:t>
      </w:r>
    </w:p>
    <w:p>
      <w:pPr>
        <w:spacing w:after="0" w:line="117"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Beginning January 1, 2022, the Jobs Act eliminated the option to deduct research and development expenditures in the current year and requires taxpayers to capitalize such expenses pursuant to IRC Section 174. The capitalized expenses are amortized over a 5-year period for domestic expenses and a 15-year period for foreign expenses.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gross unrecognized tax benefits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7,376</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Increases for current year tax positions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Increases/(decreases) for prior year tax positions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7,821</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As of December 31, 2025 and 2024, of the total gross unrecognized tax benefits, approximately $8.3 million and $9.3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117"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has not recognized any interest or penalties related to the uncertain income tax positions due to the fact such position is related to tax attribute carryforwards which have not yet been utilized. The Company does not anticipate any significant changes to its unrecognized income tax position within the next twelve months.</w:t>
      </w:r>
    </w:p>
    <w:p>
      <w:pPr>
        <w:spacing w:after="0" w:line="112" w:lineRule="exact"/>
        <w:rPr>
          <w:sz w:val="20"/>
          <w:szCs w:val="20"/>
          <w:color w:val="auto"/>
        </w:rPr>
      </w:pPr>
    </w:p>
    <w:p>
      <w:pPr>
        <w:jc w:val="both"/>
        <w:ind w:right="180" w:firstLine="625"/>
        <w:spacing w:after="0" w:line="274" w:lineRule="auto"/>
        <w:rPr>
          <w:sz w:val="20"/>
          <w:szCs w:val="20"/>
          <w:color w:val="auto"/>
        </w:rPr>
      </w:pPr>
      <w:r>
        <w:rPr>
          <w:rFonts w:ascii="Times New Roman" w:cs="Times New Roman" w:eastAsia="Times New Roman" w:hAnsi="Times New Roman"/>
          <w:sz w:val="17"/>
          <w:szCs w:val="17"/>
          <w:color w:val="auto"/>
        </w:rPr>
        <w:t xml:space="preserve">The Company files tax returns as prescribed by the tax laws of the jurisdictions in which it operates. In the normal course of business, the Company is subject to examination by federal and state jurisdictions, where applicable.The Company's tax years in the U.S from 2007 </w:t>
      </w:r>
      <w:r>
        <w:rPr>
          <w:rFonts w:ascii="Times New Roman" w:cs="Times New Roman" w:eastAsia="Times New Roman" w:hAnsi="Times New Roman"/>
          <w:sz w:val="17"/>
          <w:szCs w:val="17"/>
          <w:color w:val="252525"/>
        </w:rPr>
        <w:t>forward remain open to examination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due to the carryover of unused income tax credits and net operating losses.</w:t>
      </w:r>
    </w:p>
    <w:p>
      <w:pPr>
        <w:spacing w:after="0" w:line="11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On July 4, 2025, the One Big Beautiful Bill Act of 2025 (OBBBA) was enacted, which includes, among other provisions, changes to the U.S. corporate income tax system including the allowance of immediate expensing of qualifying research and development expenses and permanent extensions of certain provisions within the Jobs Act. The Company is currently evaluating the impact that the OBBBA will have on its financial statements, but it is not expected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12. Employee Benefit Plan</w:t>
      </w:r>
    </w:p>
    <w:p>
      <w:pPr>
        <w:spacing w:after="0" w:line="171"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In 2002, the Company established the MacroGenics 401(k) Plan (the Plan) for its employees under Section 401(k) of the IRC. Under this Plan, all employees at least 21 years of age are eligible to participate in the Plan, starting on the first day of employment. Employees may contribute up to 100% of their salary, subject to government maximums.</w:t>
      </w:r>
    </w:p>
    <w:p>
      <w:pPr>
        <w:spacing w:after="0" w:line="112" w:lineRule="exact"/>
        <w:rPr>
          <w:sz w:val="20"/>
          <w:szCs w:val="20"/>
          <w:color w:val="auto"/>
        </w:rPr>
      </w:pPr>
    </w:p>
    <w:p>
      <w:pPr>
        <w:jc w:val="both"/>
        <w:ind w:right="440" w:firstLine="625"/>
        <w:spacing w:after="0" w:line="274" w:lineRule="auto"/>
        <w:rPr>
          <w:sz w:val="20"/>
          <w:szCs w:val="20"/>
          <w:color w:val="auto"/>
        </w:rPr>
      </w:pPr>
      <w:r>
        <w:rPr>
          <w:rFonts w:ascii="Times New Roman" w:cs="Times New Roman" w:eastAsia="Times New Roman" w:hAnsi="Times New Roman"/>
          <w:sz w:val="17"/>
          <w:szCs w:val="17"/>
          <w:color w:val="auto"/>
        </w:rPr>
        <w:t>Employees are 100% vested in their contributions to the Plan. The Company's contribution to the Plan, as determined by the Board of Directors, is discretionary. For the years ended December 31, 2025, 2024 and 2023, the Company's contributions to the Plan totaled $2.2 million, $2.2 million and $2.1 million,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Reporting</w:t>
      </w:r>
    </w:p>
    <w:p>
      <w:pPr>
        <w:spacing w:after="0" w:line="171"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The Company identifies its reportable segments based on information reviewed by the Company’s Chief Operating Decision Maker (CODM). The Company operates as one operating and reportable segment, which is discovering, developing, manufacturing and commercializing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w:t>
      </w:r>
    </w:p>
    <w:p>
      <w:pPr>
        <w:spacing w:after="0" w:line="199"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The CODM uses consolidated net loss, consistent with the amounts reported in the Company’s consolidated statements of operations to evaluate performance, forecast future period financial results and allocate resources. Total consolidated assets presented in the accompanying consolidated balance sheets also represent the segment’s total assets.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significant expenses regularly reviewed by the CODM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4"/>
        </w:trPr>
        <w:tc>
          <w:tcPr>
            <w:tcW w:w="6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(a)</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149,962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58,749</w:t>
            </w:r>
          </w:p>
        </w:tc>
      </w:tr>
      <w:tr>
        <w:trPr>
          <w:trHeight w:val="221"/>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r>
      <w:tr>
        <w:trPr>
          <w:trHeight w:val="22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manufacturing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w:t>
            </w:r>
          </w:p>
        </w:tc>
      </w:tr>
      <w:tr>
        <w:trPr>
          <w:trHeight w:val="221"/>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Lorigerlimab</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27,716</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MGC030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MGC028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14,408</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Vobramitamab duocarmazine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39,217</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MGC026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Next-generation T-cell engagers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10,464</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MGD024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6,974</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Preclinical antibody-drug conjugates (ADCs)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11,170</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Margetuximab</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16,081</w:t>
            </w:r>
          </w:p>
        </w:tc>
      </w:tr>
      <w:tr>
        <w:trPr>
          <w:trHeight w:val="221"/>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programs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147,172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166,583</w:t>
            </w:r>
          </w:p>
        </w:tc>
      </w:tr>
      <w:tr>
        <w:trPr>
          <w:trHeight w:val="221"/>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71,047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52,188</w:t>
            </w:r>
          </w:p>
        </w:tc>
      </w:tr>
      <w:tr>
        <w:trPr>
          <w:trHeight w:val="22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income (loss), net (b)</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43,612</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159,186</w:t>
            </w:r>
          </w:p>
        </w:tc>
      </w:tr>
      <w:tr>
        <w:trPr>
          <w:trHeight w:val="214"/>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(74,620)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(9,058)</w:t>
            </w: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6"/>
        <w:spacing w:after="0"/>
        <w:tabs>
          <w:tab w:leader="none" w:pos="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includes collaborative and other agreements, product sales, net, contract manufacturing, and government agreements.</w:t>
      </w:r>
    </w:p>
    <w:p>
      <w:pPr>
        <w:spacing w:after="0" w:line="31" w:lineRule="exact"/>
        <w:rPr>
          <w:rFonts w:ascii="Times New Roman" w:cs="Times New Roman" w:eastAsia="Times New Roman" w:hAnsi="Times New Roman"/>
          <w:sz w:val="17"/>
          <w:szCs w:val="17"/>
          <w:color w:val="auto"/>
        </w:rPr>
      </w:pPr>
    </w:p>
    <w:p>
      <w:pPr>
        <w:ind w:firstLine="4"/>
        <w:spacing w:after="0" w:line="271" w:lineRule="auto"/>
        <w:tabs>
          <w:tab w:leader="none" w:pos="24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income (loss), net includes the gain on sale of MARGENZA, gain on royalty monetization, interest and other income and expense, and income tax expense.</w:t>
      </w:r>
    </w:p>
    <w:p>
      <w:pPr>
        <w:spacing w:after="0" w:line="191" w:lineRule="exact"/>
        <w:rPr>
          <w:sz w:val="20"/>
          <w:szCs w:val="20"/>
          <w:color w:val="auto"/>
        </w:rPr>
      </w:pPr>
    </w:p>
    <w:p>
      <w:pPr>
        <w:ind w:right="440" w:firstLine="625"/>
        <w:spacing w:after="0" w:line="294" w:lineRule="auto"/>
        <w:rPr>
          <w:sz w:val="20"/>
          <w:szCs w:val="20"/>
          <w:color w:val="auto"/>
        </w:rPr>
      </w:pPr>
      <w:r>
        <w:rPr>
          <w:rFonts w:ascii="Times New Roman" w:cs="Times New Roman" w:eastAsia="Times New Roman" w:hAnsi="Times New Roman"/>
          <w:sz w:val="17"/>
          <w:szCs w:val="17"/>
          <w:color w:val="auto"/>
        </w:rPr>
        <w:t>Prior period segment information has be recast to conform to the current-period presentation. These changes include moving discontinued projects separately presented in 2024 and 2023 into Other programs and presenting programs separately in 2025 for molecules no longer in a preclinical phase.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5" w:name="page106"/>
    <w:bookmarkEnd w:id="105"/>
    <w:p>
      <w:pPr>
        <w:ind w:firstLine="625"/>
        <w:spacing w:after="0" w:line="294" w:lineRule="auto"/>
        <w:rPr>
          <w:sz w:val="20"/>
          <w:szCs w:val="20"/>
          <w:color w:val="auto"/>
        </w:rPr>
      </w:pPr>
      <w:r>
        <w:rPr>
          <w:rFonts w:ascii="Times New Roman" w:cs="Times New Roman" w:eastAsia="Times New Roman" w:hAnsi="Times New Roman"/>
          <w:sz w:val="17"/>
          <w:szCs w:val="17"/>
          <w:color w:val="auto"/>
        </w:rPr>
        <w:t>The Company operates in the United States and all material long-lived assets of the Company reside in the United States. For information about the Company’s revenues, see Note 7, Revenue.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80"/>
          </w:cols>
          <w:pgMar w:left="320" w:top="864" w:right="6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31"/>
          </w:tcPr>
          <w:p>
            <w:pPr>
              <w:ind w:left="4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60" w:type="dxa"/>
            <w:vAlign w:val="bottom"/>
            <w:gridSpan w:val="26"/>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No.</w:t>
            </w:r>
          </w:p>
        </w:tc>
        <w:tc>
          <w:tcPr>
            <w:tcW w:w="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2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Company and Certificate of Correction to the Restated Certificate of Incorporation of the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37"/>
          </w:tcPr>
          <w:p>
            <w:pPr>
              <w:spacing w:after="0" w:line="182"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(incorporated by reference to Exhibits </w:t>
            </w:r>
            <w:hyperlink r:id="rId124">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 xml:space="preserve">and </w:t>
            </w:r>
            <w:hyperlink r:id="rId125">
              <w:r>
                <w:rPr>
                  <w:rFonts w:ascii="Times New Roman" w:cs="Times New Roman" w:eastAsia="Times New Roman" w:hAnsi="Times New Roman"/>
                  <w:sz w:val="17"/>
                  <w:szCs w:val="17"/>
                  <w:color w:val="0000FF"/>
                </w:rPr>
                <w:t>3.3</w:t>
              </w:r>
            </w:hyperlink>
            <w:r>
              <w:rPr>
                <w:rFonts w:ascii="Times New Roman" w:cs="Times New Roman" w:eastAsia="Times New Roman" w:hAnsi="Times New Roman"/>
                <w:sz w:val="17"/>
                <w:szCs w:val="17"/>
                <w:color w:val="auto"/>
              </w:rPr>
              <w:t>, respectively, to the Company's Current Report on Form 8-K filed on October</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18, 2013)</w:t>
            </w:r>
          </w:p>
        </w:tc>
        <w:tc>
          <w:tcPr>
            <w:tcW w:w="1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Amended and Restated By-Laws of the Company (incorporated by reference to Exhibit 3.1 to the Company’s Current Report on Form 8-K</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(File No. 001-36112) filed on April 2, 2021)</w:t>
              </w:r>
            </w:hyperlink>
          </w:p>
        </w:tc>
        <w:tc>
          <w:tcPr>
            <w:tcW w:w="6560" w:type="dxa"/>
            <w:vAlign w:val="bottom"/>
            <w:tcBorders>
              <w:top w:val="single" w:sz="8" w:color="0000FF"/>
            </w:tcBorders>
            <w:gridSpan w:val="32"/>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Specimen Stock Certificate (incorporated by reference to Exhibit 4.2 to the Registration Statement on Form S-1 (File No. 333-190994)</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filed by the Company on October 9, 2013)</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Description of Common Stock (incorporated by reference to Exhibit 4.2 to the Company’s Annual Report on Form 10-K filed on February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jc w:val="right"/>
              <w:spacing w:after="0" w:line="150" w:lineRule="exact"/>
              <w:rPr>
                <w:rFonts w:ascii="Times New Roman" w:cs="Times New Roman" w:eastAsia="Times New Roman" w:hAnsi="Times New Roman"/>
                <w:sz w:val="17"/>
                <w:szCs w:val="17"/>
                <w:color w:val="0000FF"/>
                <w:w w:val="98"/>
              </w:rPr>
            </w:pPr>
            <w:hyperlink r:id="rId128">
              <w:r>
                <w:rPr>
                  <w:rFonts w:ascii="Times New Roman" w:cs="Times New Roman" w:eastAsia="Times New Roman" w:hAnsi="Times New Roman"/>
                  <w:sz w:val="17"/>
                  <w:szCs w:val="17"/>
                  <w:color w:val="0000FF"/>
                  <w:w w:val="98"/>
                </w:rPr>
                <w:t>25, 2021)</w:t>
              </w:r>
            </w:hyperlink>
          </w:p>
        </w:tc>
        <w:tc>
          <w:tcPr>
            <w:tcW w:w="18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Form of Indemnification Agreement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22"/>
                <w:szCs w:val="22"/>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Global Collaboration and License Agreement by and between the Company and Incyte Corporation, dated October 24, 2017 (incorporated</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by reference to Exhibit 10.3 to the Company's Annual Report on Form 10-K filed on February 27, 2018)</w:t>
              </w:r>
            </w:hyperlink>
          </w:p>
        </w:tc>
        <w:tc>
          <w:tcPr>
            <w:tcW w:w="2360" w:type="dxa"/>
            <w:vAlign w:val="bottom"/>
            <w:tcBorders>
              <w:top w:val="single" w:sz="8" w:color="0000FF"/>
            </w:tcBorders>
            <w:gridSpan w:val="15"/>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Company 2013 Equity Incentive Plan (incorporated by reference to Exhibit 10.5 to the Registration Statement on Form S-1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190994) filed by the Company on October 1, 2013)</w:t>
              </w:r>
            </w:hyperlink>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Incentive Stock Option Agreement under 2013 Equity Incentive Plan (incorporated by reference to Exhibit 10.6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Registration Statement on Form S-1 (File No. 333-190994) filed by the Company on October 1, 2013)</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Nonstatutory Stock Option Agreement under 2013 Equity Incentive Plan (incorporated by reference to Exhibit 10.7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Registration Statement on Form S-1 (File No. 333-190994) filed by the Company on October 1, 2013)</w:t>
              </w:r>
            </w:hyperlink>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10.6+</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Restricted Stock Units Grant Notice under 2013 Equity Incentive Plan (incorporated by reference to Exhibit 10.2 to the</w:t>
              </w:r>
            </w:hyperlink>
          </w:p>
        </w:tc>
        <w:tc>
          <w:tcPr>
            <w:tcW w:w="0" w:type="dxa"/>
            <w:vAlign w:val="bottom"/>
          </w:tcPr>
          <w:p>
            <w:pPr>
              <w:spacing w:after="0"/>
              <w:rPr>
                <w:sz w:val="1"/>
                <w:szCs w:val="1"/>
                <w:color w:val="auto"/>
              </w:rPr>
            </w:pPr>
          </w:p>
        </w:tc>
      </w:tr>
      <w:tr>
        <w:trPr>
          <w:trHeight w:val="110"/>
        </w:trPr>
        <w:tc>
          <w:tcPr>
            <w:tcW w:w="11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80" w:type="dxa"/>
            <w:vAlign w:val="bottom"/>
            <w:tcBorders>
              <w:top w:val="single" w:sz="8" w:color="0000FF"/>
            </w:tcBorders>
            <w:gridSpan w:val="22"/>
            <w:vMerge w:val="restart"/>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Company's Quarterly Report on Form 10-Q filed on May 6, 2015)</w:t>
              </w:r>
            </w:hyperlink>
          </w:p>
        </w:tc>
        <w:tc>
          <w:tcPr>
            <w:tcW w:w="840" w:type="dxa"/>
            <w:vAlign w:val="bottom"/>
            <w:gridSpan w:val="15"/>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80" w:type="dxa"/>
            <w:vAlign w:val="bottom"/>
            <w:gridSpan w:val="22"/>
            <w:vMerge w:val="continue"/>
          </w:tcPr>
          <w:p>
            <w:pPr>
              <w:spacing w:after="0"/>
              <w:rPr>
                <w:sz w:val="3"/>
                <w:szCs w:val="3"/>
                <w:color w:val="auto"/>
              </w:rPr>
            </w:pPr>
          </w:p>
        </w:tc>
        <w:tc>
          <w:tcPr>
            <w:tcW w:w="840" w:type="dxa"/>
            <w:vAlign w:val="bottom"/>
            <w:gridSpan w:val="1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10.7+</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Company 2023 Equity Incentive Plan (incorporated by reference to Exhibit 99.1 to the Registration Statement on Form S-8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272451) filed by the Company on June 6, 2023)</w:t>
              </w:r>
            </w:hyperlink>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10.8+</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Employee Stock Option Grant Notice and Stock Option Agreement under 2023 Equity Incentive Plan (incorporated by reference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to Exhibit 10.8 to the Company's Annual Report on Form 10-K filed on March 7, 2024)</w:t>
              </w:r>
            </w:hyperlink>
          </w:p>
        </w:tc>
        <w:tc>
          <w:tcPr>
            <w:tcW w:w="6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Employee Restricted Stock Unit Award Grant Notice and Award Agreement under 2023 Equity Incentive Plan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80" w:type="dxa"/>
            <w:vAlign w:val="bottom"/>
            <w:tcBorders>
              <w:top w:val="single" w:sz="8" w:color="0000FF"/>
              <w:bottom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reference to Exhibit 10.9 to the Company's Annual Report on Form 10-K filed on March 7, 2024)</w:t>
              </w:r>
            </w:hyperlink>
          </w:p>
        </w:tc>
        <w:tc>
          <w:tcPr>
            <w:tcW w:w="26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10.10+</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Director Stock Option Grant Notice and Stock Option Agreement under 2023 Equity Incentive Plan (incorporated by reference to</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Exhibit 10.10 to the Company's Annual Report on Form 10-K filed on March 7, 2024)</w:t>
              </w:r>
            </w:hyperlink>
          </w:p>
        </w:tc>
        <w:tc>
          <w:tcPr>
            <w:tcW w:w="3600" w:type="dxa"/>
            <w:vAlign w:val="bottom"/>
            <w:tcBorders>
              <w:top w:val="single" w:sz="8" w:color="0000FF"/>
            </w:tcBorders>
            <w:gridSpan w:val="20"/>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Form of Director Restricted Stock Unit Award Grant Notice and Award Agreement under 2023 Equity Incentive Plan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6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reference to Exhibit 10.11 to the Company's Annual Report on Form 10-K filed on March 7, 2024)</w:t>
              </w:r>
            </w:hyperlink>
          </w:p>
        </w:tc>
        <w:tc>
          <w:tcPr>
            <w:tcW w:w="2480" w:type="dxa"/>
            <w:vAlign w:val="bottom"/>
            <w:tcBorders>
              <w:top w:val="single" w:sz="8" w:color="0000FF"/>
            </w:tcBorders>
            <w:gridSpan w:val="10"/>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2016 Employee Stock Purchase Plan (incorporated by reference to Exhibit 4.1 to the Registration Statement on Form S-8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214386) filed by the Company on November 2, 2016)</w:t>
              </w:r>
            </w:hyperlink>
          </w:p>
        </w:tc>
        <w:tc>
          <w:tcPr>
            <w:tcW w:w="570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Employment Agreement between the Company and Scott Koenig, M.D., Ph.D. (incorporated by reference to Exhibit 10.14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Company's Annual Report on Form 10-K filed by the Company on February 29, 2016)</w:t>
              </w:r>
            </w:hyperlink>
          </w:p>
        </w:tc>
        <w:tc>
          <w:tcPr>
            <w:tcW w:w="1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5"/>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10"/>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10.14+</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Employment Agreement between the Company and James Karrels (incorporated by reference to Exhibit 10.15 to the Company's Annual</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Report on Form 10-K filed by the Company on February 29, 2016)</w:t>
              </w:r>
            </w:hyperlink>
          </w:p>
        </w:tc>
        <w:tc>
          <w:tcPr>
            <w:tcW w:w="4820" w:type="dxa"/>
            <w:vAlign w:val="bottom"/>
            <w:tcBorders>
              <w:top w:val="single" w:sz="8" w:color="0000FF"/>
            </w:tcBorders>
            <w:gridSpan w:val="18"/>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10.15+</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Separation and Consulting Agreement between the Company and Scott Koenig, M.D., Ph.D dated October 25, 2024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80" w:type="dxa"/>
            <w:vAlign w:val="bottom"/>
            <w:tcBorders>
              <w:top w:val="single" w:sz="8" w:color="0000FF"/>
              <w:bottom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reference to Exhibit 10.33 to the Company’s Annual Report on Form 10-K filed on March 20, 2025)</w:t>
              </w:r>
            </w:hyperlink>
          </w:p>
        </w:tc>
        <w:tc>
          <w:tcPr>
            <w:tcW w:w="2280" w:type="dxa"/>
            <w:vAlign w:val="bottom"/>
            <w:tcBorders>
              <w:top w:val="single" w:sz="8" w:color="0000FF"/>
            </w:tcBorders>
            <w:gridSpan w:val="8"/>
          </w:tcPr>
          <w:p>
            <w:pPr>
              <w:spacing w:after="0"/>
              <w:rPr>
                <w:sz w:val="12"/>
                <w:szCs w:val="12"/>
                <w:color w:val="auto"/>
              </w:rPr>
            </w:pPr>
          </w:p>
        </w:tc>
        <w:tc>
          <w:tcPr>
            <w:tcW w:w="4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7"/>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Amendment No.1 to the Employment Agreement between the Company and James Karrels dated January 1, 2025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reference to Exhibit 10.34 to the Company’s Annual Report on Form 10-K filed on March 20, 2025)</w:t>
              </w:r>
            </w:hyperlink>
          </w:p>
        </w:tc>
        <w:tc>
          <w:tcPr>
            <w:tcW w:w="6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028"/>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5"/>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10.17+</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Amendment to Separation and Consulting Agreement between the Company and Scott Koenig, M.D., Ph.D. dated February 25, 2025</w:t>
              </w:r>
            </w:hyperlink>
          </w:p>
        </w:tc>
      </w:tr>
      <w:tr>
        <w:trPr>
          <w:trHeight w:val="149"/>
        </w:trPr>
        <w:tc>
          <w:tcPr>
            <w:tcW w:w="1520" w:type="dxa"/>
            <w:vAlign w:val="bottom"/>
          </w:tcPr>
          <w:p>
            <w:pPr>
              <w:spacing w:after="0"/>
              <w:rPr>
                <w:sz w:val="12"/>
                <w:szCs w:val="12"/>
                <w:color w:val="auto"/>
              </w:rPr>
            </w:pPr>
          </w:p>
        </w:tc>
        <w:tc>
          <w:tcPr>
            <w:tcW w:w="926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(incorporated by reference to Exhibit 10.36 to the Company’s Annual Report on Form 10-K filed on March 20, 2025)</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10.18†</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Amendment No, 1 to the Global Collaboration and License Agreement by and between the Company and Incyte Corporation, dated March</w:t>
              </w:r>
            </w:hyperlink>
          </w:p>
        </w:tc>
      </w:tr>
      <w:tr>
        <w:trPr>
          <w:trHeight w:val="149"/>
        </w:trPr>
        <w:tc>
          <w:tcPr>
            <w:tcW w:w="1520" w:type="dxa"/>
            <w:vAlign w:val="bottom"/>
          </w:tcPr>
          <w:p>
            <w:pPr>
              <w:spacing w:after="0"/>
              <w:rPr>
                <w:sz w:val="12"/>
                <w:szCs w:val="12"/>
                <w:color w:val="auto"/>
              </w:rPr>
            </w:pPr>
          </w:p>
        </w:tc>
        <w:tc>
          <w:tcPr>
            <w:tcW w:w="864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15, 2018 (incorporated by reference to Exhibit 10.1 to the Company's Quarterly Report on Form 10-Q filed on May 7, 2018)</w:t>
              </w:r>
            </w:hyperlink>
          </w:p>
        </w:tc>
        <w:tc>
          <w:tcPr>
            <w:tcW w:w="1000" w:type="dxa"/>
            <w:vAlign w:val="bottom"/>
            <w:tcBorders>
              <w:top w:val="single" w:sz="8" w:color="0000FF"/>
            </w:tcBorders>
            <w:gridSpan w:val="20"/>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10.19#</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Amendment No. 2 to the Global Collaboration and License Agreement by and between the Company and Incyte Corporation, dated April</w:t>
              </w:r>
            </w:hyperlink>
          </w:p>
        </w:tc>
      </w:tr>
      <w:tr>
        <w:trPr>
          <w:trHeight w:val="149"/>
        </w:trPr>
        <w:tc>
          <w:tcPr>
            <w:tcW w:w="1520" w:type="dxa"/>
            <w:vAlign w:val="bottom"/>
          </w:tcPr>
          <w:p>
            <w:pPr>
              <w:spacing w:after="0"/>
              <w:rPr>
                <w:sz w:val="12"/>
                <w:szCs w:val="12"/>
                <w:color w:val="auto"/>
              </w:rPr>
            </w:pPr>
          </w:p>
        </w:tc>
        <w:tc>
          <w:tcPr>
            <w:tcW w:w="87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7, 2022 (incorporated by reference to Exhibit 10.1 to the Company's Quarterly Report on Form 10-Q filed on August 8, 2022)</w:t>
              </w:r>
            </w:hyperlink>
          </w:p>
        </w:tc>
        <w:tc>
          <w:tcPr>
            <w:tcW w:w="820" w:type="dxa"/>
            <w:vAlign w:val="bottom"/>
            <w:tcBorders>
              <w:top w:val="single" w:sz="8" w:color="0000FF"/>
            </w:tcBorders>
            <w:gridSpan w:val="17"/>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10.20#</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Amendment No. 3 to the Global Collaboration and License Agreement by and between the Company and Incyte Corporation, dated April</w:t>
              </w:r>
            </w:hyperlink>
          </w:p>
        </w:tc>
      </w:tr>
      <w:tr>
        <w:trPr>
          <w:trHeight w:val="149"/>
        </w:trPr>
        <w:tc>
          <w:tcPr>
            <w:tcW w:w="1520" w:type="dxa"/>
            <w:vAlign w:val="bottom"/>
          </w:tcPr>
          <w:p>
            <w:pPr>
              <w:spacing w:after="0"/>
              <w:rPr>
                <w:sz w:val="12"/>
                <w:szCs w:val="12"/>
                <w:color w:val="auto"/>
              </w:rPr>
            </w:pPr>
          </w:p>
        </w:tc>
        <w:tc>
          <w:tcPr>
            <w:tcW w:w="95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7, 2022 (incorporated by reference to Exhibit 10.1 to the Company's Quarterly Report on Form 10-Q filed on November 3, 2022)</w:t>
              </w:r>
            </w:hyperlink>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10.21#</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Amendment No. 4 to the Global Collaboration and License Agreement by and between the Company and Incyte Corporation, dated July</w:t>
              </w:r>
            </w:hyperlink>
          </w:p>
        </w:tc>
      </w:tr>
      <w:tr>
        <w:trPr>
          <w:trHeight w:val="149"/>
        </w:trPr>
        <w:tc>
          <w:tcPr>
            <w:tcW w:w="15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24, 2024 (incorporated by reference to Exhibit 10.1 to the Company's Quarterly Report on Form 10-Q filed on November 5, 2024)</w:t>
              </w:r>
            </w:hyperlink>
          </w:p>
        </w:tc>
        <w:tc>
          <w:tcPr>
            <w:tcW w:w="4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10.22#</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Commercial Supply Agreement by and between Incyte Corporation and the Company, dated October 13, 2020 (incorporated by reference</w:t>
              </w:r>
            </w:hyperlink>
          </w:p>
        </w:tc>
      </w:tr>
      <w:tr>
        <w:trPr>
          <w:trHeight w:val="149"/>
        </w:trPr>
        <w:tc>
          <w:tcPr>
            <w:tcW w:w="1520" w:type="dxa"/>
            <w:vAlign w:val="bottom"/>
          </w:tcPr>
          <w:p>
            <w:pPr>
              <w:spacing w:after="0"/>
              <w:rPr>
                <w:sz w:val="12"/>
                <w:szCs w:val="12"/>
                <w:color w:val="auto"/>
              </w:rPr>
            </w:pPr>
          </w:p>
        </w:tc>
        <w:tc>
          <w:tcPr>
            <w:tcW w:w="95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to Exhibit 10.16 to the Company’s Annual Report on Form 10-K filed on February 25, 2021)</w:t>
              </w:r>
            </w:hyperlink>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10.23#</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Collaboration and License Agreement by and between the Company and Gilead Sciences, Inc., dated October 14, 2022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reference to Exhibit 10.22 to the Company's Annual Report on Form 10-K filed by the Company on March 15, 2023)</w:t>
              </w:r>
            </w:hyperlink>
          </w:p>
        </w:tc>
        <w:tc>
          <w:tcPr>
            <w:tcW w:w="132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10.24#</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Amendment No. 1 to the Collaboration and License Agreement by and between the Company and Gilead Sciences, Inc., dated January 11,</w:t>
              </w:r>
            </w:hyperlink>
          </w:p>
        </w:tc>
      </w:tr>
      <w:tr>
        <w:trPr>
          <w:trHeight w:val="149"/>
        </w:trPr>
        <w:tc>
          <w:tcPr>
            <w:tcW w:w="1520" w:type="dxa"/>
            <w:vAlign w:val="bottom"/>
          </w:tcPr>
          <w:p>
            <w:pPr>
              <w:spacing w:after="0"/>
              <w:rPr>
                <w:sz w:val="12"/>
                <w:szCs w:val="12"/>
                <w:color w:val="auto"/>
              </w:rPr>
            </w:pPr>
          </w:p>
        </w:tc>
        <w:tc>
          <w:tcPr>
            <w:tcW w:w="838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2024 (incorporated by reference to Exhibit 10.1 to the Company's Quarterly Report on Form 10-Q filed on May 9, 2024)</w:t>
              </w:r>
            </w:hyperlink>
          </w:p>
        </w:tc>
        <w:tc>
          <w:tcPr>
            <w:tcW w:w="1240" w:type="dxa"/>
            <w:vAlign w:val="bottom"/>
            <w:tcBorders>
              <w:top w:val="single" w:sz="8" w:color="0000FF"/>
            </w:tcBorders>
            <w:gridSpan w:val="20"/>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10.25#</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Second Letter Agreement by and between the Company and Gilead Sciences, Inc., dated August 30, 2024 (incorporated by reference to</w:t>
              </w:r>
            </w:hyperlink>
          </w:p>
        </w:tc>
      </w:tr>
      <w:tr>
        <w:trPr>
          <w:trHeight w:val="149"/>
        </w:trPr>
        <w:tc>
          <w:tcPr>
            <w:tcW w:w="1520" w:type="dxa"/>
            <w:vAlign w:val="bottom"/>
          </w:tcPr>
          <w:p>
            <w:pPr>
              <w:spacing w:after="0"/>
              <w:rPr>
                <w:sz w:val="12"/>
                <w:szCs w:val="12"/>
                <w:color w:val="auto"/>
              </w:rPr>
            </w:pPr>
          </w:p>
        </w:tc>
        <w:tc>
          <w:tcPr>
            <w:tcW w:w="634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Exhibit 10.2 to the Company's Quarterly Report on Form 10-Q filed on November 5, 2024)</w:t>
              </w:r>
            </w:hyperlink>
          </w:p>
        </w:tc>
        <w:tc>
          <w:tcPr>
            <w:tcW w:w="31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10.26#*</w:t>
            </w:r>
          </w:p>
        </w:tc>
        <w:tc>
          <w:tcPr>
            <w:tcW w:w="97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Third Letter Agreement by and between the Company and Gilead Sciences, Inc., dated November 11, 2025</w:t>
            </w:r>
          </w:p>
        </w:tc>
      </w:tr>
      <w:tr>
        <w:trPr>
          <w:trHeight w:val="20"/>
        </w:trPr>
        <w:tc>
          <w:tcPr>
            <w:tcW w:w="1520" w:type="dxa"/>
            <w:vAlign w:val="bottom"/>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10.27#</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Asset Purchase Agreement by and between the Company and Provention Bio, Inc., dated May 7, 2018 (incorporated by reference to</w:t>
              </w:r>
            </w:hyperlink>
          </w:p>
        </w:tc>
      </w:tr>
      <w:tr>
        <w:trPr>
          <w:trHeight w:val="149"/>
        </w:trPr>
        <w:tc>
          <w:tcPr>
            <w:tcW w:w="152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Exhibit 10.23 to the Company's Annual Report on Form 10-K filed by the Company on March 15, 2023)</w:t>
              </w:r>
            </w:hyperlink>
          </w:p>
        </w:tc>
        <w:tc>
          <w:tcPr>
            <w:tcW w:w="1880" w:type="dxa"/>
            <w:vAlign w:val="bottom"/>
            <w:tcBorders>
              <w:top w:val="single" w:sz="8" w:color="0000FF"/>
            </w:tcBorders>
            <w:gridSpan w:val="9"/>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10.28#</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Amendment No. 1 to the Asset Purchase Agreement by and between the Company and Provention Bio, Inc., dated November 30, 2022</w:t>
              </w:r>
            </w:hyperlink>
          </w:p>
        </w:tc>
      </w:tr>
      <w:tr>
        <w:trPr>
          <w:trHeight w:val="149"/>
        </w:trPr>
        <w:tc>
          <w:tcPr>
            <w:tcW w:w="1520" w:type="dxa"/>
            <w:vAlign w:val="bottom"/>
          </w:tcPr>
          <w:p>
            <w:pPr>
              <w:spacing w:after="0"/>
              <w:rPr>
                <w:sz w:val="12"/>
                <w:szCs w:val="12"/>
                <w:color w:val="auto"/>
              </w:rPr>
            </w:pPr>
          </w:p>
        </w:tc>
        <w:tc>
          <w:tcPr>
            <w:tcW w:w="934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(incorporated by reference to Exhibit 10.24 to the Company's Annual Report on Form 10-K filed by the Company on March 15, 2023)</w:t>
              </w:r>
            </w:hyperlink>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10.29#</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Amendment No. 2 to the Asset Purchase Agreement by and between the Company and Provention Bio, Inc., dated September 19, 2023</w:t>
              </w:r>
            </w:hyperlink>
          </w:p>
        </w:tc>
      </w:tr>
      <w:tr>
        <w:trPr>
          <w:trHeight w:val="149"/>
        </w:trPr>
        <w:tc>
          <w:tcPr>
            <w:tcW w:w="1520" w:type="dxa"/>
            <w:vAlign w:val="bottom"/>
          </w:tcPr>
          <w:p>
            <w:pPr>
              <w:spacing w:after="0"/>
              <w:rPr>
                <w:sz w:val="12"/>
                <w:szCs w:val="12"/>
                <w:color w:val="auto"/>
              </w:rPr>
            </w:pPr>
          </w:p>
        </w:tc>
        <w:tc>
          <w:tcPr>
            <w:tcW w:w="940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(incorporated by reference to Exhibit 10.1 to the Company’s Quarterly Report on Form 10-Q filed on November 6, 2023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7440" w:type="dxa"/>
            <w:vAlign w:val="bottom"/>
            <w:gridSpan w:val="4"/>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10.30#</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Lease by and between BMR-Medical Center Drive LLC and J. Craig Venter Institute, Inc., dated May 3, 2010 (incorporated by reference</w:t>
              </w:r>
            </w:hyperlink>
          </w:p>
        </w:tc>
      </w:tr>
      <w:tr>
        <w:trPr>
          <w:trHeight w:val="149"/>
        </w:trPr>
        <w:tc>
          <w:tcPr>
            <w:tcW w:w="1520" w:type="dxa"/>
            <w:vAlign w:val="bottom"/>
          </w:tcPr>
          <w:p>
            <w:pPr>
              <w:spacing w:after="0"/>
              <w:rPr>
                <w:sz w:val="12"/>
                <w:szCs w:val="12"/>
                <w:color w:val="auto"/>
              </w:rPr>
            </w:pPr>
          </w:p>
        </w:tc>
        <w:tc>
          <w:tcPr>
            <w:tcW w:w="952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to Exhibit 10.25 to the Company's Annual Report on Form 10-K filed by the Company on March 15, 2023)</w:t>
              </w:r>
            </w:hyperlink>
          </w:p>
        </w:tc>
        <w:tc>
          <w:tcPr>
            <w:tcW w:w="1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744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10.31#</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First Amendment to Lease by and between BMR-Medical Center Drive LLC and J. Craig Venter Institute, Inc. dated March 26, 2014</w:t>
              </w:r>
            </w:hyperlink>
          </w:p>
        </w:tc>
      </w:tr>
      <w:tr>
        <w:trPr>
          <w:trHeight w:val="149"/>
        </w:trPr>
        <w:tc>
          <w:tcPr>
            <w:tcW w:w="1520" w:type="dxa"/>
            <w:vAlign w:val="bottom"/>
          </w:tcPr>
          <w:p>
            <w:pPr>
              <w:spacing w:after="0"/>
              <w:rPr>
                <w:sz w:val="12"/>
                <w:szCs w:val="12"/>
                <w:color w:val="auto"/>
              </w:rPr>
            </w:pPr>
          </w:p>
        </w:tc>
        <w:tc>
          <w:tcPr>
            <w:tcW w:w="92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(incorporated by reference to Exhibit 10.26 to the Company's Annual Report on Form 10-K filed by the Company on March 15, 2023)</w:t>
              </w:r>
            </w:hyperlink>
          </w:p>
        </w:tc>
        <w:tc>
          <w:tcPr>
            <w:tcW w:w="10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10.32#</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Second Amendment to Lease by and between the Company and BMR-Medical Center Drive LLC, dated July 31, 2015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reference to Exhibit 10.27 to the Company's Annual Report on Form 10-K filed by the Company on March 15, 2023)</w:t>
              </w:r>
            </w:hyperlink>
          </w:p>
        </w:tc>
        <w:tc>
          <w:tcPr>
            <w:tcW w:w="1300" w:type="dxa"/>
            <w:vAlign w:val="bottom"/>
            <w:tcBorders>
              <w:top w:val="single" w:sz="8" w:color="0000FF"/>
            </w:tcBorders>
            <w:gridSpan w:val="16"/>
          </w:tcPr>
          <w:p>
            <w:pPr>
              <w:spacing w:after="0"/>
              <w:rPr>
                <w:sz w:val="12"/>
                <w:szCs w:val="12"/>
                <w:color w:val="auto"/>
              </w:rPr>
            </w:pPr>
          </w:p>
        </w:tc>
        <w:tc>
          <w:tcPr>
            <w:tcW w:w="22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10.33#</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Third Amendment to Lease by and between the Company and BMR-Medical Center Drive LLC, dated November 5, 2015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reference to Exhibit 10.28 to the Company's Annual Report on Form 10-K filed by the Company on March 15, 2023)</w:t>
              </w:r>
            </w:hyperlink>
          </w:p>
        </w:tc>
        <w:tc>
          <w:tcPr>
            <w:tcW w:w="1520" w:type="dxa"/>
            <w:vAlign w:val="bottom"/>
            <w:tcBorders>
              <w:top w:val="single" w:sz="8" w:color="0000FF"/>
            </w:tcBorders>
            <w:gridSpan w:val="24"/>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10.34#</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Fourth Amendment to Lease by and between the Company and BMR-Medical Center Drive LLC, dated July 21, 2017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reference to Exhibit 10.29 to the Company's Annual Report on Form 10-K filed by the Company on March 15, 2023)</w:t>
              </w:r>
            </w:hyperlink>
          </w:p>
        </w:tc>
        <w:tc>
          <w:tcPr>
            <w:tcW w:w="1260" w:type="dxa"/>
            <w:vAlign w:val="bottom"/>
            <w:tcBorders>
              <w:top w:val="single" w:sz="8" w:color="0000FF"/>
            </w:tcBorders>
            <w:gridSpan w:val="14"/>
          </w:tcPr>
          <w:p>
            <w:pPr>
              <w:spacing w:after="0"/>
              <w:rPr>
                <w:sz w:val="12"/>
                <w:szCs w:val="12"/>
                <w:color w:val="auto"/>
              </w:rPr>
            </w:pPr>
          </w:p>
        </w:tc>
        <w:tc>
          <w:tcPr>
            <w:tcW w:w="300" w:type="dxa"/>
            <w:vAlign w:val="bottom"/>
            <w:gridSpan w:val="11"/>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10.35#</w:t>
            </w:r>
          </w:p>
        </w:tc>
        <w:tc>
          <w:tcPr>
            <w:tcW w:w="9720" w:type="dxa"/>
            <w:vAlign w:val="bottom"/>
            <w:gridSpan w:val="30"/>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Fifth Amendment to Lease by and between the Company and ARE-Maryland No. 45, LLC, dated December 14, 2022 (incorporated by</w:t>
              </w:r>
            </w:hyperlink>
          </w:p>
        </w:tc>
      </w:tr>
      <w:tr>
        <w:trPr>
          <w:trHeight w:val="149"/>
        </w:trPr>
        <w:tc>
          <w:tcPr>
            <w:tcW w:w="1520" w:type="dxa"/>
            <w:vAlign w:val="bottom"/>
          </w:tcPr>
          <w:p>
            <w:pPr>
              <w:spacing w:after="0"/>
              <w:rPr>
                <w:sz w:val="12"/>
                <w:szCs w:val="12"/>
                <w:color w:val="auto"/>
              </w:rPr>
            </w:pPr>
          </w:p>
        </w:tc>
        <w:tc>
          <w:tcPr>
            <w:tcW w:w="938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reference to Exhibit 10.30 to the Company's Annual Report on Form 10-K filed by the Company on March 15, 2023)</w:t>
              </w:r>
            </w:hyperlink>
          </w:p>
        </w:tc>
        <w:tc>
          <w:tcPr>
            <w:tcW w:w="340" w:type="dxa"/>
            <w:vAlign w:val="bottom"/>
            <w:gridSpan w:val="13"/>
          </w:tcPr>
          <w:p>
            <w:pPr>
              <w:spacing w:after="0"/>
              <w:rPr>
                <w:sz w:val="12"/>
                <w:szCs w:val="12"/>
                <w:color w:val="auto"/>
              </w:rPr>
            </w:pPr>
          </w:p>
        </w:tc>
      </w:tr>
      <w:tr>
        <w:trPr>
          <w:trHeight w:val="1028"/>
        </w:trPr>
        <w:tc>
          <w:tcPr>
            <w:tcW w:w="1520" w:type="dxa"/>
            <w:vAlign w:val="bottom"/>
            <w:tcBorders>
              <w:bottom w:val="single" w:sz="8" w:color="9A9A9A"/>
            </w:tcBorders>
          </w:tcPr>
          <w:p>
            <w:pPr>
              <w:spacing w:after="0"/>
              <w:rPr>
                <w:sz w:val="24"/>
                <w:szCs w:val="24"/>
                <w:color w:val="auto"/>
              </w:rPr>
            </w:pPr>
          </w:p>
        </w:tc>
        <w:tc>
          <w:tcPr>
            <w:tcW w:w="63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tbl>
      <w:tblPr>
        <w:tblLayout w:type="fixed"/>
        <w:tblInd w:w="4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10.36#</w:t>
            </w:r>
          </w:p>
        </w:tc>
        <w:tc>
          <w:tcPr>
            <w:tcW w:w="9700" w:type="dxa"/>
            <w:vAlign w:val="bottom"/>
            <w:gridSpan w:val="13"/>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Purchase and Sale Agreement by and between the Company and Sagard Healthcare Partners, dated June 9, 2025 (incorporated by reference</w:t>
              </w:r>
            </w:hyperlink>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60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to Exhibit 10.1 to the Company’s Quarterly Report on Form 10-Q filed by the Company on August 14, 2025)</w:t>
              </w:r>
            </w:hyperlink>
          </w:p>
        </w:tc>
        <w:tc>
          <w:tcPr>
            <w:tcW w:w="20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1"/>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10.37+*</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Amended and restated employment agreement between the Company and Eric Risser</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19.1</w:t>
            </w:r>
          </w:p>
        </w:tc>
        <w:tc>
          <w:tcPr>
            <w:tcW w:w="9700" w:type="dxa"/>
            <w:vAlign w:val="bottom"/>
            <w:gridSpan w:val="13"/>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MacroGenics Inc. Insider Trading Policy (incorporated by reference to Exhibit 19.1 to the Company’s Annual Report on Form 10-K filed</w:t>
              </w:r>
            </w:hyperlink>
          </w:p>
        </w:tc>
        <w:tc>
          <w:tcPr>
            <w:tcW w:w="0" w:type="dxa"/>
            <w:vAlign w:val="bottom"/>
          </w:tcPr>
          <w:p>
            <w:pPr>
              <w:spacing w:after="0"/>
              <w:rPr>
                <w:sz w:val="1"/>
                <w:szCs w:val="1"/>
                <w:color w:val="auto"/>
              </w:rPr>
            </w:pPr>
          </w:p>
        </w:tc>
      </w:tr>
      <w:tr>
        <w:trPr>
          <w:trHeight w:val="110"/>
        </w:trPr>
        <w:tc>
          <w:tcPr>
            <w:tcW w:w="1480" w:type="dxa"/>
            <w:vAlign w:val="bottom"/>
            <w:vMerge w:val="continue"/>
          </w:tcPr>
          <w:p>
            <w:pPr>
              <w:spacing w:after="0"/>
              <w:rPr>
                <w:sz w:val="9"/>
                <w:szCs w:val="9"/>
                <w:color w:val="auto"/>
              </w:rPr>
            </w:pPr>
          </w:p>
        </w:tc>
        <w:tc>
          <w:tcPr>
            <w:tcW w:w="2520" w:type="dxa"/>
            <w:vAlign w:val="bottom"/>
            <w:tcBorders>
              <w:top w:val="single" w:sz="8" w:color="0000FF"/>
            </w:tcBorders>
            <w:vMerge w:val="restart"/>
          </w:tcPr>
          <w:p>
            <w:pPr>
              <w:spacing w:after="0" w:line="15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by the Company on March 20,2025)</w:t>
              </w:r>
            </w:hyperlink>
          </w:p>
        </w:tc>
        <w:tc>
          <w:tcPr>
            <w:tcW w:w="7020" w:type="dxa"/>
            <w:vAlign w:val="bottom"/>
            <w:tcBorders>
              <w:top w:val="single" w:sz="8" w:color="0000FF"/>
            </w:tcBorders>
            <w:gridSpan w:val="10"/>
            <w:vMerge w:val="restart"/>
          </w:tcPr>
          <w:p>
            <w:pPr>
              <w:spacing w:after="0"/>
              <w:rPr>
                <w:sz w:val="9"/>
                <w:szCs w:val="9"/>
                <w:color w:val="auto"/>
              </w:rPr>
            </w:pP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480" w:type="dxa"/>
            <w:vAlign w:val="bottom"/>
          </w:tcPr>
          <w:p>
            <w:pPr>
              <w:spacing w:after="0"/>
              <w:rPr>
                <w:sz w:val="3"/>
                <w:szCs w:val="3"/>
                <w:color w:val="auto"/>
              </w:rPr>
            </w:pPr>
          </w:p>
        </w:tc>
        <w:tc>
          <w:tcPr>
            <w:tcW w:w="2520" w:type="dxa"/>
            <w:vAlign w:val="bottom"/>
            <w:tcBorders>
              <w:bottom w:val="single" w:sz="8" w:color="0000FF"/>
            </w:tcBorders>
            <w:vMerge w:val="continue"/>
          </w:tcPr>
          <w:p>
            <w:pPr>
              <w:spacing w:after="0"/>
              <w:rPr>
                <w:sz w:val="3"/>
                <w:szCs w:val="3"/>
                <w:color w:val="auto"/>
              </w:rPr>
            </w:pPr>
          </w:p>
        </w:tc>
        <w:tc>
          <w:tcPr>
            <w:tcW w:w="7020" w:type="dxa"/>
            <w:vAlign w:val="bottom"/>
            <w:gridSpan w:val="10"/>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1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97.1</w:t>
            </w:r>
          </w:p>
        </w:tc>
        <w:tc>
          <w:tcPr>
            <w:tcW w:w="9700" w:type="dxa"/>
            <w:vAlign w:val="bottom"/>
            <w:gridSpan w:val="13"/>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MacroGenics.Inc. Incentive Compensation Recoupment Policy (MacroGenics.Inc. Incentive Compensation Recoupment Policy</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480" w:type="dxa"/>
            <w:vAlign w:val="bottom"/>
            <w:vMerge w:val="continue"/>
          </w:tcPr>
          <w:p>
            <w:pPr>
              <w:spacing w:after="0"/>
              <w:rPr>
                <w:sz w:val="9"/>
                <w:szCs w:val="9"/>
                <w:color w:val="auto"/>
              </w:rPr>
            </w:pPr>
          </w:p>
        </w:tc>
        <w:tc>
          <w:tcPr>
            <w:tcW w:w="9160" w:type="dxa"/>
            <w:vAlign w:val="bottom"/>
            <w:gridSpan w:val="10"/>
            <w:vMerge w:val="restart"/>
          </w:tcPr>
          <w:p>
            <w:pPr>
              <w:spacing w:after="0" w:line="15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(incorporated by reference to Exhibit 97.1 to the Company's Annual Report on Form 10-K filed by the Company on March 7, 2024)</w:t>
              </w:r>
            </w:hyperlink>
          </w:p>
        </w:tc>
        <w:tc>
          <w:tcPr>
            <w:tcW w:w="54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480" w:type="dxa"/>
            <w:vAlign w:val="bottom"/>
          </w:tcPr>
          <w:p>
            <w:pPr>
              <w:spacing w:after="0"/>
              <w:rPr>
                <w:sz w:val="3"/>
                <w:szCs w:val="3"/>
                <w:color w:val="auto"/>
              </w:rPr>
            </w:pPr>
          </w:p>
        </w:tc>
        <w:tc>
          <w:tcPr>
            <w:tcW w:w="9160" w:type="dxa"/>
            <w:vAlign w:val="bottom"/>
            <w:tcBorders>
              <w:bottom w:val="single" w:sz="8" w:color="0000FF"/>
            </w:tcBorders>
            <w:gridSpan w:val="10"/>
            <w:vMerge w:val="continue"/>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Rule 13a-14(a) Certification of Principal Executive Officer</w:t>
            </w:r>
          </w:p>
        </w:tc>
        <w:tc>
          <w:tcPr>
            <w:tcW w:w="1560" w:type="dxa"/>
            <w:vAlign w:val="bottom"/>
            <w:tcBorders>
              <w:top w:val="single" w:sz="8" w:color="0000FF"/>
            </w:tcBorders>
          </w:tcPr>
          <w:p>
            <w:pPr>
              <w:spacing w:after="0"/>
              <w:rPr>
                <w:sz w:val="22"/>
                <w:szCs w:val="22"/>
                <w:color w:val="auto"/>
              </w:rPr>
            </w:pPr>
          </w:p>
        </w:tc>
        <w:tc>
          <w:tcPr>
            <w:tcW w:w="40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Rule 13a-14(a) Certification of Principal Financial Officer</w:t>
            </w: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0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Executive Officer</w:t>
            </w:r>
          </w:p>
        </w:tc>
        <w:tc>
          <w:tcPr>
            <w:tcW w:w="56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3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Financial Officer</w:t>
            </w:r>
          </w:p>
        </w:tc>
        <w:tc>
          <w:tcPr>
            <w:tcW w:w="40" w:type="dxa"/>
            <w:vAlign w:val="bottom"/>
            <w:tcBorders>
              <w:top w:val="single" w:sz="8" w:color="0000FF"/>
            </w:tcBorders>
          </w:tcPr>
          <w:p>
            <w:pPr>
              <w:spacing w:after="0"/>
              <w:rPr>
                <w:sz w:val="22"/>
                <w:szCs w:val="22"/>
                <w:color w:val="auto"/>
              </w:rPr>
            </w:pPr>
          </w:p>
        </w:tc>
        <w:tc>
          <w:tcPr>
            <w:tcW w:w="57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Schema Document</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Calculation Linkbase Document</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Definition Linkbase Document</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Labels Linkbase Document</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7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Presentation Linkbase Document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520" w:hanging="1479"/>
        <w:spacing w:after="0"/>
        <w:tabs>
          <w:tab w:leader="none" w:pos="15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(formatted as Inline XBRL and contained in Exhibit 101 filed herewith)</w:t>
      </w:r>
    </w:p>
    <w:p>
      <w:pPr>
        <w:spacing w:after="0" w:line="208"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pursuant to a request for confidential treatment granted by the SEC.</w:t>
      </w:r>
    </w:p>
    <w:p>
      <w:pPr>
        <w:spacing w:after="0" w:line="65" w:lineRule="exact"/>
        <w:rPr>
          <w:sz w:val="20"/>
          <w:szCs w:val="20"/>
          <w:color w:val="auto"/>
        </w:rPr>
      </w:pPr>
    </w:p>
    <w:p>
      <w:pPr>
        <w:ind w:left="620" w:right="20" w:hanging="616"/>
        <w:spacing w:after="0" w:line="271" w:lineRule="auto"/>
        <w:tabs>
          <w:tab w:leader="none" w:pos="25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document (indicated by “[***]” have been omitted because they are not material and are the type that MacroGenics, Inc. treats as private and confidential.</w:t>
      </w:r>
    </w:p>
    <w:p>
      <w:pPr>
        <w:spacing w:after="0" w:line="1" w:lineRule="exact"/>
        <w:rPr>
          <w:sz w:val="20"/>
          <w:szCs w:val="20"/>
          <w:color w:val="auto"/>
        </w:rPr>
      </w:pPr>
    </w:p>
    <w:p>
      <w:pPr>
        <w:ind w:right="7180" w:firstLine="4"/>
        <w:spacing w:after="0" w:line="319" w:lineRule="auto"/>
        <w:tabs>
          <w:tab w:leader="none" w:pos="27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 Filed herewith.</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herewith.</w:t>
      </w:r>
    </w:p>
    <w:p>
      <w:pPr>
        <w:sectPr>
          <w:pgSz w:w="11900" w:h="16838" w:orient="portrait"/>
          <w:cols w:equalWidth="0" w:num="1">
            <w:col w:w="11200"/>
          </w:cols>
          <w:pgMar w:left="320" w:top="895" w:right="3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INDEMNIFICATION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Indemnification Agreement is dated as of [date] (this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19"/>
          <w:szCs w:val="19"/>
          <w:color w:val="auto"/>
        </w:rPr>
        <w:t xml:space="preserve">”) and is between </w:t>
      </w:r>
      <w:r>
        <w:rPr>
          <w:rFonts w:ascii="Times New Roman" w:cs="Times New Roman" w:eastAsia="Times New Roman" w:hAnsi="Times New Roman"/>
          <w:sz w:val="20"/>
          <w:szCs w:val="20"/>
          <w:color w:val="auto"/>
        </w:rPr>
        <w:t>MacroGenics, Inc.</w:t>
      </w:r>
      <w:r>
        <w:rPr>
          <w:rFonts w:ascii="Times New Roman" w:cs="Times New Roman" w:eastAsia="Times New Roman" w:hAnsi="Times New Roman"/>
          <w:sz w:val="19"/>
          <w:szCs w:val="19"/>
          <w:color w:val="auto"/>
        </w:rPr>
        <w:t>, a Delaware corporation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[name]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b w:val="1"/>
          <w:bCs w:val="1"/>
          <w:u w:val="single" w:color="auto"/>
          <w:color w:val="auto"/>
        </w:rPr>
        <w:t>Indemnitee</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Background</w:t>
      </w:r>
    </w:p>
    <w:p>
      <w:pPr>
        <w:spacing w:after="0" w:line="23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82"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9"/>
          <w:szCs w:val="19"/>
          <w:color w:val="auto"/>
        </w:rPr>
        <w:t>The Company desires and has requested Indemnitee to serve as a director and/or executive officer of the Company and, in order to induce the Indemnitee to serve in such capacity, the Company is willing to grant the Indemnitee the indemnification provided for herein. Indemnitee is willing to so serve on the basis that such indemnification be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parties by this Agreement desire to set forth their agreement regarding indemnification and the advancement of expenses.</w:t>
      </w:r>
    </w:p>
    <w:p>
      <w:pPr>
        <w:spacing w:after="0" w:line="3" w:lineRule="exact"/>
        <w:rPr>
          <w:sz w:val="20"/>
          <w:szCs w:val="20"/>
          <w:color w:val="auto"/>
        </w:rPr>
      </w:pPr>
    </w:p>
    <w:p>
      <w:pPr>
        <w:ind w:right="480"/>
        <w:spacing w:after="0" w:line="236" w:lineRule="auto"/>
        <w:rPr>
          <w:sz w:val="20"/>
          <w:szCs w:val="20"/>
          <w:color w:val="auto"/>
        </w:rPr>
      </w:pPr>
      <w:r>
        <w:rPr>
          <w:rFonts w:ascii="Times New Roman" w:cs="Times New Roman" w:eastAsia="Times New Roman" w:hAnsi="Times New Roman"/>
          <w:sz w:val="19"/>
          <w:szCs w:val="19"/>
          <w:color w:val="auto"/>
        </w:rPr>
        <w:t>In consideration of Indemnitee’s service to the Company, the covenants and agreements set forth below and for other good and valuable consideration, the receipt and adequacy of which are hereby acknowledged, the parties hereto, intending to be legally bound, hereby agree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fullest extent permitted by the General Corporation Law of the State of Delaware (the “</w:t>
      </w:r>
      <w:r>
        <w:rPr>
          <w:rFonts w:ascii="Times New Roman" w:cs="Times New Roman" w:eastAsia="Times New Roman" w:hAnsi="Times New Roman"/>
          <w:sz w:val="20"/>
          <w:szCs w:val="20"/>
          <w:b w:val="1"/>
          <w:bCs w:val="1"/>
          <w:u w:val="single" w:color="auto"/>
          <w:color w:val="auto"/>
        </w:rPr>
        <w:t>DGCL</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ind w:right="60" w:firstLine="4"/>
        <w:spacing w:after="0" w:line="238" w:lineRule="auto"/>
        <w:tabs>
          <w:tab w:leader="none" w:pos="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indemnify Indemnitee if Indemnitee was or is made or is threatened to be made a party to, or is otherwise involved in, as a witness or otherwise, any threatened, pending or completed action, suit or proceeding (brought in the right of the Company or otherwise), whether civil, criminal, administrative, regulatory or investigative and whether formal or informal, including appeals, by reason of the fact that Indemnitee is or was or has agreed to serve as a director and/or executive officer of the Company, or, while serving in such capacity,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in any such capacity, in each case whether or not serving in such capacity at the time any liability or expense is incurred for which indemnification, reimbursement or advancement of expenses can be provided under this Agreement.</w:t>
      </w:r>
    </w:p>
    <w:p>
      <w:pPr>
        <w:spacing w:after="0" w:line="199" w:lineRule="exact"/>
        <w:rPr>
          <w:rFonts w:ascii="Times New Roman" w:cs="Times New Roman" w:eastAsia="Times New Roman" w:hAnsi="Times New Roman"/>
          <w:sz w:val="19"/>
          <w:szCs w:val="19"/>
          <w:color w:val="auto"/>
        </w:rPr>
      </w:pPr>
    </w:p>
    <w:p>
      <w:pPr>
        <w:ind w:firstLine="4"/>
        <w:spacing w:after="0" w:line="253" w:lineRule="auto"/>
        <w:tabs>
          <w:tab w:leader="none" w:pos="27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indemnification provided by this Section 1 shall be from and against all loss and liability suffered and expenses (including attorneys’ fees), judgments, fines and amounts paid in settlement actually and reasonably incurred by or on behalf of Indemnitee in connection with such action, suit or proceeding, including any appeals.</w:t>
      </w:r>
    </w:p>
    <w:p>
      <w:pPr>
        <w:spacing w:after="0" w:line="190" w:lineRule="exact"/>
        <w:rPr>
          <w:rFonts w:ascii="Times New Roman" w:cs="Times New Roman" w:eastAsia="Times New Roman" w:hAnsi="Times New Roman"/>
          <w:sz w:val="19"/>
          <w:szCs w:val="19"/>
          <w:color w:val="auto"/>
        </w:rPr>
      </w:pPr>
    </w:p>
    <w:p>
      <w:pPr>
        <w:jc w:val="both"/>
        <w:ind w:right="120" w:firstLine="1254"/>
        <w:spacing w:after="0" w:line="247" w:lineRule="auto"/>
        <w:tabs>
          <w:tab w:leader="none" w:pos="151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Indemnitee is entitled under any provision of this Agreement to indemnification by the Company for a portion of any expenses, losses, liabilities, judgments, fines and amounts paid in settlement incurred by Indemnitee, but not for the total amount thereof, the Company shall nevertheless indemnify Indemnitee for such portion.</w:t>
      </w:r>
    </w:p>
    <w:p>
      <w:pPr>
        <w:sectPr>
          <w:pgSz w:w="11900" w:h="16838" w:orient="portrait"/>
          <w:cols w:equalWidth="0" w:num="1">
            <w:col w:w="11240"/>
          </w:cols>
          <w:pgMar w:left="320" w:top="35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u w:val="single" w:color="auto"/>
          <w:color w:val="auto"/>
        </w:rPr>
        <w:t>Advance Payment of Expenses</w:t>
      </w:r>
      <w:r>
        <w:rPr>
          <w:rFonts w:ascii="Times New Roman" w:cs="Times New Roman" w:eastAsia="Times New Roman" w:hAnsi="Times New Roman"/>
          <w:sz w:val="19"/>
          <w:szCs w:val="19"/>
          <w:color w:val="auto"/>
        </w:rPr>
        <w:t>. To the fullest extent permitted by the DGCL, expenses (including attorneys’ fees)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Indemnitee in appearing at, participating in or defending any action, suit or proceeding or in connection with an enforcement action as contemplated by Section 3(e), shall be paid by the Company in advance of the final disposition of such action, suit or proceeding within 30 days after receipt by the Company of a statement or statements from Indemnitee requesting such advance or advances (including any invoices received by Indemnitee, which invoices may be redacted as necessary to avoid the waiver of any privilege accorded by applicable law) from time to time. The Indemnitee hereby undertakes to repay any amounts advanced (without interest) to the extent that it is ultimately determined that Indemnitee is not entitled under this Agreement to be indemnified by the Company in respect thereof. Such repayment obligation shall be unsecured and shall not bear interest. The Company shall not impose on Indemnitee additional conditions to advancement or require from Indemnitee additional undertakings regarding repayment other than the execution of this Agreement. The Company agrees that for the purposes of any advancement of expenses for which Indemnitee has made a written demand in accordance with this Agreement, all expenses included in such demand that are certified by affidavit of Indemnitee’s counsel as being reasonable shall be presumed conclusively to be reasonable. This Section 2 shall be subject to Section 3(b) and shall not apply to any claim made by Indemnitee for which indemnity is excluded pursuant to Section 6 and Section 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u w:val="single" w:color="auto"/>
          <w:color w:val="auto"/>
        </w:rPr>
        <w:t>Procedure for Indemnification; Notification and Defense of Claim</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ind w:right="40" w:firstLine="4"/>
        <w:spacing w:after="0" w:line="246" w:lineRule="auto"/>
        <w:tabs>
          <w:tab w:leader="none" w:pos="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203" w:lineRule="exact"/>
        <w:rPr>
          <w:rFonts w:ascii="Times New Roman" w:cs="Times New Roman" w:eastAsia="Times New Roman" w:hAnsi="Times New Roman"/>
          <w:sz w:val="19"/>
          <w:szCs w:val="19"/>
          <w:color w:val="auto"/>
        </w:rPr>
      </w:pPr>
    </w:p>
    <w:p>
      <w:pPr>
        <w:ind w:right="20" w:firstLine="4"/>
        <w:spacing w:after="0" w:line="245" w:lineRule="auto"/>
        <w:tabs>
          <w:tab w:leader="none" w:pos="27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203" w:lineRule="exact"/>
        <w:rPr>
          <w:rFonts w:ascii="Times New Roman" w:cs="Times New Roman" w:eastAsia="Times New Roman" w:hAnsi="Times New Roman"/>
          <w:sz w:val="19"/>
          <w:szCs w:val="19"/>
          <w:color w:val="auto"/>
        </w:rPr>
      </w:pPr>
    </w:p>
    <w:p>
      <w:pPr>
        <w:ind w:right="260" w:firstLine="4"/>
        <w:spacing w:after="0" w:line="277" w:lineRule="auto"/>
        <w:tabs>
          <w:tab w:leader="none" w:pos="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the DGCL, the Company’s assumption of the defense of an action, suit or proceeding in accordance with paragraph 3(b) will constitute an irrevocable acknowledgement by the Company that any loss and liability suffered by Indemnitee and expenses</w:t>
      </w:r>
    </w:p>
    <w:p>
      <w:pPr>
        <w:sectPr>
          <w:pgSz w:w="11900" w:h="16838" w:orient="portrait"/>
          <w:cols w:equalWidth="0" w:num="1">
            <w:col w:w="11240"/>
          </w:cols>
          <w:pgMar w:left="320" w:top="35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(including attorneys’ fees), judgments, fines and amounts paid in settlement by or for the account of Indemnitee incurred in connection therewith are indemnifiable by the Company under Section 1 of this Agreement.</w:t>
      </w:r>
    </w:p>
    <w:p>
      <w:pPr>
        <w:spacing w:after="0" w:line="185" w:lineRule="exact"/>
        <w:rPr>
          <w:sz w:val="20"/>
          <w:szCs w:val="20"/>
          <w:color w:val="auto"/>
        </w:rPr>
      </w:pPr>
    </w:p>
    <w:p>
      <w:pPr>
        <w:ind w:right="40" w:firstLine="4"/>
        <w:spacing w:after="0" w:line="243" w:lineRule="auto"/>
        <w:tabs>
          <w:tab w:leader="none" w:pos="27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whether to grant Indemnitee’s indemnification request shall be made promptly and in any event within 30 days following the Company’s receipt of a request for indemnification in accordance with Section 3(a). If the Company determines that Indemnitee is entitled to such indemnification or, as contemplated by paragraph 3(c) the Company has acknowledged such entitlement, the Company will make payment to Indemnitee of the indemnifiable amount within such 30 day period. If the Company is not deemed to have so acknowledged such entitlement or the Company’s determination of whether to grant Indemnitee’s indemnification request shall not have been made within such 30 day period, the requisite determination of entitlement to indemnification shall, subject to Section 6,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210" w:lineRule="exact"/>
        <w:rPr>
          <w:rFonts w:ascii="Times New Roman" w:cs="Times New Roman" w:eastAsia="Times New Roman" w:hAnsi="Times New Roman"/>
          <w:sz w:val="19"/>
          <w:szCs w:val="19"/>
          <w:color w:val="auto"/>
        </w:rPr>
      </w:pPr>
    </w:p>
    <w:p>
      <w:pPr>
        <w:ind w:right="40" w:firstLine="4"/>
        <w:spacing w:after="0"/>
        <w:tabs>
          <w:tab w:leader="none" w:pos="2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(i) the Company determines in accordance with this Section 3 that Indemnitee is not entitled to indemnification, in whole or in part, under this Agreement, (ii) the Company fails to respond or make a determination of entitlement to indemnification within 30 days following receipt of a request for indemnification as described above, (iii) payment of indemnification is not made within such 30 day period, (iv) advancement of expenses is not timely made in accordance with Section 2, 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198" w:lineRule="exact"/>
        <w:rPr>
          <w:rFonts w:ascii="Times New Roman" w:cs="Times New Roman" w:eastAsia="Times New Roman" w:hAnsi="Times New Roman"/>
          <w:sz w:val="19"/>
          <w:szCs w:val="19"/>
          <w:color w:val="auto"/>
        </w:rPr>
      </w:pPr>
    </w:p>
    <w:p>
      <w:pPr>
        <w:ind w:right="140" w:firstLine="4"/>
        <w:spacing w:after="0" w:line="254" w:lineRule="auto"/>
        <w:tabs>
          <w:tab w:leader="none" w:pos="23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Indemnitee shall be presumed to be entitled to indemnification and advancement of expenses under this Agreement upon submission of a request therefor in accordance with Section 2 or Section 3 of this Agreement,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b w:val="1"/>
          <w:bCs w:val="1"/>
          <w:u w:val="single" w:color="auto"/>
          <w:color w:val="auto"/>
        </w:rPr>
        <w:t>Insurance and Subrogation</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ind w:right="40" w:firstLine="4"/>
        <w:spacing w:after="0"/>
        <w:tabs>
          <w:tab w:leader="none" w:pos="2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use its reasonable best efforts to purchase and maintain a policy or policies of insurance with reputable insurance companies with A.M. Best ratings of “A” or better (or, if A.M. Best does not rate the insurance company, an equivalent rating by an equivalent licensed insurance rating organization or agency), providing Indemnitee with coverage for any liability asserted against, and incurred by, Indemnitee or on Indemnitee’s behalf by reason of the fact that Indemnitee is or was or has agreed to serve as a director and/or executive officer of the Company, or, while serving in such capacity,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Indemnitee’s status as such, whether or not the Company would have the power to indemnify Indemnitee against such liability under the provisions of this</w:t>
      </w:r>
    </w:p>
    <w:p>
      <w:pPr>
        <w:sectPr>
          <w:pgSz w:w="11900" w:h="16838" w:orient="portrait"/>
          <w:cols w:equalWidth="0" w:num="1">
            <w:col w:w="11240"/>
          </w:cols>
          <w:pgMar w:left="320" w:top="35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Agreement. Such insurance policies shall have coverage terms and policy limits at least as favorable to Indemnitee as the insurance coverage provided to any other director or officer of the Company. Notwithstanding the foregoing, the Company shall have no obligation to obtain or maintain such insurance if the Company determines in good faith that such insurance is not reasonably available, if the premium costs for such insurance are disproportionate to the amount of the coverage provided, or if the coverage provided by such insurance is limited by exclusions so as to provide an insufficient benefit, or if the Company otherwise determines in good faith that obtaining or maintaining such insurance is not in the</w:t>
      </w:r>
    </w:p>
    <w:p>
      <w:pPr>
        <w:spacing w:after="0" w:line="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best interests of the Company. If the Company has such insurance in effect at the time the Company receives from Indemnitee any notice of the commencement of an action, suit or proceeding, the Company shall give prompt notice of the commencement of such action, suit or proceeding to</w:t>
      </w:r>
    </w:p>
    <w:p>
      <w:pPr>
        <w:ind w:right="140"/>
        <w:spacing w:after="0" w:line="260" w:lineRule="auto"/>
        <w:rPr>
          <w:sz w:val="20"/>
          <w:szCs w:val="20"/>
          <w:color w:val="auto"/>
        </w:rPr>
      </w:pPr>
      <w:r>
        <w:rPr>
          <w:rFonts w:ascii="Times New Roman" w:cs="Times New Roman" w:eastAsia="Times New Roman" w:hAnsi="Times New Roman"/>
          <w:sz w:val="19"/>
          <w:szCs w:val="19"/>
          <w:color w:val="auto"/>
        </w:rPr>
        <w:t>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75" w:lineRule="exact"/>
        <w:rPr>
          <w:sz w:val="20"/>
          <w:szCs w:val="20"/>
          <w:color w:val="auto"/>
        </w:rPr>
      </w:pPr>
    </w:p>
    <w:p>
      <w:pPr>
        <w:ind w:firstLine="4"/>
        <w:spacing w:after="0" w:line="248" w:lineRule="auto"/>
        <w:tabs>
          <w:tab w:leader="none" w:pos="27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payment by the Company under this Agreement, the Company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99" w:lineRule="exact"/>
        <w:rPr>
          <w:rFonts w:ascii="Times New Roman" w:cs="Times New Roman" w:eastAsia="Times New Roman" w:hAnsi="Times New Roman"/>
          <w:sz w:val="19"/>
          <w:szCs w:val="19"/>
          <w:color w:val="auto"/>
        </w:rPr>
      </w:pPr>
    </w:p>
    <w:p>
      <w:pPr>
        <w:ind w:right="20" w:firstLine="4"/>
        <w:spacing w:after="0" w:line="253" w:lineRule="auto"/>
        <w:tabs>
          <w:tab w:leader="none" w:pos="26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liable under this Agreement to make any payment of amounts otherwise indemnifiable hereunder (including, but not limited to, judgments, fines and amounts paid in settlement) if and to the extent that Indemnitee has otherwise actually received such payment under this Agreement or any insurance policy, contract, agreement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For purposes of this Agreement, the following definitions shall apply:</w:t>
      </w:r>
    </w:p>
    <w:p>
      <w:pPr>
        <w:spacing w:after="0" w:line="227" w:lineRule="exact"/>
        <w:rPr>
          <w:sz w:val="20"/>
          <w:szCs w:val="20"/>
          <w:color w:val="auto"/>
        </w:rPr>
      </w:pPr>
    </w:p>
    <w:p>
      <w:pPr>
        <w:ind w:firstLine="4"/>
        <w:spacing w:after="0" w:line="258" w:lineRule="auto"/>
        <w:tabs>
          <w:tab w:leader="none" w:pos="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20"/>
          <w:szCs w:val="20"/>
          <w:b w:val="1"/>
          <w:bCs w:val="1"/>
          <w:u w:val="single" w:color="auto"/>
          <w:color w:val="auto"/>
        </w:rPr>
        <w:t>action, suit or proceeding</w:t>
      </w:r>
      <w:r>
        <w:rPr>
          <w:rFonts w:ascii="Times New Roman" w:cs="Times New Roman" w:eastAsia="Times New Roman" w:hAnsi="Times New Roman"/>
          <w:sz w:val="19"/>
          <w:szCs w:val="19"/>
          <w:color w:val="auto"/>
        </w:rPr>
        <w:t>” shall be broadly construed and shall include, without limitation, the investigation, preparation, prosecution, defense, settlement, arbitration and appeal of, and the giving of testimony in, any threatened, pending or completed claim, action, suit, arbitration, alternative dispute mechanism or proceeding, whether civil, criminal, administrative or investigative.</w:t>
      </w:r>
    </w:p>
    <w:p>
      <w:pPr>
        <w:spacing w:after="0" w:line="181" w:lineRule="exact"/>
        <w:rPr>
          <w:rFonts w:ascii="Times New Roman" w:cs="Times New Roman" w:eastAsia="Times New Roman" w:hAnsi="Times New Roman"/>
          <w:sz w:val="19"/>
          <w:szCs w:val="19"/>
          <w:color w:val="auto"/>
        </w:rPr>
      </w:pPr>
    </w:p>
    <w:p>
      <w:pPr>
        <w:ind w:left="280" w:hanging="276"/>
        <w:spacing w:after="0"/>
        <w:tabs>
          <w:tab w:leader="none" w:pos="2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20"/>
          <w:szCs w:val="20"/>
          <w:b w:val="1"/>
          <w:bCs w:val="1"/>
          <w:u w:val="single" w:color="auto"/>
          <w:color w:val="auto"/>
        </w:rPr>
        <w:t>by reason of the fact that Indemnitee is or was or has agreed to serve as a director and/or [executive] officer of the</w:t>
      </w:r>
    </w:p>
    <w:p>
      <w:pPr>
        <w:spacing w:after="0" w:line="32" w:lineRule="exact"/>
        <w:rPr>
          <w:rFonts w:ascii="Times New Roman" w:cs="Times New Roman" w:eastAsia="Times New Roman" w:hAnsi="Times New Roman"/>
          <w:sz w:val="19"/>
          <w:szCs w:val="19"/>
          <w:color w:val="auto"/>
        </w:rPr>
      </w:pPr>
    </w:p>
    <w:p>
      <w:pPr>
        <w:ind w:right="260"/>
        <w:spacing w:after="0" w:line="23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Company, or, while serving in such capacity,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w:t>
      </w:r>
      <w:r>
        <w:rPr>
          <w:rFonts w:ascii="Times New Roman" w:cs="Times New Roman" w:eastAsia="Times New Roman" w:hAnsi="Times New Roman"/>
          <w:sz w:val="19"/>
          <w:szCs w:val="19"/>
          <w:color w:val="auto"/>
        </w:rPr>
        <w:t>” shall be broadly construed and shall include, without limitation, any actual or alleged act or omission to act.</w:t>
      </w:r>
    </w:p>
    <w:p>
      <w:pPr>
        <w:spacing w:after="0" w:line="193" w:lineRule="exact"/>
        <w:rPr>
          <w:rFonts w:ascii="Times New Roman" w:cs="Times New Roman" w:eastAsia="Times New Roman" w:hAnsi="Times New Roman"/>
          <w:sz w:val="19"/>
          <w:szCs w:val="19"/>
          <w:color w:val="auto"/>
        </w:rPr>
      </w:pPr>
    </w:p>
    <w:p>
      <w:pPr>
        <w:ind w:right="80" w:firstLine="4"/>
        <w:spacing w:after="0" w:line="247" w:lineRule="auto"/>
        <w:tabs>
          <w:tab w:leader="none" w:pos="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19"/>
          <w:szCs w:val="19"/>
          <w:color w:val="auto"/>
        </w:rPr>
        <w:t>” shall be broadly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ectPr>
          <w:pgSz w:w="11900" w:h="16838" w:orient="portrait"/>
          <w:cols w:equalWidth="0" w:num="1">
            <w:col w:w="11240"/>
          </w:cols>
          <w:pgMar w:left="320" w:top="35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20" w:firstLine="4"/>
        <w:spacing w:after="0" w:line="258" w:lineRule="auto"/>
        <w:tabs>
          <w:tab w:leader="none" w:pos="2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20"/>
          <w:szCs w:val="20"/>
          <w:b w:val="1"/>
          <w:bCs w:val="1"/>
          <w:u w:val="single" w:color="auto"/>
          <w:color w:val="auto"/>
        </w:rPr>
        <w:t>judgments, fines and amounts paid in settlement</w:t>
      </w:r>
      <w:r>
        <w:rPr>
          <w:rFonts w:ascii="Times New Roman" w:cs="Times New Roman" w:eastAsia="Times New Roman" w:hAnsi="Times New Roman"/>
          <w:sz w:val="19"/>
          <w:szCs w:val="19"/>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8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b w:val="1"/>
          <w:bCs w:val="1"/>
          <w:u w:val="single" w:color="auto"/>
          <w:color w:val="auto"/>
        </w:rPr>
        <w:t>Limitation on Indemnification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Notwithstanding any other provision herein to the contrary, the Company shall not be obligated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pursuant to this Agreement:</w:t>
      </w:r>
    </w:p>
    <w:p>
      <w:pPr>
        <w:spacing w:after="0" w:line="178" w:lineRule="exact"/>
        <w:rPr>
          <w:sz w:val="20"/>
          <w:szCs w:val="20"/>
          <w:color w:val="auto"/>
        </w:rPr>
      </w:pPr>
    </w:p>
    <w:p>
      <w:pPr>
        <w:ind w:right="40" w:firstLine="4"/>
        <w:spacing w:after="0" w:line="241" w:lineRule="auto"/>
        <w:tabs>
          <w:tab w:leader="none" w:pos="25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Claims Initiated by Indemnitee</w:t>
      </w:r>
      <w:r>
        <w:rPr>
          <w:rFonts w:ascii="Times New Roman" w:cs="Times New Roman" w:eastAsia="Times New Roman" w:hAnsi="Times New Roman"/>
          <w:sz w:val="19"/>
          <w:szCs w:val="19"/>
          <w:color w:val="auto"/>
        </w:rPr>
        <w:t>. To indemnify or advance expenses to Indemnitee with respect to an action, suit or proceeding (or part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thereof) initiated by Indemnitee, except with respect to an action, suit or proceeding brought to establish or enforce a right to indemnification or advancement of expenses under this Agreement (which shall be governed by the provisions of Section 6(b) of this Agreement), unless such action, suit or proceeding (or part thereof) was authorized or consented to by the Board of Directors of the Company (the “</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19"/>
          <w:szCs w:val="19"/>
          <w:color w:val="auto"/>
        </w:rPr>
        <w:t>”).</w:t>
      </w:r>
    </w:p>
    <w:p>
      <w:pPr>
        <w:spacing w:after="0" w:line="197" w:lineRule="exact"/>
        <w:rPr>
          <w:rFonts w:ascii="Times New Roman" w:cs="Times New Roman" w:eastAsia="Times New Roman" w:hAnsi="Times New Roman"/>
          <w:sz w:val="19"/>
          <w:szCs w:val="19"/>
          <w:color w:val="auto"/>
        </w:rPr>
      </w:pPr>
    </w:p>
    <w:p>
      <w:pPr>
        <w:ind w:firstLine="4"/>
        <w:spacing w:after="0" w:line="236" w:lineRule="auto"/>
        <w:tabs>
          <w:tab w:leader="none" w:pos="27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Action for Indemnification</w:t>
      </w:r>
      <w:r>
        <w:rPr>
          <w:rFonts w:ascii="Times New Roman" w:cs="Times New Roman" w:eastAsia="Times New Roman" w:hAnsi="Times New Roman"/>
          <w:sz w:val="19"/>
          <w:szCs w:val="19"/>
          <w:color w:val="auto"/>
        </w:rPr>
        <w:t>. To indemnify Indemnitee for any expenses incurred by Indemnitee with respect to any action, suit or 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to the fullest extent permitted by the DGCL), or unless and to the extent that the court in such action, suit or proceeding shall determine that, despite Indemnitee’s failure to establish their right to indemnification, Indemnitee is entitled to indemnification for such expenses; provided, however, that nothing in this Section 6(b) is intended to limit the Company’s obligations with respect to the advancement of expenses to Indemnitee in connection with any such action, suit or proceeding instituted by Indemnitee to enforce or interpret this Agreement, as provided in Section 2 hereof.</w:t>
      </w:r>
    </w:p>
    <w:p>
      <w:pPr>
        <w:spacing w:after="0" w:line="202" w:lineRule="exact"/>
        <w:rPr>
          <w:rFonts w:ascii="Times New Roman" w:cs="Times New Roman" w:eastAsia="Times New Roman" w:hAnsi="Times New Roman"/>
          <w:sz w:val="19"/>
          <w:szCs w:val="19"/>
          <w:color w:val="auto"/>
        </w:rPr>
      </w:pPr>
    </w:p>
    <w:p>
      <w:pPr>
        <w:ind w:right="40" w:firstLine="1241"/>
        <w:spacing w:after="0" w:line="235" w:lineRule="auto"/>
        <w:tabs>
          <w:tab w:leader="none" w:pos="14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Certain Exchange Act Claims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To indemnify Indemnitee in connection with any action, suit or proceeding made against Indemnitee for (i) an accounting of profits made from the purchase and sale (or sale and purchase) by Indemnitee of securities of the Company within the meaning of Section 16(b) of the Securities Exchange Act of 1934, as amended (the “</w:t>
      </w:r>
      <w:r>
        <w:rPr>
          <w:rFonts w:ascii="Times New Roman" w:cs="Times New Roman" w:eastAsia="Times New Roman" w:hAnsi="Times New Roman"/>
          <w:sz w:val="21"/>
          <w:szCs w:val="21"/>
          <w:b w:val="1"/>
          <w:bCs w:val="1"/>
          <w:u w:val="single" w:color="auto"/>
          <w:color w:val="auto"/>
        </w:rPr>
        <w:t>Exchange Act</w:t>
      </w:r>
      <w:r>
        <w:rPr>
          <w:rFonts w:ascii="Times New Roman" w:cs="Times New Roman" w:eastAsia="Times New Roman" w:hAnsi="Times New Roman"/>
          <w:sz w:val="21"/>
          <w:szCs w:val="21"/>
          <w:color w:val="auto"/>
        </w:rPr>
        <w: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21"/>
          <w:szCs w:val="21"/>
          <w:b w:val="1"/>
          <w:bCs w:val="1"/>
          <w:u w:val="single" w:color="auto"/>
          <w:color w:val="auto"/>
        </w:rPr>
        <w:t>Sarbanes-Oxley Act</w:t>
      </w:r>
      <w:r>
        <w:rPr>
          <w:rFonts w:ascii="Times New Roman" w:cs="Times New Roman" w:eastAsia="Times New Roman" w:hAnsi="Times New Roman"/>
          <w:sz w:val="21"/>
          <w:szCs w:val="21"/>
          <w:color w:val="auto"/>
          <w:highlight w:val="white"/>
        </w:rPr>
        <w:t>”), or the payment</w:t>
      </w:r>
      <w:r>
        <w:rPr>
          <w:rFonts w:ascii="Times New Roman" w:cs="Times New Roman" w:eastAsia="Times New Roman" w:hAnsi="Times New Roman"/>
          <w:sz w:val="21"/>
          <w:szCs w:val="21"/>
          <w:color w:val="auto"/>
        </w:rPr>
        <w:t xml:space="preserve">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99" w:lineRule="exact"/>
        <w:rPr>
          <w:rFonts w:ascii="Times New Roman" w:cs="Times New Roman" w:eastAsia="Times New Roman" w:hAnsi="Times New Roman"/>
          <w:sz w:val="19"/>
          <w:szCs w:val="19"/>
          <w:color w:val="auto"/>
        </w:rPr>
      </w:pPr>
    </w:p>
    <w:p>
      <w:pPr>
        <w:jc w:val="both"/>
        <w:ind w:right="140" w:firstLine="1241"/>
        <w:spacing w:after="0" w:line="236" w:lineRule="auto"/>
        <w:tabs>
          <w:tab w:leader="none" w:pos="1508"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Fraud or Willful Misconduct</w:t>
      </w:r>
      <w:r>
        <w:rPr>
          <w:rFonts w:ascii="Times New Roman" w:cs="Times New Roman" w:eastAsia="Times New Roman" w:hAnsi="Times New Roman"/>
          <w:sz w:val="19"/>
          <w:szCs w:val="19"/>
          <w:color w:val="auto"/>
        </w:rPr>
        <w:t>. To indemnify Indemnitee on account of conduct by Indemnitee where such conduct has been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ectPr>
          <w:pgSz w:w="11900" w:h="16838" w:orient="portrait"/>
          <w:cols w:equalWidth="0" w:num="1">
            <w:col w:w="11240"/>
          </w:cols>
          <w:pgMar w:left="320" w:top="35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1241"/>
        <w:spacing w:after="0" w:line="239" w:lineRule="auto"/>
        <w:tabs>
          <w:tab w:leader="none" w:pos="149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Prohibited by Law</w:t>
      </w:r>
      <w:r>
        <w:rPr>
          <w:rFonts w:ascii="Times New Roman" w:cs="Times New Roman" w:eastAsia="Times New Roman" w:hAnsi="Times New Roman"/>
          <w:sz w:val="19"/>
          <w:szCs w:val="19"/>
          <w:color w:val="auto"/>
        </w:rPr>
        <w:t>. To indemnify Indemnitee in any circumstance where such indemnification has been determined by a final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 interlocutory)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 xml:space="preserve">Section 7. </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19"/>
          <w:szCs w:val="19"/>
          <w:b w:val="1"/>
          <w:bCs w:val="1"/>
          <w:color w:val="auto"/>
        </w:rPr>
        <w:t>.</w:t>
      </w:r>
    </w:p>
    <w:p>
      <w:pPr>
        <w:spacing w:after="0" w:line="247" w:lineRule="exact"/>
        <w:rPr>
          <w:sz w:val="20"/>
          <w:szCs w:val="20"/>
          <w:color w:val="auto"/>
        </w:rPr>
      </w:pPr>
    </w:p>
    <w:p>
      <w:pPr>
        <w:ind w:right="40" w:firstLine="4"/>
        <w:spacing w:after="0" w:line="244" w:lineRule="auto"/>
        <w:tabs>
          <w:tab w:leader="none" w:pos="2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agrees that if there is a change in control of the Company, then with respect to all matters thereafter arising concerning the rights of Indemnitee to indemnification and advancement of expenses under this Agreement, any other agreement or the Company’s certificate of incorporation or by-laws now or hereafter in effect, the Company shall seek legal advice only from independent counsel selected by Indemnitee and approved by the Company (which approval shall not be unreasonably withheld). In addition, upon written request by Indemnitee for indemnification pursuant to Section 3(a), a determination, if required by the DGCL, with respect to Indemnitee's entitlement thereto shall be made by such independent counsel in a written opinion to the Board of Directors of the Company, a copy of which shall be delivered to Indemnitee. The Company agrees to pay the reasonable fees of the independent counsel referred to above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9"/>
          <w:szCs w:val="19"/>
          <w:color w:val="auto"/>
        </w:rPr>
        <w:t>and to indemnify fully such counsel against any and all expenses (including attorney’s fees), claims, liabilities and damages arising out of or relating to this Agreement or its engagement pursuant hereto.</w:t>
      </w:r>
    </w:p>
    <w:p>
      <w:pPr>
        <w:spacing w:after="0" w:line="190" w:lineRule="exact"/>
        <w:rPr>
          <w:rFonts w:ascii="Times New Roman" w:cs="Times New Roman" w:eastAsia="Times New Roman" w:hAnsi="Times New Roman"/>
          <w:sz w:val="19"/>
          <w:szCs w:val="19"/>
          <w:color w:val="auto"/>
        </w:rPr>
      </w:pPr>
    </w:p>
    <w:p>
      <w:pPr>
        <w:ind w:left="280" w:hanging="276"/>
        <w:spacing w:after="0"/>
        <w:tabs>
          <w:tab w:leader="none" w:pos="2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7, the following definitions shall apply:</w:t>
      </w:r>
    </w:p>
    <w:p>
      <w:pPr>
        <w:spacing w:after="0" w:line="229" w:lineRule="exact"/>
        <w:rPr>
          <w:sz w:val="20"/>
          <w:szCs w:val="20"/>
          <w:color w:val="auto"/>
        </w:rPr>
      </w:pPr>
    </w:p>
    <w:p>
      <w:pPr>
        <w:ind w:firstLine="4"/>
        <w:spacing w:after="0" w:line="238" w:lineRule="auto"/>
        <w:tabs>
          <w:tab w:leader="none" w:pos="22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19"/>
          <w:szCs w:val="19"/>
          <w:color w:val="auto"/>
        </w:rPr>
        <w:t>” shall be deemed to occur upon the earliest to occur after the date of this Agreement of any of the following: (A) any person (as defined below) becomes the beneficial owner (as defined below), directly or indirectly, of securities of the Company representing fifty percent (50%) or more of the combined voting power of the Company's then outstanding securities, (B) during any period of two (2) consecutive years (not including any period prior to the execution of this Agreement), individuals who at the beginning of such period constitute the Board of Directors of the Company, and any new director (other than a director designated by a person who has entered into an agreement with the Company to effect a transaction described in Sections 7(b)(i)(A), 7(b)(i)(C) or 7(b)(i)(D) or a director whose initial nomination for, or assumption of office as, a member of the Board of Directors of the Company occurs as a result of an actual or threatened solicitation of proxies or consents for the election or removal of one or more directors by any person or group other than a solicitation for the election of one or more directors by or on behalf of the Board of Directors of the Company) whose election by the Board of the Directors of the Company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of Directors of the Company, (C)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at least 50% of the combined voting power of the voting securities of the surviving entity outstanding immediately after such merger or consolidation and with the power to elect at least a majority of the board of directors or other governing body of such surviving entity, and (D) the approval by the stockholders of the Company of a complete liquidation of the Company or an agreement for the sale or disposition by the Company of all or substantially all of the Company's assets, and (E) there occurs any other event of a nature that would be required to be reported in response to Item 6(e) of Schedule 14A of Regulation 14A</w:t>
      </w:r>
    </w:p>
    <w:p>
      <w:pPr>
        <w:sectPr>
          <w:pgSz w:w="11900" w:h="16838" w:orient="portrait"/>
          <w:cols w:equalWidth="0" w:num="1">
            <w:col w:w="11240"/>
          </w:cols>
          <w:pgMar w:left="320" w:top="35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9"/>
          <w:szCs w:val="19"/>
          <w:color w:val="auto"/>
        </w:rPr>
        <w:t>(or a response to any similar item on any similar schedule or form) promulgated under the Exchange Act (as defined below), whether or not the Company is then subject to such reporting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purposes of Section 7(b)(i), the following terms shall have the following meanings: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19"/>
          <w:szCs w:val="19"/>
          <w:color w:val="auto"/>
        </w:rPr>
        <w:t>” shall mean the Securities Exchange Act of 1934, as amended from time to time.</w:t>
      </w:r>
    </w:p>
    <w:p>
      <w:pPr>
        <w:spacing w:after="0" w:line="239" w:lineRule="exact"/>
        <w:rPr>
          <w:sz w:val="20"/>
          <w:szCs w:val="20"/>
          <w:color w:val="auto"/>
        </w:rPr>
      </w:pPr>
    </w:p>
    <w:p>
      <w:pPr>
        <w:ind w:left="320" w:hanging="316"/>
        <w:spacing w:after="0"/>
        <w:tabs>
          <w:tab w:leader="none" w:pos="3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19"/>
          <w:szCs w:val="19"/>
          <w:color w:val="auto"/>
        </w:rPr>
        <w:t>” shall have the meaning as set forth in Sections 13(d) and 14(d) of the Exchange Act; provided, however, that person shall exclude</w:t>
      </w:r>
    </w:p>
    <w:p>
      <w:pPr>
        <w:spacing w:after="0" w:line="34" w:lineRule="exact"/>
        <w:rPr>
          <w:rFonts w:ascii="Times New Roman" w:cs="Times New Roman" w:eastAsia="Times New Roman" w:hAnsi="Times New Roman"/>
          <w:sz w:val="19"/>
          <w:szCs w:val="19"/>
          <w:color w:val="auto"/>
        </w:rPr>
      </w:pPr>
    </w:p>
    <w:p>
      <w:pPr>
        <w:ind w:right="38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Company, (b) any trustee or other fiduciary holding securities under an employee benefit plan of the Company, and (c) any corporation owned, directly or indirectly, by the stockholders of the Company in substantially the same proportions as their ownership of stock of the Company.</w:t>
      </w:r>
    </w:p>
    <w:p>
      <w:pPr>
        <w:spacing w:after="0" w:line="184" w:lineRule="exact"/>
        <w:rPr>
          <w:sz w:val="20"/>
          <w:szCs w:val="20"/>
          <w:color w:val="auto"/>
        </w:rPr>
      </w:pPr>
    </w:p>
    <w:p>
      <w:pPr>
        <w:ind w:right="200" w:firstLine="4"/>
        <w:spacing w:after="0" w:line="267" w:lineRule="auto"/>
        <w:tabs>
          <w:tab w:leader="none" w:pos="37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u w:val="single" w:color="auto"/>
          <w:color w:val="auto"/>
        </w:rPr>
        <w:t>beneficial owner</w:t>
      </w:r>
      <w:r>
        <w:rPr>
          <w:rFonts w:ascii="Times New Roman" w:cs="Times New Roman" w:eastAsia="Times New Roman" w:hAnsi="Times New Roman"/>
          <w:sz w:val="19"/>
          <w:szCs w:val="19"/>
          <w:color w:val="auto"/>
        </w:rPr>
        <w:t>”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right="80" w:firstLine="4"/>
        <w:spacing w:after="0" w:line="258" w:lineRule="auto"/>
        <w:tabs>
          <w:tab w:leader="none" w:pos="28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20"/>
          <w:szCs w:val="20"/>
          <w:b w:val="1"/>
          <w:bCs w:val="1"/>
          <w:u w:val="single" w:color="auto"/>
          <w:color w:val="auto"/>
        </w:rPr>
        <w:t>independent counsel</w:t>
      </w:r>
      <w:r>
        <w:rPr>
          <w:rFonts w:ascii="Times New Roman" w:cs="Times New Roman" w:eastAsia="Times New Roman" w:hAnsi="Times New Roman"/>
          <w:sz w:val="19"/>
          <w:szCs w:val="19"/>
          <w:color w:val="auto"/>
        </w:rPr>
        <w:t>” means a law firm, or a member of a law firm, that is experienced in matters of corporation law and neither presently is, nor in the past five years has been, retained to represent: (A) the Company or Indemnitee in any matter material to either such party, or (B) any other party to the action, suit or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Establishment of Trust</w:t>
      </w:r>
      <w:r>
        <w:rPr>
          <w:rFonts w:ascii="Times New Roman" w:cs="Times New Roman" w:eastAsia="Times New Roman" w:hAnsi="Times New Roman"/>
          <w:sz w:val="21"/>
          <w:szCs w:val="21"/>
          <w:b w:val="1"/>
          <w:bCs w:val="1"/>
          <w:color w:val="auto"/>
        </w:rPr>
        <w:t>.</w:t>
      </w:r>
    </w:p>
    <w:p>
      <w:pPr>
        <w:spacing w:after="0" w:line="236" w:lineRule="exact"/>
        <w:rPr>
          <w:sz w:val="20"/>
          <w:szCs w:val="20"/>
          <w:color w:val="auto"/>
        </w:rPr>
      </w:pPr>
    </w:p>
    <w:p>
      <w:pPr>
        <w:ind w:right="20" w:firstLine="4"/>
        <w:spacing w:after="0"/>
        <w:tabs>
          <w:tab w:leader="none" w:pos="26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potential change in control, the Company shall, upon written request by Indemnitee, create a trust for the benefit of the Indemnitee and, from time to time upon written request of Indemnitee, shall fund such trust in an amount sufficient to satisfy any and all expenses reasonably anticipated at the time of each such request to be incurred in connection with investigating, preparing for and defending any action, suit or proceeding for which a right of indemnification has been granted pursuant to Section 1, and any and all judgments, fines and amounts paid in settlement of any and all actions, suits or proceedings for which a right of indemnification has been granted pursuant to Section 1, and from time to time actually paid or claimed, reasonably anticipated or proposed to be paid. The terms of the trust shall provide that upon a change in control</w:t>
      </w:r>
    </w:p>
    <w:p>
      <w:pPr>
        <w:ind w:left="240" w:hanging="236"/>
        <w:spacing w:after="0" w:line="228" w:lineRule="auto"/>
        <w:tabs>
          <w:tab w:leader="none" w:pos="2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 shall not be revoked or the principal thereof invaded, without the written consent of the Indemnitee, (ii) the trustee shall advance,</w:t>
      </w:r>
    </w:p>
    <w:p>
      <w:pPr>
        <w:ind w:right="12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30 days after receipt by of a request by the Indemnitee, any and all expenses to the Indemnitee for which funding has been provided (and the Indemnitee hereby agrees to reimburse the trust under the circumstances under which the Indemnitee would be required to reimburse the Company under Section 2),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any amounts deposited in the escrow which are no longer required for the purposes intended by this Section 8(a) shall be returned to the Company, provided however, that amounts shall only be deemed to no longer be</w:t>
      </w:r>
    </w:p>
    <w:p>
      <w:pPr>
        <w:sectPr>
          <w:pgSz w:w="11900" w:h="16838" w:orient="portrait"/>
          <w:cols w:equalWidth="0" w:num="1">
            <w:col w:w="11240"/>
          </w:cols>
          <w:pgMar w:left="320" w:top="35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9"/>
          <w:szCs w:val="19"/>
          <w:color w:val="auto"/>
        </w:rPr>
        <w:t>required when the action, suit or proceeding shall have been settled, or when it shall have been finally determined by a court of competent jurisdiction. Nothing in this Section 8(a) or the trust shall relieve the Company of any of its obligations under this Agreement.</w:t>
      </w:r>
    </w:p>
    <w:p>
      <w:pPr>
        <w:spacing w:after="0" w:line="186" w:lineRule="exact"/>
        <w:rPr>
          <w:sz w:val="20"/>
          <w:szCs w:val="20"/>
          <w:color w:val="auto"/>
        </w:rPr>
      </w:pPr>
    </w:p>
    <w:p>
      <w:pPr>
        <w:ind w:right="60" w:firstLine="4"/>
        <w:spacing w:after="0" w:line="244" w:lineRule="auto"/>
        <w:tabs>
          <w:tab w:leader="none" w:pos="27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to be deposited pursuant to Section 8(a) shall be determined by agreement between the Company and Indemnitee. If the Indemnitee and the Company cannot agree on the amounts to be deposited, then such amounts shall be determined by the Company’s independent accountants, or, if such determination would compromise such accountants’ independence, another nationally recognized accounting firm, considering the amount which such accountants believe the Company would reserve pursuant to generally accepted accounting principles to cover such liability assuming (i) an unfavorable outcome in such action, suit or proceeding and (ii) that the Company were obligated to pay the full cost of any liability resulting from such action, suit or proceeding, including defense costs. Pending any such determination, if at the time for such deposit, the amount of insurance maintained by the Company to cover the Indemnitee’s and/or the Company’s liability which could result from such action, suit or proceeding is less than the highest amount of such coverage maintained by the Company at any time between the date hereof and the date of such deposit (such difference is the “</w:t>
      </w:r>
      <w:r>
        <w:rPr>
          <w:rFonts w:ascii="Times New Roman" w:cs="Times New Roman" w:eastAsia="Times New Roman" w:hAnsi="Times New Roman"/>
          <w:sz w:val="20"/>
          <w:szCs w:val="20"/>
          <w:b w:val="1"/>
          <w:bCs w:val="1"/>
          <w:u w:val="single" w:color="auto"/>
          <w:color w:val="auto"/>
        </w:rPr>
        <w:t>insurance reduction</w:t>
      </w:r>
      <w:r>
        <w:rPr>
          <w:rFonts w:ascii="Times New Roman" w:cs="Times New Roman" w:eastAsia="Times New Roman" w:hAnsi="Times New Roman"/>
          <w:sz w:val="19"/>
          <w:szCs w:val="19"/>
          <w:color w:val="auto"/>
        </w:rPr>
        <w:t>”), the Company shall deposit an amount not less than the insurance reduction into the trust.</w:t>
      </w:r>
    </w:p>
    <w:p>
      <w:pPr>
        <w:spacing w:after="0" w:line="181" w:lineRule="exact"/>
        <w:rPr>
          <w:rFonts w:ascii="Times New Roman" w:cs="Times New Roman" w:eastAsia="Times New Roman" w:hAnsi="Times New Roman"/>
          <w:sz w:val="19"/>
          <w:szCs w:val="19"/>
          <w:color w:val="auto"/>
        </w:rPr>
      </w:pPr>
    </w:p>
    <w:p>
      <w:pPr>
        <w:ind w:right="140" w:firstLine="4"/>
        <w:spacing w:after="0" w:line="247" w:lineRule="auto"/>
        <w:tabs>
          <w:tab w:leader="none" w:pos="26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8, a “</w:t>
      </w:r>
      <w:r>
        <w:rPr>
          <w:rFonts w:ascii="Times New Roman" w:cs="Times New Roman" w:eastAsia="Times New Roman" w:hAnsi="Times New Roman"/>
          <w:sz w:val="20"/>
          <w:szCs w:val="20"/>
          <w:b w:val="1"/>
          <w:bCs w:val="1"/>
          <w:u w:val="single" w:color="auto"/>
          <w:color w:val="auto"/>
        </w:rPr>
        <w:t>potential change in control</w:t>
      </w:r>
      <w:r>
        <w:rPr>
          <w:rFonts w:ascii="Times New Roman" w:cs="Times New Roman" w:eastAsia="Times New Roman" w:hAnsi="Times New Roman"/>
          <w:sz w:val="19"/>
          <w:szCs w:val="19"/>
          <w:color w:val="auto"/>
        </w:rPr>
        <w:t>” shall be deemed to have occurred if (i) the Company enters into an agreement the consummation of which would result in the occurrence of a change in control (as such term is defined in Section 8(b)), (ii) any person (including the Company) publicly announces an intention to take or to consider making actions which if consummated would constitute a change in control, or (iii) the Board of Directors of the Company adopts a resolution to the effect that, for purposes of this Agreement, a potential change in control has occurred.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b w:val="1"/>
          <w:bCs w:val="1"/>
          <w:u w:val="single" w:color="auto"/>
          <w:color w:val="auto"/>
        </w:rPr>
        <w:t>Certain Settlement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Company shall have no obligation to indemnify Indemnitee under this Agreement for any</w:t>
      </w:r>
    </w:p>
    <w:p>
      <w:pPr>
        <w:spacing w:after="0" w:line="3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9"/>
          <w:szCs w:val="19"/>
          <w:color w:val="auto"/>
        </w:rPr>
        <w:t>amounts paid in settlement of any action, suit or proceeding without the Company’s prior written consent. The Company shall not settle any action, suit or proceeding in any manner that would impose any fine or other obligation on Indemnitee without Indemnitee’s prior written consent. Neither the Company nor Indemnitee will unreasonably withhold his, her, its or their consent to any proposed settlement.</w:t>
      </w:r>
    </w:p>
    <w:p>
      <w:pPr>
        <w:spacing w:after="0" w:line="18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b w:val="1"/>
          <w:bCs w:val="1"/>
          <w:u w:val="single" w:color="auto"/>
          <w:color w:val="auto"/>
        </w:rPr>
        <w:t>Savings Clause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If any provision or provisions (or portion thereof) of this Agreement shall be invalidated on any ground by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court of competent jurisdiction, then the Company shall nevertheless indemnify Indemnitee if Indemnitee was or is made or is threatened to be made a party or is otherwise involved in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and/or [executive] officer of the Company, or, while serving in such capacity,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 or by reason of any action alleged to have been taken or omitted in such capacity, from and against all loss and liability suffered and expenses (including attorneys’ fees), judgments, fines and amounts paid in settlement reasonably incurred by or on behalf of Indemnitee in connection with such action, suit or proceeding, including any appeals, to the fullest extent permitted by any applicable portion of this Agreement that shall not have been invalidated.</w:t>
      </w:r>
    </w:p>
    <w:p>
      <w:pPr>
        <w:spacing w:after="0" w:line="186"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u w:val="single" w:color="auto"/>
          <w:color w:val="auto"/>
        </w:rPr>
        <w:t>Contribution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In order to provide for just and equitable contribution in circumstances in which the indemnification provided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herein is held by a court of competent</w:t>
      </w:r>
    </w:p>
    <w:p>
      <w:pPr>
        <w:sectPr>
          <w:pgSz w:w="11900" w:h="16838" w:orient="portrait"/>
          <w:cols w:equalWidth="0" w:num="1">
            <w:col w:w="11240"/>
          </w:cols>
          <w:pgMar w:left="320" w:top="35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jurisdiction to be unavailable to Indemnitee in whole or in part, it is agreed that, in such event, the Company shall, to the fullest extent permitted by law, contribute to the payment of all of Indemnitee’s loss and liability suffered and expenses (including attorneys’ fees), judgments, fines and amounts paid in settlement reasonably incurred by or on behalf of Indemnitee in connection with any action, suit or proceeding, including any appeals, in an amount that is just and equitable in the circumstances; provided that, without limiting the generality of the foregoing, such contribution shall not be required where such holding by the court is due to any limitation on indemnification set forth in Section 4(c), 6 (other than clause (e)) or 7 hereof.</w:t>
      </w:r>
    </w:p>
    <w:p>
      <w:pPr>
        <w:spacing w:after="0" w:line="19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b w:val="1"/>
          <w:bCs w:val="1"/>
          <w:u w:val="single" w:color="auto"/>
          <w:color w:val="auto"/>
        </w:rPr>
        <w:t>Form and Delivery of Communications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All notices, requests, demands and other communications under this Agreement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be in writing and shall be deemed to have been duly given if (a) 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w:t>
      </w:r>
    </w:p>
    <w:p>
      <w:pPr>
        <w:spacing w:after="0" w:line="4" w:lineRule="exact"/>
        <w:rPr>
          <w:sz w:val="20"/>
          <w:szCs w:val="20"/>
          <w:color w:val="auto"/>
        </w:rPr>
      </w:pPr>
    </w:p>
    <w:p>
      <w:pPr>
        <w:ind w:right="200" w:firstLine="4"/>
        <w:spacing w:after="0" w:line="253" w:lineRule="auto"/>
        <w:tabs>
          <w:tab w:leader="none" w:pos="27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sent by email or facsimile transmission, with receipt of oral confirmation that such transmission has been received</w:t>
      </w:r>
      <w:r>
        <w:rPr>
          <w:rFonts w:ascii="Times New Roman" w:cs="Times New Roman" w:eastAsia="Times New Roman" w:hAnsi="Times New Roman"/>
          <w:sz w:val="20"/>
          <w:szCs w:val="20"/>
          <w:color w:val="auto"/>
        </w:rPr>
        <w:t>. Notice to the 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shall be directed to the Company, Attention: General Counsel, email: PetersJ@MacroGenics.com. Notice to Indemnitee shall be directed to [name], email: [email].</w:t>
      </w:r>
    </w:p>
    <w:p>
      <w:pPr>
        <w:spacing w:after="0" w:line="16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13. </w:t>
      </w:r>
      <w:r>
        <w:rPr>
          <w:rFonts w:ascii="Times New Roman" w:cs="Times New Roman" w:eastAsia="Times New Roman" w:hAnsi="Times New Roman"/>
          <w:sz w:val="19"/>
          <w:szCs w:val="19"/>
          <w:b w:val="1"/>
          <w:bCs w:val="1"/>
          <w:u w:val="single" w:color="auto"/>
          <w:color w:val="auto"/>
        </w:rPr>
        <w:t>Nonexclusivity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provisions for indemnification and advancement of expenses set forth in this Agreement shall not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exclusive of any other rights which Indemnitee may have under any provision of law, in any court in which a proceeding is brought, the Company’s certificate of incorporation or by-laws,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97" w:lineRule="exact"/>
        <w:rPr>
          <w:sz w:val="20"/>
          <w:szCs w:val="20"/>
          <w:color w:val="auto"/>
        </w:rPr>
      </w:pPr>
    </w:p>
    <w:p>
      <w:pPr>
        <w:ind w:right="300" w:firstLine="625"/>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Section 14. </w:t>
      </w:r>
      <w:r>
        <w:rPr>
          <w:rFonts w:ascii="Times New Roman" w:cs="Times New Roman" w:eastAsia="Times New Roman" w:hAnsi="Times New Roman"/>
          <w:sz w:val="20"/>
          <w:szCs w:val="20"/>
          <w:b w:val="1"/>
          <w:bCs w:val="1"/>
          <w:u w:val="single" w:color="auto"/>
          <w:color w:val="auto"/>
        </w:rPr>
        <w:t>No Construction as Employment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contained herein shall be construed as giving Indemnitee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 to be retained as a director of the Company or in the employ of the Company. For the avoidance of doubt, the indemnification and advancement of expenses provided under this Agreement shall continue as to the Indemnitee even though Indemnitee may have ceased to be a director or executive officer of the Company.</w:t>
      </w:r>
    </w:p>
    <w:p>
      <w:pPr>
        <w:spacing w:after="0" w:line="168" w:lineRule="exact"/>
        <w:rPr>
          <w:sz w:val="20"/>
          <w:szCs w:val="20"/>
          <w:color w:val="auto"/>
        </w:rPr>
      </w:pPr>
    </w:p>
    <w:p>
      <w:pPr>
        <w:ind w:right="100" w:firstLine="625"/>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Section 15. </w:t>
      </w:r>
      <w:r>
        <w:rPr>
          <w:rFonts w:ascii="Times New Roman" w:cs="Times New Roman" w:eastAsia="Times New Roman" w:hAnsi="Times New Roman"/>
          <w:sz w:val="20"/>
          <w:szCs w:val="20"/>
          <w:b w:val="1"/>
          <w:bCs w:val="1"/>
          <w:u w:val="single" w:color="auto"/>
          <w:color w:val="auto"/>
        </w:rPr>
        <w:t>Interpretation of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 is understood that the parties hereto intend this Agreement to be interpreted and enforced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 as to provide indemnification to Indemnitee to the fullest extent now or hereafter permitted by the DGCL.</w:t>
      </w:r>
    </w:p>
    <w:p>
      <w:pPr>
        <w:spacing w:after="0" w:line="137" w:lineRule="exact"/>
        <w:rPr>
          <w:sz w:val="20"/>
          <w:szCs w:val="20"/>
          <w:color w:val="auto"/>
        </w:rPr>
      </w:pPr>
    </w:p>
    <w:p>
      <w:pPr>
        <w:jc w:val="both"/>
        <w:ind w:right="300"/>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16.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This Agreement and the documents expressly referred to herein constitute the entire agreement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parties hereto with respect to the matters covered hereby, and any other prior or contemporaneous oral or written understandings or agreements with respect to the matters covered hereby are expressly superseded by this Agreement.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17. </w:t>
      </w:r>
      <w:r>
        <w:rPr>
          <w:rFonts w:ascii="Times New Roman" w:cs="Times New Roman" w:eastAsia="Times New Roman" w:hAnsi="Times New Roman"/>
          <w:sz w:val="21"/>
          <w:szCs w:val="21"/>
          <w:b w:val="1"/>
          <w:bCs w:val="1"/>
          <w:u w:val="single" w:color="auto"/>
          <w:color w:val="auto"/>
        </w:rPr>
        <w:t>Modification and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No supplement, modification, waiver or amendment of this Agreement shall be binding unless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executed in 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ectPr>
          <w:pgSz w:w="11900" w:h="16838" w:orient="portrait"/>
          <w:cols w:equalWidth="0" w:num="1">
            <w:col w:w="11240"/>
          </w:cols>
          <w:pgMar w:left="320" w:top="35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18. </w:t>
      </w:r>
      <w:r>
        <w:rPr>
          <w:rFonts w:ascii="Times New Roman" w:cs="Times New Roman" w:eastAsia="Times New Roman" w:hAnsi="Times New Roman"/>
          <w:sz w:val="21"/>
          <w:szCs w:val="21"/>
          <w:b w:val="1"/>
          <w:bCs w:val="1"/>
          <w:u w:val="single" w:color="auto"/>
          <w:color w:val="auto"/>
        </w:rPr>
        <w:t>Successor and Assigns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All of the terms and provisions of this Agreement shall be binding upon, shall inure to the benefit of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shall 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19. </w:t>
      </w:r>
      <w:r>
        <w:rPr>
          <w:rFonts w:ascii="Times New Roman" w:cs="Times New Roman" w:eastAsia="Times New Roman" w:hAnsi="Times New Roman"/>
          <w:sz w:val="19"/>
          <w:szCs w:val="19"/>
          <w:b w:val="1"/>
          <w:bCs w:val="1"/>
          <w:u w:val="single" w:color="auto"/>
          <w:color w:val="auto"/>
        </w:rPr>
        <w:t>Service of Process and Venue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Company and Indemnitee hereby irrevocably and unconditionally (a) agree that any action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proceeding arising out of or in connection with this Agreement shall be brought only in the Chancery Court of the State of Delaware (the</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u w:val="single" w:color="auto"/>
          <w:color w:val="auto"/>
        </w:rPr>
        <w:t>Delaware Court</w:t>
      </w:r>
      <w:r>
        <w:rPr>
          <w:rFonts w:ascii="Times New Roman" w:cs="Times New Roman" w:eastAsia="Times New Roman" w:hAnsi="Times New Roman"/>
          <w:sz w:val="19"/>
          <w:szCs w:val="19"/>
          <w:color w:val="auto"/>
        </w:rPr>
        <w:t>”), and not in any other state or federal court in the United States of America or any court in any other country, (b) consent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submit to the exclusive jurisdiction of the Delaware Court for purposes of any action or proceeding arising out of or in connection with this</w:t>
      </w:r>
    </w:p>
    <w:p>
      <w:pPr>
        <w:spacing w:after="0" w:line="231" w:lineRule="auto"/>
        <w:rPr>
          <w:sz w:val="20"/>
          <w:szCs w:val="20"/>
          <w:color w:val="auto"/>
        </w:rPr>
      </w:pPr>
      <w:r>
        <w:rPr>
          <w:rFonts w:ascii="Times New Roman" w:cs="Times New Roman" w:eastAsia="Times New Roman" w:hAnsi="Times New Roman"/>
          <w:sz w:val="19"/>
          <w:szCs w:val="19"/>
          <w:color w:val="auto"/>
        </w:rPr>
        <w:t xml:space="preserve">Agreement, (c) appoint, to the extent such party is not otherwise subject to service of process in the State of Delaware, irrevocably </w:t>
      </w:r>
      <w:r>
        <w:rPr>
          <w:rFonts w:ascii="Times New Roman" w:cs="Times New Roman" w:eastAsia="Times New Roman" w:hAnsi="Times New Roman"/>
          <w:sz w:val="20"/>
          <w:szCs w:val="20"/>
          <w:b w:val="1"/>
          <w:bCs w:val="1"/>
          <w:color w:val="auto"/>
        </w:rPr>
        <w:t>[name]</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[address] </w:t>
      </w:r>
      <w:r>
        <w:rPr>
          <w:rFonts w:ascii="Times New Roman" w:cs="Times New Roman" w:eastAsia="Times New Roman" w:hAnsi="Times New Roman"/>
          <w:sz w:val="19"/>
          <w:szCs w:val="19"/>
          <w:color w:val="auto"/>
        </w:rPr>
        <w:t>as its agent in the State of Delaware as such party’s agent for acceptance of legal process in connection with any such action or</w:t>
      </w:r>
    </w:p>
    <w:p>
      <w:pPr>
        <w:spacing w:after="0" w:line="229" w:lineRule="auto"/>
        <w:rPr>
          <w:sz w:val="20"/>
          <w:szCs w:val="20"/>
          <w:color w:val="auto"/>
        </w:rPr>
      </w:pPr>
      <w:r>
        <w:rPr>
          <w:rFonts w:ascii="Times New Roman" w:cs="Times New Roman" w:eastAsia="Times New Roman" w:hAnsi="Times New Roman"/>
          <w:sz w:val="19"/>
          <w:szCs w:val="19"/>
          <w:color w:val="auto"/>
        </w:rPr>
        <w:t>proceeding against such party with the same legal force and validity as if served upon such party personally within the State of Delaware, (d)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waive any objection to the laying of venue of any such action or proceeding in the Delaware Court, and (e) waive, and agree not to plead or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make, any claim that any such action or proceeding brought in the Delaware Court has been brought in an improper or inconvenient forum.</w:t>
      </w:r>
    </w:p>
    <w:p>
      <w:pPr>
        <w:spacing w:after="0" w:line="194"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20. </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This Agreement shall be governed by and construed in accordance with the laws of the State of Delaware. If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21.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This Agreement may be executed in two or more counterparts, each of which shall be deemed to be an original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all of which together shall be deemed to be one and the same instrument, notwithstanding that both parties are not signatories to the original or same counterpart.</w:t>
      </w:r>
    </w:p>
    <w:p>
      <w:pPr>
        <w:spacing w:after="0" w:line="1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22. </w:t>
      </w:r>
      <w:r>
        <w:rPr>
          <w:rFonts w:ascii="Times New Roman" w:cs="Times New Roman" w:eastAsia="Times New Roman" w:hAnsi="Times New Roman"/>
          <w:sz w:val="21"/>
          <w:szCs w:val="21"/>
          <w:b w:val="1"/>
          <w:bCs w:val="1"/>
          <w:u w:val="single" w:color="auto"/>
          <w:color w:val="auto"/>
        </w:rPr>
        <w:t>Headings and Section References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 section and subsection headings contained in this Agreement are for reference purposes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only and shall not affect in any way the meaning or interpretation of this Agreement. Section references are to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Indemnification Agreement has been duly executed and delivered to be effective as of the date stated above.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MacroGenics,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ectPr>
          <w:pgSz w:w="11900" w:h="16838" w:orient="portrait"/>
          <w:cols w:equalWidth="0" w:num="1">
            <w:col w:w="11240"/>
          </w:cols>
          <w:pgMar w:left="320" w:top="35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INDEMNITEE: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ectPr>
          <w:pgSz w:w="11900" w:h="16838" w:orient="portrait"/>
          <w:cols w:equalWidth="0" w:num="1">
            <w:col w:w="11240"/>
          </w:cols>
          <w:pgMar w:left="320" w:top="356"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9"/>
          <w:szCs w:val="19"/>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MacroGenics,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9704 Medical Center Drive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Rockville, MD 20850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35" w:lineRule="exact"/>
        <w:rPr>
          <w:sz w:val="20"/>
          <w:szCs w:val="20"/>
          <w:color w:val="auto"/>
        </w:rPr>
      </w:pPr>
    </w:p>
    <w:p>
      <w:pPr>
        <w:jc w:val="both"/>
        <w:ind w:firstLine="313"/>
        <w:spacing w:after="0" w:line="255" w:lineRule="auto"/>
        <w:rPr>
          <w:sz w:val="20"/>
          <w:szCs w:val="20"/>
          <w:color w:val="auto"/>
        </w:rPr>
      </w:pPr>
      <w:r>
        <w:rPr>
          <w:rFonts w:ascii="Times New Roman" w:cs="Times New Roman" w:eastAsia="Times New Roman" w:hAnsi="Times New Roman"/>
          <w:sz w:val="19"/>
          <w:szCs w:val="19"/>
          <w:color w:val="auto"/>
        </w:rPr>
        <w:t>This third letter agreement (“</w:t>
      </w:r>
      <w:r>
        <w:rPr>
          <w:rFonts w:ascii="Times New Roman" w:cs="Times New Roman" w:eastAsia="Times New Roman" w:hAnsi="Times New Roman"/>
          <w:sz w:val="19"/>
          <w:szCs w:val="19"/>
          <w:b w:val="1"/>
          <w:bCs w:val="1"/>
          <w:color w:val="auto"/>
        </w:rPr>
        <w:t>Third Letter Agreement</w:t>
      </w:r>
      <w:r>
        <w:rPr>
          <w:rFonts w:ascii="Times New Roman" w:cs="Times New Roman" w:eastAsia="Times New Roman" w:hAnsi="Times New Roman"/>
          <w:sz w:val="19"/>
          <w:szCs w:val="19"/>
          <w:color w:val="auto"/>
        </w:rPr>
        <w:t>”) is entered into as of November 11, 2025 (the “</w:t>
      </w:r>
      <w:r>
        <w:rPr>
          <w:rFonts w:ascii="Times New Roman" w:cs="Times New Roman" w:eastAsia="Times New Roman" w:hAnsi="Times New Roman"/>
          <w:sz w:val="19"/>
          <w:szCs w:val="19"/>
          <w:b w:val="1"/>
          <w:bCs w:val="1"/>
          <w:color w:val="auto"/>
        </w:rPr>
        <w:t>Third Letter Agreement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by and between MacroGenics, Inc. (“</w:t>
      </w:r>
      <w:r>
        <w:rPr>
          <w:rFonts w:ascii="Times New Roman" w:cs="Times New Roman" w:eastAsia="Times New Roman" w:hAnsi="Times New Roman"/>
          <w:sz w:val="19"/>
          <w:szCs w:val="19"/>
          <w:b w:val="1"/>
          <w:bCs w:val="1"/>
          <w:color w:val="auto"/>
        </w:rPr>
        <w:t>MacroGenics</w:t>
      </w:r>
      <w:r>
        <w:rPr>
          <w:rFonts w:ascii="Times New Roman" w:cs="Times New Roman" w:eastAsia="Times New Roman" w:hAnsi="Times New Roman"/>
          <w:sz w:val="19"/>
          <w:szCs w:val="19"/>
          <w:color w:val="auto"/>
        </w:rPr>
        <w:t>”) and Gilead Sciences, Inc. (“</w:t>
      </w:r>
      <w:r>
        <w:rPr>
          <w:rFonts w:ascii="Times New Roman" w:cs="Times New Roman" w:eastAsia="Times New Roman" w:hAnsi="Times New Roman"/>
          <w:sz w:val="19"/>
          <w:szCs w:val="19"/>
          <w:b w:val="1"/>
          <w:bCs w:val="1"/>
          <w:color w:val="auto"/>
        </w:rPr>
        <w:t>Gilead</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Reference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hereby made to the Collaboration and License Agreement between the Parties, dated as of October 14, 2022, as amended by the First Amendment to the Collaboration and License Agreement, dated January 11, 2024 (the “</w:t>
      </w:r>
      <w:r>
        <w:rPr>
          <w:rFonts w:ascii="Times New Roman" w:cs="Times New Roman" w:eastAsia="Times New Roman" w:hAnsi="Times New Roman"/>
          <w:sz w:val="19"/>
          <w:szCs w:val="19"/>
          <w:b w:val="1"/>
          <w:bCs w:val="1"/>
          <w:color w:val="auto"/>
        </w:rPr>
        <w:t>Collaboration Agreement</w:t>
      </w:r>
      <w:r>
        <w:rPr>
          <w:rFonts w:ascii="Times New Roman" w:cs="Times New Roman" w:eastAsia="Times New Roman" w:hAnsi="Times New Roman"/>
          <w:sz w:val="19"/>
          <w:szCs w:val="19"/>
          <w:color w:val="auto"/>
        </w:rPr>
        <w:t>”), the Letter Agreement between the Parties, dated as of August 31, 2023 (“</w:t>
      </w:r>
      <w:r>
        <w:rPr>
          <w:rFonts w:ascii="Times New Roman" w:cs="Times New Roman" w:eastAsia="Times New Roman" w:hAnsi="Times New Roman"/>
          <w:sz w:val="19"/>
          <w:szCs w:val="19"/>
          <w:b w:val="1"/>
          <w:bCs w:val="1"/>
          <w:color w:val="auto"/>
        </w:rPr>
        <w:t>First Letter Agreement</w:t>
      </w:r>
      <w:r>
        <w:rPr>
          <w:rFonts w:ascii="Times New Roman" w:cs="Times New Roman" w:eastAsia="Times New Roman" w:hAnsi="Times New Roman"/>
          <w:sz w:val="19"/>
          <w:szCs w:val="19"/>
          <w:color w:val="auto"/>
        </w:rPr>
        <w:t>”) and the Second Letter Agreement between the Parties, dated as of August 30, 2024 (“</w:t>
      </w:r>
      <w:r>
        <w:rPr>
          <w:rFonts w:ascii="Times New Roman" w:cs="Times New Roman" w:eastAsia="Times New Roman" w:hAnsi="Times New Roman"/>
          <w:sz w:val="19"/>
          <w:szCs w:val="19"/>
          <w:b w:val="1"/>
          <w:bCs w:val="1"/>
          <w:color w:val="auto"/>
        </w:rPr>
        <w:t>Second Letter Agreement</w:t>
      </w:r>
      <w:r>
        <w:rPr>
          <w:rFonts w:ascii="Times New Roman" w:cs="Times New Roman" w:eastAsia="Times New Roman" w:hAnsi="Times New Roman"/>
          <w:sz w:val="19"/>
          <w:szCs w:val="19"/>
          <w:color w:val="auto"/>
        </w:rPr>
        <w:t>”). Unless otherwise specified or defined herein, (a) any capitalized term used but not defined in this Third Letter Agreement will have the meaning assigned to it in the Collaboration Agreement, the First Letter Agreement or the Second Letter Agreement, as applicable; and (b) any capitalized term that is used herein and defined (differently) in this Third Letter Agreement and the Collaboration Agreement, the First Letter Agreement and/or the Second Letter Agreement, shall, for purposes of the second Research Program (whether such second Research Program is referenced in this Third Letter Agreement or in the Collaboration Agreement), have the meaning given to such term in this Third Letter Agreement.</w:t>
      </w:r>
    </w:p>
    <w:p>
      <w:pPr>
        <w:spacing w:after="0" w:line="210"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9"/>
          <w:szCs w:val="19"/>
          <w:color w:val="auto"/>
        </w:rPr>
        <w:t>As of the Third Letter Agreement Effective Date, and notwithstanding any conditions precedent detailed in the Collaboration Agreement, the Parties desire to designate [***], as the Confirmed Research Target Combination and the Licensed Research Target Combination for the second Research Program and Gilead desires to exercise the Research Program Opt-In with respect thereto. As a condition to the acceleration of Gilead’s Research Program Opt-In for the second Research Program and the related licenses from MacroGenics and payments from Gilead with respect thereto, the Parties have agreed to enter into this Third Letter Agreement, memorializing their agreement to the following:</w:t>
      </w:r>
    </w:p>
    <w:p>
      <w:pPr>
        <w:spacing w:after="0" w:line="200" w:lineRule="exact"/>
        <w:rPr>
          <w:sz w:val="20"/>
          <w:szCs w:val="20"/>
          <w:color w:val="auto"/>
        </w:rPr>
      </w:pPr>
    </w:p>
    <w:p>
      <w:pPr>
        <w:jc w:val="both"/>
        <w:ind w:left="620" w:hanging="303"/>
        <w:spacing w:after="0" w:line="259" w:lineRule="auto"/>
        <w:tabs>
          <w:tab w:leader="none" w:pos="6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Designation of Confirmed Research Target Combination and Licensed Research Target Combination</w:t>
      </w:r>
      <w:r>
        <w:rPr>
          <w:rFonts w:ascii="Times New Roman" w:cs="Times New Roman" w:eastAsia="Times New Roman" w:hAnsi="Times New Roman"/>
          <w:sz w:val="19"/>
          <w:szCs w:val="19"/>
          <w:color w:val="auto"/>
        </w:rPr>
        <w:t>. As of the Third Letter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Effective Date and notwithstanding (a) the nomination process set forth in Section 5.1 (Research Target Nomination) of the Collaboration Agreement, including the end date for the Research Target Selection Period described therein, (b) the Gatekeeper clearance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process described in Sections 5.1(b) (Gatekeeper) and 5.1(c) (Confirmed Research Target Combinations) of the Collaboration Agreement,</w:t>
      </w:r>
    </w:p>
    <w:p>
      <w:pPr>
        <w:spacing w:after="0" w:line="9" w:lineRule="exact"/>
        <w:rPr>
          <w:sz w:val="20"/>
          <w:szCs w:val="20"/>
          <w:color w:val="auto"/>
        </w:rPr>
      </w:pPr>
    </w:p>
    <w:p>
      <w:pPr>
        <w:ind w:left="620" w:firstLine="9"/>
        <w:spacing w:after="0" w:line="268" w:lineRule="auto"/>
        <w:tabs>
          <w:tab w:leader="none" w:pos="89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limitation of each Research Program [***] as described in Sections 5.1(a) (Research Target Nomination Rights) through Section 5.1(c) (Confirmed Research Target Combinations) of the Collaboration Agreement and (d) the process steps related to the generation,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1240"/>
          </w:cols>
          <w:pgMar w:left="320" w:top="131" w:right="339" w:bottom="1440" w:gutter="0" w:footer="0" w:header="0"/>
        </w:sectPr>
      </w:pPr>
    </w:p>
    <w:bookmarkStart w:id="121" w:name="page122"/>
    <w:bookmarkEnd w:id="121"/>
    <w:p>
      <w:pPr>
        <w:spacing w:after="0" w:line="71"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9"/>
          <w:szCs w:val="19"/>
          <w:color w:val="auto"/>
        </w:rPr>
        <w:t>characterization and evaluation of Research Molecules and Research Products that are directed to a given Confirmed Research Target Combination for a given Research Program, including the requirement for MacroGenics to deliver a Research Program Data Package and for Gilead to exercise its opt-in during the Research Program Opt-In Term, all as further described in Sections 5.2 (Research Program), 5.5 (Research Term) and 5.8 (Research Program Opt-In) of the Collaboration Agreement, the Parties have agreed to designate [***], as the Confirmed Research Target Combination and the Licensed Research Target Combination for the second Research Program.</w:t>
      </w:r>
    </w:p>
    <w:p>
      <w:pPr>
        <w:spacing w:after="0" w:line="200" w:lineRule="exact"/>
        <w:rPr>
          <w:sz w:val="20"/>
          <w:szCs w:val="20"/>
          <w:color w:val="auto"/>
        </w:rPr>
      </w:pPr>
    </w:p>
    <w:p>
      <w:pPr>
        <w:jc w:val="both"/>
        <w:ind w:left="620" w:hanging="303"/>
        <w:spacing w:after="0" w:line="256" w:lineRule="auto"/>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Exercise of Option and Payment of Accelerated Opt-In Fee</w:t>
      </w:r>
      <w:r>
        <w:rPr>
          <w:rFonts w:ascii="Times New Roman" w:cs="Times New Roman" w:eastAsia="Times New Roman" w:hAnsi="Times New Roman"/>
          <w:sz w:val="19"/>
          <w:szCs w:val="19"/>
          <w:color w:val="auto"/>
        </w:rPr>
        <w:t>. Gilead hereby exercises the Research Program Opt-In with respect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second Research Program. Notwithstanding Sections 5.2 (Research Program) and Section 5.8(c) (Option Exercise) of the Collaboration Agreement, within [***] after the Third Letter Agreement Effective Date, Gilead will pay MacroGenics a fee of Twenty-Five Million U.S. Dollars (US$25,000,000) for the second Research Program (the “</w:t>
      </w:r>
      <w:r>
        <w:rPr>
          <w:rFonts w:ascii="Times New Roman" w:cs="Times New Roman" w:eastAsia="Times New Roman" w:hAnsi="Times New Roman"/>
          <w:sz w:val="19"/>
          <w:szCs w:val="19"/>
          <w:b w:val="1"/>
          <w:bCs w:val="1"/>
          <w:color w:val="auto"/>
        </w:rPr>
        <w:t>Accelerated Opt-In Fee</w:t>
      </w:r>
      <w:r>
        <w:rPr>
          <w:rFonts w:ascii="Times New Roman" w:cs="Times New Roman" w:eastAsia="Times New Roman" w:hAnsi="Times New Roman"/>
          <w:sz w:val="19"/>
          <w:szCs w:val="19"/>
          <w:color w:val="auto"/>
        </w:rPr>
        <w:t>”) [***]. Gilead has determined that no Antitrust Filing is required in connection with its exercise of the Research Program Opt-In. Accordingly, for the purposes of the Collaboration Agreement, the Third Letter Agreement Effective Date will be the Research Program Opt-In Date, the Research Program Opt-In Effective Date and the Option Effective Date for the second Research Program.</w:t>
      </w:r>
    </w:p>
    <w:p>
      <w:pPr>
        <w:spacing w:after="0" w:line="205" w:lineRule="exact"/>
        <w:rPr>
          <w:rFonts w:ascii="Times New Roman" w:cs="Times New Roman" w:eastAsia="Times New Roman" w:hAnsi="Times New Roman"/>
          <w:sz w:val="19"/>
          <w:szCs w:val="19"/>
          <w:color w:val="auto"/>
        </w:rPr>
      </w:pPr>
    </w:p>
    <w:p>
      <w:pPr>
        <w:jc w:val="both"/>
        <w:ind w:left="620" w:hanging="303"/>
        <w:spacing w:after="0" w:line="256" w:lineRule="auto"/>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Research Plan</w:t>
      </w:r>
      <w:r>
        <w:rPr>
          <w:rFonts w:ascii="Times New Roman" w:cs="Times New Roman" w:eastAsia="Times New Roman" w:hAnsi="Times New Roman"/>
          <w:sz w:val="19"/>
          <w:szCs w:val="19"/>
          <w:color w:val="auto"/>
        </w:rPr>
        <w:t>. The research plan for generating and characterizing Research Molecules and Research Products that are directed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Confirmed Research Target Combination for the second Research Program is set forth in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Research Plan</w:t>
      </w:r>
      <w:r>
        <w:rPr>
          <w:rFonts w:ascii="Times New Roman" w:cs="Times New Roman" w:eastAsia="Times New Roman" w:hAnsi="Times New Roman"/>
          <w:sz w:val="19"/>
          <w:szCs w:val="19"/>
          <w:color w:val="auto"/>
        </w:rPr>
        <w:t>”; such activities, the “</w:t>
      </w:r>
      <w:r>
        <w:rPr>
          <w:rFonts w:ascii="Times New Roman" w:cs="Times New Roman" w:eastAsia="Times New Roman" w:hAnsi="Times New Roman"/>
          <w:sz w:val="19"/>
          <w:szCs w:val="19"/>
          <w:b w:val="1"/>
          <w:bCs w:val="1"/>
          <w:color w:val="auto"/>
        </w:rPr>
        <w:t>Research Program</w:t>
      </w:r>
      <w:r>
        <w:rPr>
          <w:rFonts w:ascii="Times New Roman" w:cs="Times New Roman" w:eastAsia="Times New Roman" w:hAnsi="Times New Roman"/>
          <w:sz w:val="19"/>
          <w:szCs w:val="19"/>
          <w:color w:val="auto"/>
        </w:rPr>
        <w:t xml:space="preserve">”). The Research Plan shall be deemed approved by the JSC as of the Third Letter Agreement Effective Date. For clarity, the Research Plan attached hereto as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includes (a) an initial research plan setting forth a description of the Research Program activities to be performed, specifying which activities (if any) are to be performed by MacroGenics, and (b) a list and description of the information and materials to be provided by MacroGenics to Gilead, including a related technology transfer plan (which plan, for clarity, shall supersede the provisions of Section 5.9 (Technology Transfer) of the Collaboration Agreement).</w:t>
      </w:r>
    </w:p>
    <w:p>
      <w:pPr>
        <w:spacing w:after="0" w:line="205" w:lineRule="exact"/>
        <w:rPr>
          <w:rFonts w:ascii="Times New Roman" w:cs="Times New Roman" w:eastAsia="Times New Roman" w:hAnsi="Times New Roman"/>
          <w:sz w:val="19"/>
          <w:szCs w:val="19"/>
          <w:color w:val="auto"/>
        </w:rPr>
      </w:pPr>
    </w:p>
    <w:p>
      <w:pPr>
        <w:jc w:val="both"/>
        <w:ind w:left="620" w:hanging="303"/>
        <w:spacing w:after="0" w:line="268" w:lineRule="auto"/>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Amendments to the Research Plan</w:t>
      </w:r>
      <w:r>
        <w:rPr>
          <w:rFonts w:ascii="Times New Roman" w:cs="Times New Roman" w:eastAsia="Times New Roman" w:hAnsi="Times New Roman"/>
          <w:sz w:val="19"/>
          <w:szCs w:val="19"/>
          <w:color w:val="auto"/>
        </w:rPr>
        <w:t>. Pursuant to Section 2.1(e)(ii) of the Collaboration Agreement, the Parties agree that the JSC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 and will serve as a forum to discuss MacroGenics’ activities under the Research Plan for the second Research Program, through [***] for such second Research Program. [***]</w:t>
      </w:r>
    </w:p>
    <w:p>
      <w:pPr>
        <w:spacing w:after="0" w:line="192" w:lineRule="exact"/>
        <w:rPr>
          <w:rFonts w:ascii="Times New Roman" w:cs="Times New Roman" w:eastAsia="Times New Roman" w:hAnsi="Times New Roman"/>
          <w:sz w:val="19"/>
          <w:szCs w:val="19"/>
          <w:color w:val="auto"/>
        </w:rPr>
      </w:pPr>
    </w:p>
    <w:p>
      <w:pPr>
        <w:ind w:left="620" w:hanging="303"/>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Subcontracting</w:t>
      </w:r>
      <w:r>
        <w:rPr>
          <w:rFonts w:ascii="Times New Roman" w:cs="Times New Roman" w:eastAsia="Times New Roman" w:hAnsi="Times New Roman"/>
          <w:sz w:val="19"/>
          <w:szCs w:val="19"/>
          <w:color w:val="auto"/>
        </w:rPr>
        <w:t>. [***]</w:t>
      </w:r>
    </w:p>
    <w:p>
      <w:pPr>
        <w:spacing w:after="0" w:line="237" w:lineRule="exact"/>
        <w:rPr>
          <w:rFonts w:ascii="Times New Roman" w:cs="Times New Roman" w:eastAsia="Times New Roman" w:hAnsi="Times New Roman"/>
          <w:sz w:val="19"/>
          <w:szCs w:val="19"/>
          <w:color w:val="auto"/>
        </w:rPr>
      </w:pPr>
    </w:p>
    <w:p>
      <w:pPr>
        <w:jc w:val="both"/>
        <w:ind w:left="620" w:hanging="303"/>
        <w:spacing w:after="0" w:line="265" w:lineRule="auto"/>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Effectiveness of Research License</w:t>
      </w:r>
      <w:r>
        <w:rPr>
          <w:rFonts w:ascii="Times New Roman" w:cs="Times New Roman" w:eastAsia="Times New Roman" w:hAnsi="Times New Roman"/>
          <w:sz w:val="19"/>
          <w:szCs w:val="19"/>
          <w:color w:val="auto"/>
        </w:rPr>
        <w:t>. On and after the Third Letter Agreement Effective Date, the co-exclusive research license granted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Gilead under Section 3.1(a) (Research Term License) of the Collaboration Agreement will automatically become effective. Notwithstanding anything to the contrary in the Collaboration Agreement, solely for purposes of the second Research Program, the “</w:t>
      </w:r>
      <w:r>
        <w:rPr>
          <w:rFonts w:ascii="Times New Roman" w:cs="Times New Roman" w:eastAsia="Times New Roman" w:hAnsi="Times New Roman"/>
          <w:sz w:val="19"/>
          <w:szCs w:val="19"/>
          <w:b w:val="1"/>
          <w:bCs w:val="1"/>
          <w:color w:val="auto"/>
        </w:rPr>
        <w:t>Research Target Combination License Date</w:t>
      </w:r>
      <w:r>
        <w:rPr>
          <w:rFonts w:ascii="Times New Roman" w:cs="Times New Roman" w:eastAsia="Times New Roman" w:hAnsi="Times New Roman"/>
          <w:sz w:val="19"/>
          <w:szCs w:val="19"/>
          <w:color w:val="auto"/>
        </w:rPr>
        <w:t>” shall mean the Third Letter Agreement Effective Date.</w:t>
      </w:r>
    </w:p>
    <w:p>
      <w:pPr>
        <w:spacing w:after="0" w:line="194" w:lineRule="exact"/>
        <w:rPr>
          <w:rFonts w:ascii="Times New Roman" w:cs="Times New Roman" w:eastAsia="Times New Roman" w:hAnsi="Times New Roman"/>
          <w:sz w:val="19"/>
          <w:szCs w:val="19"/>
          <w:color w:val="auto"/>
        </w:rPr>
      </w:pPr>
    </w:p>
    <w:p>
      <w:pPr>
        <w:jc w:val="both"/>
        <w:ind w:left="620" w:hanging="303"/>
        <w:spacing w:after="0" w:line="268" w:lineRule="auto"/>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Confirmed Research Target Combination</w:t>
      </w:r>
      <w:r>
        <w:rPr>
          <w:rFonts w:ascii="Times New Roman" w:cs="Times New Roman" w:eastAsia="Times New Roman" w:hAnsi="Times New Roman"/>
          <w:sz w:val="19"/>
          <w:szCs w:val="19"/>
          <w:color w:val="auto"/>
        </w:rPr>
        <w:t>. For purposes of the second Research Program, all references in the Collaboration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this Third Letter Agreement to the “Confirmed Research Target Combination” and the “Licensed Research Target Combination” shall mean [***]. For clarity, the restrictions set forth in Section 3.10 of the Collaboration Agreement are [***].</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69" w:lineRule="exact"/>
        <w:rPr>
          <w:sz w:val="20"/>
          <w:szCs w:val="20"/>
          <w:color w:val="auto"/>
        </w:rPr>
      </w:pPr>
    </w:p>
    <w:p>
      <w:pPr>
        <w:jc w:val="both"/>
        <w:ind w:left="620" w:hanging="303"/>
        <w:spacing w:after="0" w:line="268" w:lineRule="auto"/>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Effectiveness of Commercial License</w:t>
      </w:r>
      <w:r>
        <w:rPr>
          <w:rFonts w:ascii="Times New Roman" w:cs="Times New Roman" w:eastAsia="Times New Roman" w:hAnsi="Times New Roman"/>
          <w:sz w:val="19"/>
          <w:szCs w:val="19"/>
          <w:color w:val="auto"/>
        </w:rPr>
        <w:t>. On and after the Third Letter Agreement Effective Date, the license granted to Gilead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3.1(b) (Exploitation Licenses for Research Molecules and Research Products) of the Collaboration Agreement will automatically become effective.</w:t>
      </w:r>
    </w:p>
    <w:p>
      <w:pPr>
        <w:spacing w:after="0" w:line="179" w:lineRule="exact"/>
        <w:rPr>
          <w:rFonts w:ascii="Times New Roman" w:cs="Times New Roman" w:eastAsia="Times New Roman" w:hAnsi="Times New Roman"/>
          <w:sz w:val="19"/>
          <w:szCs w:val="19"/>
          <w:color w:val="auto"/>
        </w:rPr>
      </w:pPr>
    </w:p>
    <w:p>
      <w:pPr>
        <w:ind w:left="620" w:hanging="303"/>
        <w:spacing w:after="0"/>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50" w:lineRule="exact"/>
        <w:rPr>
          <w:rFonts w:ascii="Times New Roman" w:cs="Times New Roman" w:eastAsia="Times New Roman" w:hAnsi="Times New Roman"/>
          <w:sz w:val="19"/>
          <w:szCs w:val="19"/>
          <w:color w:val="auto"/>
        </w:rPr>
      </w:pPr>
    </w:p>
    <w:p>
      <w:pPr>
        <w:jc w:val="both"/>
        <w:ind w:left="620" w:hanging="303"/>
        <w:spacing w:after="0" w:line="256" w:lineRule="auto"/>
        <w:tabs>
          <w:tab w:leader="none" w:pos="61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Research Costs</w:t>
      </w:r>
      <w:r>
        <w:rPr>
          <w:rFonts w:ascii="Times New Roman" w:cs="Times New Roman" w:eastAsia="Times New Roman" w:hAnsi="Times New Roman"/>
          <w:sz w:val="19"/>
          <w:szCs w:val="19"/>
          <w:color w:val="auto"/>
        </w:rPr>
        <w:t>. [***] incurred by or on behalf of [***] in connection with the conduct of the Research Program activities allocated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 under the Research Plan for the second Research Program in accordance with the remainder of this Section 8 of the Third Letter Agreement. Within [***] during the Term, [***] shall [***] incurred by [***] during such [***] in the conduct of such activities and</w:t>
      </w:r>
    </w:p>
    <w:p>
      <w:pPr>
        <w:spacing w:after="0" w:line="2" w:lineRule="exact"/>
        <w:rPr>
          <w:rFonts w:ascii="Times New Roman" w:cs="Times New Roman" w:eastAsia="Times New Roman" w:hAnsi="Times New Roman"/>
          <w:sz w:val="19"/>
          <w:szCs w:val="19"/>
          <w:color w:val="auto"/>
        </w:rPr>
      </w:pPr>
    </w:p>
    <w:p>
      <w:pPr>
        <w:ind w:left="1100" w:hanging="471"/>
        <w:spacing w:after="0"/>
        <w:tabs>
          <w:tab w:leader="none" w:pos="110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w:t>
      </w:r>
    </w:p>
    <w:p>
      <w:pPr>
        <w:spacing w:after="0" w:line="226" w:lineRule="exact"/>
        <w:rPr>
          <w:rFonts w:ascii="Times New Roman" w:cs="Times New Roman" w:eastAsia="Times New Roman" w:hAnsi="Times New Roman"/>
          <w:sz w:val="19"/>
          <w:szCs w:val="19"/>
          <w:color w:val="auto"/>
        </w:rPr>
      </w:pPr>
    </w:p>
    <w:p>
      <w:pPr>
        <w:ind w:left="620" w:hanging="303"/>
        <w:spacing w:after="0"/>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50" w:lineRule="exact"/>
        <w:rPr>
          <w:rFonts w:ascii="Times New Roman" w:cs="Times New Roman" w:eastAsia="Times New Roman" w:hAnsi="Times New Roman"/>
          <w:sz w:val="19"/>
          <w:szCs w:val="19"/>
          <w:color w:val="auto"/>
        </w:rPr>
      </w:pPr>
    </w:p>
    <w:p>
      <w:pPr>
        <w:jc w:val="both"/>
        <w:ind w:left="620" w:hanging="303"/>
        <w:spacing w:after="0" w:line="268" w:lineRule="auto"/>
        <w:tabs>
          <w:tab w:leader="none" w:pos="61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For purposes of the second Research Program, the following capitalized terms when appearing in the Collaboration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the First Letter Agreement, the Second Letter Agreement or this Third Letter Agreement shall have the meanings set forth below:</w:t>
      </w:r>
    </w:p>
    <w:p>
      <w:pPr>
        <w:spacing w:after="0" w:line="181" w:lineRule="exact"/>
        <w:rPr>
          <w:rFonts w:ascii="Times New Roman" w:cs="Times New Roman" w:eastAsia="Times New Roman" w:hAnsi="Times New Roman"/>
          <w:sz w:val="19"/>
          <w:szCs w:val="19"/>
          <w:color w:val="auto"/>
        </w:rPr>
      </w:pPr>
    </w:p>
    <w:p>
      <w:pPr>
        <w:ind w:left="1240" w:hanging="298"/>
        <w:spacing w:after="0"/>
        <w:tabs>
          <w:tab w:leader="none" w:pos="1240"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50" w:lineRule="exact"/>
        <w:rPr>
          <w:rFonts w:ascii="Times New Roman" w:cs="Times New Roman" w:eastAsia="Times New Roman" w:hAnsi="Times New Roman"/>
          <w:sz w:val="19"/>
          <w:szCs w:val="19"/>
          <w:color w:val="auto"/>
        </w:rPr>
      </w:pPr>
    </w:p>
    <w:p>
      <w:pPr>
        <w:ind w:left="1260" w:hanging="318"/>
        <w:spacing w:after="0"/>
        <w:tabs>
          <w:tab w:leader="none" w:pos="1260"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jc w:val="both"/>
        <w:ind w:left="1260" w:hanging="318"/>
        <w:spacing w:after="0" w:line="255" w:lineRule="auto"/>
        <w:tabs>
          <w:tab w:leader="none" w:pos="1249"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Gilead Assigned Improvement Know-How</w:t>
      </w:r>
      <w:r>
        <w:rPr>
          <w:rFonts w:ascii="Times New Roman" w:cs="Times New Roman" w:eastAsia="Times New Roman" w:hAnsi="Times New Roman"/>
          <w:sz w:val="19"/>
          <w:szCs w:val="19"/>
          <w:color w:val="auto"/>
        </w:rPr>
        <w:t>” means all Know-How, whether patentable or not, conceived or reduced to practice by MacroGenics or Gilead in the course of conducting activities under the second Research Program, in each case that constitutes an improvement, modification or enhancement of [***] (“</w:t>
      </w:r>
      <w:r>
        <w:rPr>
          <w:rFonts w:ascii="Times New Roman" w:cs="Times New Roman" w:eastAsia="Times New Roman" w:hAnsi="Times New Roman"/>
          <w:sz w:val="19"/>
          <w:szCs w:val="19"/>
          <w:b w:val="1"/>
          <w:bCs w:val="1"/>
          <w:color w:val="auto"/>
        </w:rPr>
        <w:t>Gilead Assigned Improvement Know-How</w:t>
      </w:r>
      <w:r>
        <w:rPr>
          <w:rFonts w:ascii="Times New Roman" w:cs="Times New Roman" w:eastAsia="Times New Roman" w:hAnsi="Times New Roman"/>
          <w:sz w:val="19"/>
          <w:szCs w:val="19"/>
          <w:color w:val="auto"/>
        </w:rPr>
        <w:t>”) but excluding any improvements, modifications or enhancements that [***] the MacroGenics Platform.</w:t>
      </w:r>
    </w:p>
    <w:p>
      <w:pPr>
        <w:jc w:val="both"/>
        <w:ind w:left="1260" w:hanging="318"/>
        <w:spacing w:after="0" w:line="259" w:lineRule="auto"/>
        <w:tabs>
          <w:tab w:leader="none" w:pos="1260"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MacroGenics Platform</w:t>
      </w:r>
      <w:r>
        <w:rPr>
          <w:rFonts w:ascii="Times New Roman" w:cs="Times New Roman" w:eastAsia="Times New Roman" w:hAnsi="Times New Roman"/>
          <w:sz w:val="19"/>
          <w:szCs w:val="19"/>
          <w:color w:val="auto"/>
        </w:rPr>
        <w:t xml:space="preserve">” means MacroGenics’ Proprietary [***] DART® and TRIDENT® platforms regardless of application [***]. The MacroGenics Platform as of the Third Letter Agreement Effective Date is further described in </w:t>
      </w:r>
      <w:r>
        <w:rPr>
          <w:rFonts w:ascii="Times New Roman" w:cs="Times New Roman" w:eastAsia="Times New Roman" w:hAnsi="Times New Roman"/>
          <w:sz w:val="19"/>
          <w:szCs w:val="19"/>
          <w:b w:val="1"/>
          <w:bCs w:val="1"/>
          <w:color w:val="auto"/>
        </w:rPr>
        <w:t>Schedule 1.86</w:t>
      </w:r>
      <w:r>
        <w:rPr>
          <w:rFonts w:ascii="Times New Roman" w:cs="Times New Roman" w:eastAsia="Times New Roman" w:hAnsi="Times New Roman"/>
          <w:sz w:val="19"/>
          <w:szCs w:val="19"/>
          <w:color w:val="auto"/>
        </w:rPr>
        <w:t xml:space="preserve"> (MacroGenics Platform) of the Collaboration Agreement and attached hereto as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jc w:val="both"/>
        <w:ind w:left="1260" w:hanging="318"/>
        <w:spacing w:after="0" w:line="256" w:lineRule="auto"/>
        <w:tabs>
          <w:tab w:leader="none" w:pos="1249"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MacroGenics Platform Improvement Know-How</w:t>
      </w:r>
      <w:r>
        <w:rPr>
          <w:rFonts w:ascii="Times New Roman" w:cs="Times New Roman" w:eastAsia="Times New Roman" w:hAnsi="Times New Roman"/>
          <w:sz w:val="19"/>
          <w:szCs w:val="19"/>
          <w:color w:val="auto"/>
        </w:rPr>
        <w:t>” means all Know-How, whether patentable or not, conceived or reduced to practice by MacroGenics or Gilead in the course of conducting activities under this Agreement, in each case, that constitutes an improvement, modification or enhancement of the MacroGenics Platform, which Know-How arises from and only relates to the use of such MacroGenics Platform [***].</w:t>
      </w:r>
    </w:p>
    <w:p>
      <w:pPr>
        <w:spacing w:after="0" w:line="3" w:lineRule="exact"/>
        <w:rPr>
          <w:rFonts w:ascii="Times New Roman" w:cs="Times New Roman" w:eastAsia="Times New Roman" w:hAnsi="Times New Roman"/>
          <w:sz w:val="19"/>
          <w:szCs w:val="19"/>
          <w:color w:val="auto"/>
        </w:rPr>
      </w:pPr>
    </w:p>
    <w:p>
      <w:pPr>
        <w:jc w:val="both"/>
        <w:ind w:left="1260" w:hanging="318"/>
        <w:spacing w:after="0" w:line="253" w:lineRule="auto"/>
        <w:tabs>
          <w:tab w:leader="none" w:pos="1254"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MacroGenics Research Patent</w:t>
      </w:r>
      <w:r>
        <w:rPr>
          <w:rFonts w:ascii="Times New Roman" w:cs="Times New Roman" w:eastAsia="Times New Roman" w:hAnsi="Times New Roman"/>
          <w:sz w:val="19"/>
          <w:szCs w:val="19"/>
          <w:color w:val="auto"/>
        </w:rPr>
        <w:t>” means, with respect to the second Research Program, any Patent (excluding any Jointly Owned Patent) that is Controlled by MacroGenics or any of its Affiliates as of the Effective Date or at any time during the Term and that Covers one or more multi-specific (including bi-specific) antibody molecules that are directed to the Licensed Research Target Combination [***]. For clarity, the definition of MacroGenics Research Patents with respect to the first Research Program remains unchanged.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69" w:lineRule="exact"/>
        <w:rPr>
          <w:sz w:val="20"/>
          <w:szCs w:val="20"/>
          <w:color w:val="auto"/>
        </w:rPr>
      </w:pPr>
    </w:p>
    <w:p>
      <w:pPr>
        <w:ind w:left="1260" w:hanging="318"/>
        <w:spacing w:after="0" w:line="280" w:lineRule="auto"/>
        <w:tabs>
          <w:tab w:leader="none" w:pos="12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Proprietary</w:t>
      </w:r>
      <w:r>
        <w:rPr>
          <w:rFonts w:ascii="Times New Roman" w:cs="Times New Roman" w:eastAsia="Times New Roman" w:hAnsi="Times New Roman"/>
          <w:sz w:val="19"/>
          <w:szCs w:val="19"/>
          <w:color w:val="auto"/>
        </w:rPr>
        <w:t>” means, with respect to a subject matter and a Party, at the time such subject matter is disclosed or otherwise provided by such Party to the other Party under the Agreement, that such subject matter [***]</w:t>
      </w:r>
    </w:p>
    <w:p>
      <w:pPr>
        <w:spacing w:after="0" w:line="180" w:lineRule="exact"/>
        <w:rPr>
          <w:rFonts w:ascii="Times New Roman" w:cs="Times New Roman" w:eastAsia="Times New Roman" w:hAnsi="Times New Roman"/>
          <w:sz w:val="19"/>
          <w:szCs w:val="19"/>
          <w:color w:val="auto"/>
        </w:rPr>
      </w:pPr>
    </w:p>
    <w:p>
      <w:pPr>
        <w:ind w:left="1260" w:hanging="318"/>
        <w:spacing w:after="0" w:line="280" w:lineRule="auto"/>
        <w:tabs>
          <w:tab w:leader="none" w:pos="12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Research Molecule</w:t>
      </w:r>
      <w:r>
        <w:rPr>
          <w:rFonts w:ascii="Times New Roman" w:cs="Times New Roman" w:eastAsia="Times New Roman" w:hAnsi="Times New Roman"/>
          <w:sz w:val="19"/>
          <w:szCs w:val="19"/>
          <w:color w:val="auto"/>
        </w:rPr>
        <w:t>” means any multi-specific, including bi-specific, antibody molecule that [***] and (b) is [***] directed to the Licensed Target Research Combination [***]. For clarity [***].</w:t>
      </w:r>
    </w:p>
    <w:p>
      <w:pPr>
        <w:spacing w:after="0" w:line="180" w:lineRule="exact"/>
        <w:rPr>
          <w:rFonts w:ascii="Times New Roman" w:cs="Times New Roman" w:eastAsia="Times New Roman" w:hAnsi="Times New Roman"/>
          <w:sz w:val="19"/>
          <w:szCs w:val="19"/>
          <w:color w:val="auto"/>
        </w:rPr>
      </w:pPr>
    </w:p>
    <w:p>
      <w:pPr>
        <w:ind w:left="1260" w:hanging="318"/>
        <w:spacing w:after="0"/>
        <w:tabs>
          <w:tab w:leader="none" w:pos="12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Research Term</w:t>
      </w:r>
      <w:r>
        <w:rPr>
          <w:rFonts w:ascii="Times New Roman" w:cs="Times New Roman" w:eastAsia="Times New Roman" w:hAnsi="Times New Roman"/>
          <w:sz w:val="19"/>
          <w:szCs w:val="19"/>
          <w:color w:val="auto"/>
        </w:rPr>
        <w:t>” means the period commencing on the Second Research Program Opt-In Date and continuing until [***].</w:t>
      </w:r>
    </w:p>
    <w:p>
      <w:pPr>
        <w:spacing w:after="0" w:line="250" w:lineRule="exact"/>
        <w:rPr>
          <w:rFonts w:ascii="Times New Roman" w:cs="Times New Roman" w:eastAsia="Times New Roman" w:hAnsi="Times New Roman"/>
          <w:sz w:val="19"/>
          <w:szCs w:val="19"/>
          <w:color w:val="auto"/>
        </w:rPr>
      </w:pPr>
    </w:p>
    <w:p>
      <w:pPr>
        <w:ind w:left="620" w:hanging="303"/>
        <w:spacing w:after="0" w:line="280" w:lineRule="auto"/>
        <w:tabs>
          <w:tab w:leader="none" w:pos="6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Patent Prosecution</w:t>
      </w:r>
      <w:r>
        <w:rPr>
          <w:rFonts w:ascii="Times New Roman" w:cs="Times New Roman" w:eastAsia="Times New Roman" w:hAnsi="Times New Roman"/>
          <w:sz w:val="19"/>
          <w:szCs w:val="19"/>
          <w:color w:val="auto"/>
        </w:rPr>
        <w:t>. Notwithstanding each Party’s right to file, prosecute, and maintain the MacroGenics Product-Specific Patents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MacroGenics Platform Patents after the Option Effective Date as set forth in this Section 16.2(a) of the Collaboration Agreement:</w:t>
      </w:r>
    </w:p>
    <w:p>
      <w:pPr>
        <w:spacing w:after="0" w:line="182" w:lineRule="exact"/>
        <w:rPr>
          <w:rFonts w:ascii="Times New Roman" w:cs="Times New Roman" w:eastAsia="Times New Roman" w:hAnsi="Times New Roman"/>
          <w:sz w:val="19"/>
          <w:szCs w:val="19"/>
          <w:color w:val="auto"/>
        </w:rPr>
      </w:pPr>
    </w:p>
    <w:p>
      <w:pPr>
        <w:jc w:val="both"/>
        <w:ind w:left="1260" w:hanging="318"/>
        <w:spacing w:after="0" w:line="256" w:lineRule="auto"/>
        <w:tabs>
          <w:tab w:leader="none" w:pos="1249"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its earliest opportunity (but not earlier than thirty (30) months after the earliest priority date) during patent prosecution, MacroGenics, in consultation with Gilead, in jurisdictions where permissible and to the extent reasonably feasible and in a manner that does not materially prejudice the prosecution of MacroGenics Licensed Patents, will file one or more non-provisional patent application(s) claiming priority to MacroGenics’ U.S. provisional application [***] with claims that solely cover [***]. Any such non-provisional patent application shall be deemed a MacroGenics Product-Specific Patent under the Collaboration Agreement (and thereafter prosecution of such non-provisional patent application will be subject to Section 16.2(a)(v)(2) of the Collaboration Agreement).</w:t>
      </w:r>
    </w:p>
    <w:p>
      <w:pPr>
        <w:spacing w:after="0" w:line="205" w:lineRule="exact"/>
        <w:rPr>
          <w:rFonts w:ascii="Times New Roman" w:cs="Times New Roman" w:eastAsia="Times New Roman" w:hAnsi="Times New Roman"/>
          <w:sz w:val="19"/>
          <w:szCs w:val="19"/>
          <w:color w:val="auto"/>
        </w:rPr>
      </w:pPr>
    </w:p>
    <w:p>
      <w:pPr>
        <w:jc w:val="both"/>
        <w:ind w:left="1260" w:hanging="318"/>
        <w:spacing w:after="0" w:line="258" w:lineRule="auto"/>
        <w:tabs>
          <w:tab w:leader="none" w:pos="126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Likewise, if during the Term, MacroGenics files any new provisional or non-provisional patent application that includes written description that, if claimed, could cover [***], then, at Gilead’s request and expense, MacroGenics, in consultation with Gilead, in jurisdictions where permissible and to the extent reasonably feasible and in a manner that does not materially prejudice the prosecution of MacroGenics Licensed Patents, will file one or more non-provisional patent application(s) claiming priority to such new patent application with claims that solely cover [***]. Any such non-provisional patent application shall be deemed a MacroGenics Product-Specific Patent under the Collaboration Agreement (and thereafter prosecution of such non-provisional patent application will be subject to Section 16.2(a)(v)(2) of the Collaboration Agreement).</w:t>
      </w:r>
    </w:p>
    <w:p>
      <w:pPr>
        <w:spacing w:after="0" w:line="190" w:lineRule="exact"/>
        <w:rPr>
          <w:rFonts w:ascii="Times New Roman" w:cs="Times New Roman" w:eastAsia="Times New Roman" w:hAnsi="Times New Roman"/>
          <w:sz w:val="19"/>
          <w:szCs w:val="19"/>
          <w:color w:val="auto"/>
        </w:rPr>
      </w:pPr>
    </w:p>
    <w:p>
      <w:pPr>
        <w:ind w:left="620" w:hanging="303"/>
        <w:spacing w:after="0" w:line="294" w:lineRule="auto"/>
        <w:tabs>
          <w:tab w:leader="none" w:pos="6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Retained Rights</w:t>
      </w:r>
      <w:r>
        <w:rPr>
          <w:rFonts w:ascii="Times New Roman" w:cs="Times New Roman" w:eastAsia="Times New Roman" w:hAnsi="Times New Roman"/>
          <w:sz w:val="19"/>
          <w:szCs w:val="19"/>
          <w:color w:val="auto"/>
        </w:rPr>
        <w:t>. MacroGenics retains all rights with respect to the MacroGenics Platform other than those expressly granted to Gilead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Collaboration Agreement (as amended, including by this Third Letter Agreement). Without limiting the foregoing [***].</w:t>
      </w:r>
    </w:p>
    <w:p>
      <w:pPr>
        <w:spacing w:after="0" w:line="155" w:lineRule="exact"/>
        <w:rPr>
          <w:rFonts w:ascii="Times New Roman" w:cs="Times New Roman" w:eastAsia="Times New Roman" w:hAnsi="Times New Roman"/>
          <w:sz w:val="19"/>
          <w:szCs w:val="19"/>
          <w:color w:val="auto"/>
        </w:rPr>
      </w:pPr>
    </w:p>
    <w:p>
      <w:pPr>
        <w:ind w:left="620" w:hanging="303"/>
        <w:spacing w:after="0" w:line="294" w:lineRule="auto"/>
        <w:tabs>
          <w:tab w:leader="none" w:pos="6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MacroGenics Licensed Patents. Schedule 1.80 </w:t>
      </w:r>
      <w:r>
        <w:rPr>
          <w:rFonts w:ascii="Times New Roman" w:cs="Times New Roman" w:eastAsia="Times New Roman" w:hAnsi="Times New Roman"/>
          <w:sz w:val="19"/>
          <w:szCs w:val="19"/>
          <w:color w:val="auto"/>
        </w:rPr>
        <w:t>(MacroGenics Licensed Patents) of the Collaboration Agreement is updated to include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information attached hereto as </w:t>
      </w:r>
      <w:r>
        <w:rPr>
          <w:rFonts w:ascii="Times New Roman" w:cs="Times New Roman" w:eastAsia="Times New Roman" w:hAnsi="Times New Roman"/>
          <w:sz w:val="19"/>
          <w:szCs w:val="19"/>
          <w:b w:val="1"/>
          <w:bCs w:val="1"/>
          <w:color w:val="auto"/>
        </w:rPr>
        <w:t>Exhibit C</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left="620" w:hanging="303"/>
        <w:spacing w:after="0" w:line="260" w:lineRule="auto"/>
        <w:tabs>
          <w:tab w:leader="none" w:pos="6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 Provisions</w:t>
      </w:r>
      <w:r>
        <w:rPr>
          <w:rFonts w:ascii="Times New Roman" w:cs="Times New Roman" w:eastAsia="Times New Roman" w:hAnsi="Times New Roman"/>
          <w:sz w:val="19"/>
          <w:szCs w:val="19"/>
          <w:color w:val="auto"/>
        </w:rPr>
        <w:t>. This Third Letter Agreement will be deemed to be incorporated into, and made a part of, the First Letter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Second Letter Agreement and the Collaboration Agreement, and the First Letter Agreement, the Second Letter Agreement, Collaboration Agreement and this Third Letter Agreement will be read, taken, and construed as one and the same agreement (including with respect to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71"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19"/>
          <w:szCs w:val="19"/>
          <w:color w:val="auto"/>
        </w:rPr>
        <w:t xml:space="preserve">the provisions set forth in Article 19 (Miscellaneous) of the Collaboration Agreement which will, as applicable, be deemed to apply to this Third Letter Agreement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In the event of any express conflict or inconsistency between this Third Letter Agreement, on one hand, and the First Letter Agreement, the Second Letter Agreement or the Collaboration Agreement on the other hand, the terms and conditions of this Third Letter Agreement will control solely with respect to the second Research Program. This Third Letter Agreement, together with the First Letter Agreement, the Second Letter Agreement and the Collaboration Agreement, sets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Third Letter Agreement Effective Date with respect to the subject matter hereof. Except as expressly set forth in this Third Letter Agreement, all terms and conditions of the First Letter Agreement, the Second Letter Agreement and the Collaboration Agreement will remain in full force and effect during the effective period thereof.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2"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caused this Third Letter Agreement to be executed by their respective duly authorized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officers as of the Third Letter Agreement Effective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b w:val="1"/>
          <w:bCs w:val="1"/>
          <w:color w:val="auto"/>
        </w:rPr>
        <w:t>GILEAD SCIENCES, INC.</w:t>
      </w:r>
    </w:p>
    <w:p>
      <w:pPr>
        <w:spacing w:after="0" w:line="200" w:lineRule="exact"/>
        <w:rPr>
          <w:sz w:val="20"/>
          <w:szCs w:val="20"/>
          <w:color w:val="auto"/>
        </w:rPr>
      </w:pPr>
    </w:p>
    <w:p>
      <w:pPr>
        <w:spacing w:after="0" w:line="39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123825</wp:posOffset>
            </wp:positionV>
            <wp:extent cx="17202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MACROGENICS, INC.</w:t>
      </w:r>
    </w:p>
    <w:p>
      <w:pPr>
        <w:spacing w:after="0" w:line="200" w:lineRule="exact"/>
        <w:rPr>
          <w:sz w:val="20"/>
          <w:szCs w:val="20"/>
          <w:color w:val="auto"/>
        </w:rPr>
      </w:pPr>
    </w:p>
    <w:p>
      <w:pPr>
        <w:spacing w:after="0" w:line="39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123825</wp:posOffset>
            </wp:positionV>
            <wp:extent cx="17202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Third Letter Agreement</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0720"/>
          </w:cols>
          <w:pgMar w:left="320" w:top="1440" w:right="859" w:bottom="1440" w:gutter="0" w:footer="0" w:header="0"/>
        </w:sectPr>
      </w:pPr>
    </w:p>
    <w:bookmarkStart w:id="126" w:name="page127"/>
    <w:bookmarkEnd w:id="126"/>
    <w:p>
      <w:pPr>
        <w:spacing w:after="0" w:line="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164185551_18</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0139"/>
          </w:cols>
          <w:pgMar w:left="320" w:top="1440" w:right="1440" w:bottom="1440" w:gutter="0" w:footer="0" w:header="0"/>
        </w:sectPr>
      </w:pPr>
    </w:p>
    <w:bookmarkStart w:id="127" w:name="page128"/>
    <w:bookmarkEnd w:id="127"/>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2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164185551_16</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0139"/>
          </w:cols>
          <w:pgMar w:left="320" w:top="1440" w:right="1440" w:bottom="1440" w:gutter="0" w:footer="0" w:header="0"/>
        </w:sectPr>
      </w:pPr>
    </w:p>
    <w:bookmarkStart w:id="128" w:name="page129"/>
    <w:bookmarkEnd w:id="128"/>
    <w:p>
      <w:pPr>
        <w:spacing w:after="0" w:line="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Exhibit C</w:t>
      </w:r>
    </w:p>
    <w:p>
      <w:pPr>
        <w:spacing w:after="0" w:line="228"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164185551_16</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331101975 v2</w:t>
      </w:r>
    </w:p>
    <w:p>
      <w:pPr>
        <w:sectPr>
          <w:pgSz w:w="11900" w:h="16838" w:orient="portrait"/>
          <w:cols w:equalWidth="0" w:num="1">
            <w:col w:w="10139"/>
          </w:cols>
          <w:pgMar w:left="320" w:top="1440"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EMPLOYMENT AGREEMENT</w:t>
      </w:r>
    </w:p>
    <w:p>
      <w:pPr>
        <w:spacing w:after="0" w:line="214"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21"/>
          <w:szCs w:val="21"/>
          <w:color w:val="auto"/>
        </w:rPr>
        <w:t xml:space="preserve">This Amended and Restated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is entered into as of August 13, 2025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by and between MacroGenics, Inc., a Delaware corporation, including its successors and assigns (the</w:t>
      </w:r>
      <w:r>
        <w:rPr>
          <w:rFonts w:ascii="Times New Roman" w:cs="Times New Roman" w:eastAsia="Times New Roman" w:hAnsi="Times New Roman"/>
          <w:sz w:val="21"/>
          <w:szCs w:val="21"/>
          <w:b w:val="1"/>
          <w:bCs w:val="1"/>
          <w:color w:val="auto"/>
        </w:rPr>
        <w:t xml:space="preserve"> “Employer”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“Company”</w:t>
      </w:r>
      <w:r>
        <w:rPr>
          <w:rFonts w:ascii="Times New Roman" w:cs="Times New Roman" w:eastAsia="Times New Roman" w:hAnsi="Times New Roman"/>
          <w:sz w:val="21"/>
          <w:szCs w:val="21"/>
          <w:color w:val="auto"/>
        </w:rPr>
        <w:t>), and Eric Risser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25"/>
        <w:spacing w:after="0" w:line="27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the Executive are parties to an employment agreement dated March 6, 2016 (the “</w:t>
      </w:r>
      <w:r>
        <w:rPr>
          <w:rFonts w:ascii="Times New Roman" w:cs="Times New Roman" w:eastAsia="Times New Roman" w:hAnsi="Times New Roman"/>
          <w:sz w:val="21"/>
          <w:szCs w:val="21"/>
          <w:b w:val="1"/>
          <w:bCs w:val="1"/>
          <w:color w:val="auto"/>
        </w:rPr>
        <w:t>Prior Agreement</w:t>
      </w:r>
      <w:r>
        <w:rPr>
          <w:rFonts w:ascii="Times New Roman" w:cs="Times New Roman" w:eastAsia="Times New Roman" w:hAnsi="Times New Roman"/>
          <w:sz w:val="21"/>
          <w:szCs w:val="21"/>
          <w:color w:val="auto"/>
        </w:rPr>
        <w:t>”), pursuant to which Executive has been employed as the Company’s Chief Operating Officer;</w:t>
      </w:r>
    </w:p>
    <w:p>
      <w:pPr>
        <w:spacing w:after="0" w:line="142"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Company wishes to promote the Executive to President and Chief Executive Officer of the Company and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 and restate the Prior Agreement in accordance with Section 7.06 of the Prior Agreement, subject to the terms and conditions provided herein;</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promises and the respective undertakings of Employer and Executive set forth below,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Employer and Executive hereby agree as follows:</w:t>
      </w:r>
    </w:p>
    <w:p>
      <w:pPr>
        <w:spacing w:after="0" w:line="164" w:lineRule="exact"/>
        <w:rPr>
          <w:sz w:val="20"/>
          <w:szCs w:val="20"/>
          <w:color w:val="auto"/>
        </w:rPr>
      </w:pPr>
    </w:p>
    <w:p>
      <w:pPr>
        <w:ind w:firstLine="629"/>
        <w:spacing w:after="0" w:line="238" w:lineRule="auto"/>
        <w:tabs>
          <w:tab w:leader="none" w:pos="1253" w:val="left"/>
        </w:tabs>
        <w:numPr>
          <w:ilvl w:val="0"/>
          <w:numId w:val="7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Employer hereby employs Executive, and Executive hereby accepts such employment and agrees to perform services for Employer, for the period and on the other terms and subject to the conditions set forth in this Agreement.</w:t>
      </w:r>
    </w:p>
    <w:p>
      <w:pPr>
        <w:spacing w:after="0" w:line="146" w:lineRule="exact"/>
        <w:rPr>
          <w:rFonts w:ascii="Arial" w:cs="Arial" w:eastAsia="Arial" w:hAnsi="Arial"/>
          <w:sz w:val="19"/>
          <w:szCs w:val="19"/>
          <w:color w:val="auto"/>
        </w:rPr>
      </w:pPr>
    </w:p>
    <w:p>
      <w:pPr>
        <w:jc w:val="both"/>
        <w:ind w:firstLine="629"/>
        <w:spacing w:after="0" w:line="219" w:lineRule="auto"/>
        <w:tabs>
          <w:tab w:leader="none" w:pos="1253" w:val="left"/>
        </w:tabs>
        <w:numPr>
          <w:ilvl w:val="0"/>
          <w:numId w:val="7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Employment at Will</w:t>
      </w:r>
      <w:r>
        <w:rPr>
          <w:rFonts w:ascii="Times New Roman" w:cs="Times New Roman" w:eastAsia="Times New Roman" w:hAnsi="Times New Roman"/>
          <w:sz w:val="21"/>
          <w:szCs w:val="21"/>
          <w:color w:val="auto"/>
        </w:rPr>
        <w:t>. Executive is employed “at-will” which means that Executive’s employment is not for any defined term and may be terminated by either Executive or the Company at any time, with or without cause, for any or no reason, subject to the notice provisions in Section 5. Upon termination of Executive’s employment for any reason, Executive shall be deemed to have resigned from all positions and terminated any relationships as an employee, advisor, officer or director with the Company and any of its affiliates, each effective on the date of termination.</w:t>
      </w:r>
    </w:p>
    <w:p>
      <w:pPr>
        <w:spacing w:after="0" w:line="148" w:lineRule="exact"/>
        <w:rPr>
          <w:rFonts w:ascii="Arial" w:cs="Arial" w:eastAsia="Arial" w:hAnsi="Arial"/>
          <w:sz w:val="19"/>
          <w:szCs w:val="19"/>
          <w:color w:val="auto"/>
        </w:rPr>
      </w:pPr>
    </w:p>
    <w:p>
      <w:pPr>
        <w:ind w:left="1260" w:hanging="631"/>
        <w:spacing w:after="0"/>
        <w:tabs>
          <w:tab w:leader="none" w:pos="1260" w:val="left"/>
        </w:tabs>
        <w:numPr>
          <w:ilvl w:val="0"/>
          <w:numId w:val="7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3.01. </w:t>
      </w:r>
      <w:r>
        <w:rPr>
          <w:rFonts w:ascii="Times New Roman" w:cs="Times New Roman" w:eastAsia="Times New Roman" w:hAnsi="Times New Roman"/>
          <w:sz w:val="21"/>
          <w:szCs w:val="21"/>
          <w:u w:val="single" w:color="auto"/>
          <w:color w:val="auto"/>
        </w:rPr>
        <w:t>Service with Employer</w:t>
      </w:r>
      <w:r>
        <w:rPr>
          <w:rFonts w:ascii="Times New Roman" w:cs="Times New Roman" w:eastAsia="Times New Roman" w:hAnsi="Times New Roman"/>
          <w:sz w:val="21"/>
          <w:szCs w:val="21"/>
          <w:color w:val="auto"/>
        </w:rPr>
        <w:t>. Employer hereby employs Executive in an executive capacity with the title of President and Chief Executive Officer (</w:t>
      </w:r>
      <w:r>
        <w:rPr>
          <w:rFonts w:ascii="Times New Roman" w:cs="Times New Roman" w:eastAsia="Times New Roman" w:hAnsi="Times New Roman"/>
          <w:sz w:val="21"/>
          <w:szCs w:val="21"/>
          <w:b w:val="1"/>
          <w:bCs w:val="1"/>
          <w:color w:val="auto"/>
        </w:rPr>
        <w:t>“Title”</w:t>
      </w:r>
      <w:r>
        <w:rPr>
          <w:rFonts w:ascii="Times New Roman" w:cs="Times New Roman" w:eastAsia="Times New Roman" w:hAnsi="Times New Roman"/>
          <w:sz w:val="21"/>
          <w:szCs w:val="21"/>
          <w:color w:val="auto"/>
        </w:rPr>
        <w:t xml:space="preserve">), and Executive hereby accepts such employment and undertakes and agrees to serve in such capacity. Subject to the overall policy directives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applicable law, in Executive’s capacity as Title, Executive shall have such powers, perform such duties and fulfill such responsibilities as are typically associated with such position in other similarly situated companies. The Board has requested that Executive serve as a member of the Board, solely during the term of Executive’s employment, for no additional compensation, subject to the Board duly appointing Executive as a a director.</w:t>
      </w:r>
    </w:p>
    <w:p>
      <w:pPr>
        <w:spacing w:after="0" w:line="149"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 xml:space="preserve">3.02. </w:t>
      </w:r>
      <w:r>
        <w:rPr>
          <w:rFonts w:ascii="Times New Roman" w:cs="Times New Roman" w:eastAsia="Times New Roman" w:hAnsi="Times New Roman"/>
          <w:sz w:val="21"/>
          <w:szCs w:val="21"/>
          <w:u w:val="single" w:color="auto"/>
          <w:color w:val="auto"/>
        </w:rPr>
        <w:t>Performance of Duties</w:t>
      </w:r>
      <w:r>
        <w:rPr>
          <w:rFonts w:ascii="Times New Roman" w:cs="Times New Roman" w:eastAsia="Times New Roman" w:hAnsi="Times New Roman"/>
          <w:sz w:val="21"/>
          <w:szCs w:val="21"/>
          <w:color w:val="auto"/>
        </w:rPr>
        <w:t>. Executive agrees to: (i) devote substantially all of Executive’s business time, attention and efforts to the business and affairs of Employer while employed; and (ii) adhere to all Employer’s written employment policies and procedures as shall be in force from time to time. Executive shall perform Executive’s duties primarily at the Company’s headquarters in Rockville, Maryland, but is expected to travel as Company business necessitates and may work remote occasionally.</w:t>
      </w:r>
    </w:p>
    <w:p>
      <w:pPr>
        <w:spacing w:after="0" w:line="148" w:lineRule="exact"/>
        <w:rPr>
          <w:sz w:val="20"/>
          <w:szCs w:val="20"/>
          <w:color w:val="auto"/>
        </w:rPr>
      </w:pPr>
    </w:p>
    <w:p>
      <w:pPr>
        <w:jc w:val="both"/>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3.03. </w:t>
      </w:r>
      <w:r>
        <w:rPr>
          <w:rFonts w:ascii="Times New Roman" w:cs="Times New Roman" w:eastAsia="Times New Roman" w:hAnsi="Times New Roman"/>
          <w:sz w:val="21"/>
          <w:szCs w:val="21"/>
          <w:u w:val="single" w:color="auto"/>
          <w:color w:val="auto"/>
        </w:rPr>
        <w:t>Outside Activities</w:t>
      </w:r>
      <w:r>
        <w:rPr>
          <w:rFonts w:ascii="Times New Roman" w:cs="Times New Roman" w:eastAsia="Times New Roman" w:hAnsi="Times New Roman"/>
          <w:sz w:val="21"/>
          <w:szCs w:val="21"/>
          <w:color w:val="auto"/>
        </w:rPr>
        <w:t>. During the term of Executive’s employment with the Company pursuant to this Agreement, Executive shall not, except as set forth below: (i) accept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25" w:right="339" w:bottom="1440" w:gutter="0" w:footer="0" w:header="0"/>
        </w:sectPr>
      </w:pPr>
    </w:p>
    <w:bookmarkStart w:id="130" w:name="page131"/>
    <w:bookmarkEnd w:id="130"/>
    <w:p>
      <w:pPr>
        <w:jc w:val="both"/>
        <w:spacing w:after="0" w:line="222" w:lineRule="auto"/>
        <w:rPr>
          <w:sz w:val="20"/>
          <w:szCs w:val="20"/>
          <w:color w:val="auto"/>
        </w:rPr>
      </w:pPr>
      <w:r>
        <w:rPr>
          <w:rFonts w:ascii="Times New Roman" w:cs="Times New Roman" w:eastAsia="Times New Roman" w:hAnsi="Times New Roman"/>
          <w:sz w:val="20"/>
          <w:szCs w:val="20"/>
          <w:color w:val="auto"/>
        </w:rPr>
        <w:t xml:space="preserve">other employment; (ii) render or perform services for compensation to any Person (as hereinafter defined) other than Employer; (iii) serve as an officer or on the board of directors (or similar governing body) of any entity other than Employer, whether or not for compensation; or (iv) engage in any other business or professional activity that will require any effort on the part of Executive that, in the sole discretion of Employer, could reasonably be expected to materially detract from the ability of Executive to perform Executive’s duties to Employer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Executive may engage in the activities (x) set forth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(as may be amended from time to time by mutual written agreement of the parties) so long as in doing so Executive is not in any way competing with the Company and such outside activities do not materially detract from Executive’s performance of his duties hereunder or (y) described in clause (iii) or (iv) above if prior to engaging in such activity described in clause (iii) or (iv), Executive has disclosed such activity to the Board and received written approval to engage in such activity from the Board. Executive may engage in personal investments without disclosure to or written approval from the Board provided Executive is not required or expected to serve as a board member, advisor or consultant and Executive shall, at any time, own beneficially less than 5% of the outstanding securities of any issuer and such personal investment shall not otherwise interfere with Executive’s performance of duties hereunder and/or the provisions of Executive’s written agreements with Employer. Although Executive may be engaged in outside activities pursuant to this section, nothing herein is intended to limit or waive Executive’s fiduciary duties.</w:t>
      </w:r>
    </w:p>
    <w:p>
      <w:pPr>
        <w:spacing w:after="0" w:line="148" w:lineRule="exact"/>
        <w:rPr>
          <w:sz w:val="20"/>
          <w:szCs w:val="20"/>
          <w:color w:val="auto"/>
        </w:rPr>
      </w:pPr>
    </w:p>
    <w:p>
      <w:pPr>
        <w:jc w:val="both"/>
        <w:ind w:firstLine="1250"/>
        <w:spacing w:after="0" w:line="228" w:lineRule="auto"/>
        <w:rPr>
          <w:sz w:val="20"/>
          <w:szCs w:val="20"/>
          <w:color w:val="auto"/>
        </w:rPr>
      </w:pPr>
      <w:r>
        <w:rPr>
          <w:rFonts w:ascii="Times New Roman" w:cs="Times New Roman" w:eastAsia="Times New Roman" w:hAnsi="Times New Roman"/>
          <w:sz w:val="21"/>
          <w:szCs w:val="21"/>
          <w:color w:val="auto"/>
        </w:rPr>
        <w:t xml:space="preserve">3.04. </w:t>
      </w:r>
      <w:r>
        <w:rPr>
          <w:rFonts w:ascii="Times New Roman" w:cs="Times New Roman" w:eastAsia="Times New Roman" w:hAnsi="Times New Roman"/>
          <w:sz w:val="21"/>
          <w:szCs w:val="21"/>
          <w:u w:val="single" w:color="auto"/>
          <w:color w:val="auto"/>
        </w:rPr>
        <w:t>Executive Representations</w:t>
      </w:r>
      <w:r>
        <w:rPr>
          <w:rFonts w:ascii="Times New Roman" w:cs="Times New Roman" w:eastAsia="Times New Roman" w:hAnsi="Times New Roman"/>
          <w:sz w:val="21"/>
          <w:szCs w:val="21"/>
          <w:color w:val="auto"/>
        </w:rPr>
        <w:t>. Executive represents that Executive is not subject to any restrictive covenant, confidentiality agreement, or any other agreement that would prevent Executive from accepting continued employment with Employer, and based on the information provided to Employer by Executive, Employer accepts such representation.</w:t>
      </w:r>
    </w:p>
    <w:p>
      <w:pPr>
        <w:spacing w:after="0" w:line="145" w:lineRule="exact"/>
        <w:rPr>
          <w:sz w:val="20"/>
          <w:szCs w:val="20"/>
          <w:color w:val="auto"/>
        </w:rPr>
      </w:pPr>
    </w:p>
    <w:p>
      <w:pPr>
        <w:ind w:left="1260" w:hanging="631"/>
        <w:spacing w:after="0"/>
        <w:tabs>
          <w:tab w:leader="none" w:pos="1260" w:val="left"/>
        </w:tabs>
        <w:numPr>
          <w:ilvl w:val="0"/>
          <w:numId w:val="8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50"/>
        <w:spacing w:after="0" w:line="214" w:lineRule="auto"/>
        <w:rPr>
          <w:sz w:val="20"/>
          <w:szCs w:val="20"/>
          <w:color w:val="auto"/>
        </w:rPr>
      </w:pPr>
      <w:r>
        <w:rPr>
          <w:rFonts w:ascii="Times New Roman" w:cs="Times New Roman" w:eastAsia="Times New Roman" w:hAnsi="Times New Roman"/>
          <w:sz w:val="21"/>
          <w:szCs w:val="21"/>
          <w:color w:val="auto"/>
        </w:rPr>
        <w:t xml:space="preserve">4.01.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Employer shall pay to Executive an annual base salary rate for all services to be rendered by Executive under this Agreement of $625,000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which Base Salary shall be paid in accordance with Employer’s normal payroll schedule, procedures and policies (which schedule, procedures and policies may be modified from time to time) and subject to applicable deductions as required by law. Employer shall review Executive’s salary on an annual basis and may, in its discretion, consider and declare from time to time increases in the Base Salary that it pays Executive. Any and all increases in Executive’s salary pursuant to this section shall cause the level of Base Salary to be increased by the amount of each such increase for purposes of this Agreement. The increased level of Base Salary as provided in this section shall become the level of Base Salary for the remainder of the term of this Agreement unless there is a further increase in Base Salary as provided herein.</w:t>
      </w:r>
    </w:p>
    <w:p>
      <w:pPr>
        <w:spacing w:after="0" w:line="153" w:lineRule="exact"/>
        <w:rPr>
          <w:sz w:val="20"/>
          <w:szCs w:val="20"/>
          <w:color w:val="auto"/>
        </w:rPr>
      </w:pPr>
    </w:p>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4.02.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Executive shall also be eligible to receive, in addition to the Base Salary, an annual bonus having a target amount equal to 60% of Executive’s Base Salary (</w:t>
      </w:r>
      <w:r>
        <w:rPr>
          <w:rFonts w:ascii="Times New Roman" w:cs="Times New Roman" w:eastAsia="Times New Roman" w:hAnsi="Times New Roman"/>
          <w:sz w:val="21"/>
          <w:szCs w:val="21"/>
          <w:b w:val="1"/>
          <w:bCs w:val="1"/>
          <w:color w:val="auto"/>
        </w:rPr>
        <w:t>“Target Bonus”</w:t>
      </w:r>
      <w:r>
        <w:rPr>
          <w:rFonts w:ascii="Times New Roman" w:cs="Times New Roman" w:eastAsia="Times New Roman" w:hAnsi="Times New Roman"/>
          <w:sz w:val="21"/>
          <w:szCs w:val="21"/>
          <w:color w:val="auto"/>
        </w:rPr>
        <w:t>), with the actual amount being determined by the Human Capital Management Committee of the Board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in its discretion taking into account the Company’s performance and Executive’s individual performance. The Target Bonus may be adjusted by the Committee from time to time based on a qualitative leadership assessment of Executive’s performance. In order to earn and receive a Target Bonus, Executive must be employed by Employer on the date the bonus is paid.</w:t>
      </w:r>
    </w:p>
    <w:p>
      <w:pPr>
        <w:spacing w:after="0" w:line="149"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4.03. Equity Compensation. The Company will grant Executive an option to purchase 550,000 shares of the Company’s Common Stock with an exercise price equal to the closing per-share trading price of the Company’s Common Stock on the Effective Date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25% of the Option will vest one year after the Effective Date and in 12 substantially equal quarterly installments thereafter, subject to Executive’s continued employment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-425450</wp:posOffset>
            </wp:positionV>
            <wp:extent cx="12496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31" w:name="page132"/>
    <w:bookmarkEnd w:id="131"/>
    <w:p>
      <w:pPr>
        <w:jc w:val="both"/>
        <w:spacing w:after="0" w:line="238" w:lineRule="auto"/>
        <w:rPr>
          <w:sz w:val="20"/>
          <w:szCs w:val="20"/>
          <w:color w:val="auto"/>
        </w:rPr>
      </w:pPr>
      <w:r>
        <w:rPr>
          <w:rFonts w:ascii="Times New Roman" w:cs="Times New Roman" w:eastAsia="Times New Roman" w:hAnsi="Times New Roman"/>
          <w:sz w:val="21"/>
          <w:szCs w:val="21"/>
          <w:color w:val="auto"/>
        </w:rPr>
        <w:t>applicable vesting dates. The Option will otherwise be subject to the terms of the Company’s 2023 Equity Incentive Plan and the applicable award agreement thereunder.</w:t>
      </w:r>
    </w:p>
    <w:p>
      <w:pPr>
        <w:spacing w:after="0" w:line="146"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 xml:space="preserve">4.04. </w:t>
      </w:r>
      <w:r>
        <w:rPr>
          <w:rFonts w:ascii="Times New Roman" w:cs="Times New Roman" w:eastAsia="Times New Roman" w:hAnsi="Times New Roman"/>
          <w:sz w:val="21"/>
          <w:szCs w:val="21"/>
          <w:u w:val="single" w:color="auto"/>
          <w:color w:val="auto"/>
        </w:rPr>
        <w:t>Participation in Benefit Plans</w:t>
      </w:r>
      <w:r>
        <w:rPr>
          <w:rFonts w:ascii="Times New Roman" w:cs="Times New Roman" w:eastAsia="Times New Roman" w:hAnsi="Times New Roman"/>
          <w:sz w:val="21"/>
          <w:szCs w:val="21"/>
          <w:color w:val="auto"/>
        </w:rPr>
        <w:t xml:space="preserve">. Executive shall be entitled to participate in all employee benefit plans or programs offered to other senior executives from time to time (to the extent that Executive meets the requirements for each such plan or program), including participation in any health insurance plan, disability insurance plan, dental plan, eye care plan, 401(k) plan, life insurance plan, or other similar plans (all such benefits, the </w:t>
      </w:r>
      <w:r>
        <w:rPr>
          <w:rFonts w:ascii="Times New Roman" w:cs="Times New Roman" w:eastAsia="Times New Roman" w:hAnsi="Times New Roman"/>
          <w:sz w:val="21"/>
          <w:szCs w:val="21"/>
          <w:b w:val="1"/>
          <w:bCs w:val="1"/>
          <w:color w:val="auto"/>
        </w:rPr>
        <w:t>“Benefit Plans”</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 xml:space="preserve">4.05.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Employer shall reimburse Executive for all ordinary and necessary business expenses reasonably incurred by Executive in the performance of Executive’s duties under this Agreement, subject to the presentment and approval of appropriate itemized expense statements, receipts, vouchers or other supporting documentation in accordance with Employer’s normal policies for expense verification in effect from time to time.</w:t>
      </w:r>
    </w:p>
    <w:p>
      <w:pPr>
        <w:spacing w:after="0" w:line="148" w:lineRule="exact"/>
        <w:rPr>
          <w:sz w:val="20"/>
          <w:szCs w:val="20"/>
          <w:color w:val="auto"/>
        </w:rPr>
      </w:pPr>
    </w:p>
    <w:p>
      <w:pPr>
        <w:jc w:val="both"/>
        <w:ind w:firstLine="1250"/>
        <w:spacing w:after="0" w:line="228" w:lineRule="auto"/>
        <w:rPr>
          <w:sz w:val="20"/>
          <w:szCs w:val="20"/>
          <w:color w:val="auto"/>
        </w:rPr>
      </w:pPr>
      <w:r>
        <w:rPr>
          <w:rFonts w:ascii="Times New Roman" w:cs="Times New Roman" w:eastAsia="Times New Roman" w:hAnsi="Times New Roman"/>
          <w:sz w:val="21"/>
          <w:szCs w:val="21"/>
          <w:color w:val="auto"/>
        </w:rPr>
        <w:t xml:space="preserve">4.06. </w:t>
      </w: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shall be entitled to twenty (20) vacation days per calendar year, accruing in accordance with the Company’s vacation policy. Executive may carry over up to a maximum of 200 hours of annual leave (including sick pay) at any time, and any unused vacation time beyond that will be forfeited.</w:t>
      </w:r>
    </w:p>
    <w:p>
      <w:pPr>
        <w:spacing w:after="0" w:line="145" w:lineRule="exact"/>
        <w:rPr>
          <w:sz w:val="20"/>
          <w:szCs w:val="20"/>
          <w:color w:val="auto"/>
        </w:rPr>
      </w:pPr>
    </w:p>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4.07. </w:t>
      </w:r>
      <w:r>
        <w:rPr>
          <w:rFonts w:ascii="Times New Roman" w:cs="Times New Roman" w:eastAsia="Times New Roman" w:hAnsi="Times New Roman"/>
          <w:sz w:val="21"/>
          <w:szCs w:val="21"/>
          <w:u w:val="single" w:color="auto"/>
          <w:color w:val="auto"/>
        </w:rPr>
        <w:t>Total Compensation</w:t>
      </w:r>
      <w:r>
        <w:rPr>
          <w:rFonts w:ascii="Times New Roman" w:cs="Times New Roman" w:eastAsia="Times New Roman" w:hAnsi="Times New Roman"/>
          <w:sz w:val="21"/>
          <w:szCs w:val="21"/>
          <w:color w:val="auto"/>
        </w:rPr>
        <w:t xml:space="preserve">. Other than the retention bonus agreement between the Company and Executive, dated November 7, 2024, and as may be approved by the Board, Executive shall not receive any other compensation or benefits from the Company other than as provided in </w:t>
      </w:r>
      <w:r>
        <w:rPr>
          <w:rFonts w:ascii="Times New Roman" w:cs="Times New Roman" w:eastAsia="Times New Roman" w:hAnsi="Times New Roman"/>
          <w:sz w:val="21"/>
          <w:szCs w:val="21"/>
          <w:u w:val="single" w:color="auto"/>
          <w:color w:val="auto"/>
        </w:rPr>
        <w:t>Sections 4.01</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4.06</w:t>
      </w:r>
      <w:r>
        <w:rPr>
          <w:rFonts w:ascii="Times New Roman" w:cs="Times New Roman" w:eastAsia="Times New Roman" w:hAnsi="Times New Roman"/>
          <w:sz w:val="21"/>
          <w:szCs w:val="21"/>
          <w:color w:val="auto"/>
        </w:rPr>
        <w:t xml:space="preserve"> hereof.Executive and Employer further acknowledge and agree that as of the Effective Date, Executive has not earned and is no longer eligible for nor owed any compensation or benefits under the Prior Agreement, provided however that, Executive’s service under the Prior Agreement in 2025 should be considered by the Committee in determining an annual bonus amount for the 2025 calendar year.</w:t>
      </w:r>
    </w:p>
    <w:p>
      <w:pPr>
        <w:spacing w:after="0" w:line="149" w:lineRule="exact"/>
        <w:rPr>
          <w:sz w:val="20"/>
          <w:szCs w:val="20"/>
          <w:color w:val="auto"/>
        </w:rPr>
      </w:pPr>
    </w:p>
    <w:p>
      <w:pPr>
        <w:ind w:left="1260" w:hanging="631"/>
        <w:spacing w:after="0"/>
        <w:tabs>
          <w:tab w:leader="none" w:pos="1260" w:val="left"/>
        </w:tabs>
        <w:numPr>
          <w:ilvl w:val="0"/>
          <w:numId w:val="81"/>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Payments Upon Termination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50"/>
        <w:spacing w:after="0" w:line="216" w:lineRule="auto"/>
        <w:rPr>
          <w:sz w:val="20"/>
          <w:szCs w:val="20"/>
          <w:color w:val="auto"/>
        </w:rPr>
      </w:pPr>
      <w:r>
        <w:rPr>
          <w:rFonts w:ascii="Times New Roman" w:cs="Times New Roman" w:eastAsia="Times New Roman" w:hAnsi="Times New Roman"/>
          <w:sz w:val="21"/>
          <w:szCs w:val="21"/>
          <w:color w:val="auto"/>
        </w:rPr>
        <w:t xml:space="preserve">5.01. </w:t>
      </w:r>
      <w:r>
        <w:rPr>
          <w:rFonts w:ascii="Times New Roman" w:cs="Times New Roman" w:eastAsia="Times New Roman" w:hAnsi="Times New Roman"/>
          <w:sz w:val="21"/>
          <w:szCs w:val="21"/>
          <w:u w:val="single" w:color="auto"/>
          <w:color w:val="auto"/>
        </w:rPr>
        <w:t>Voluntary Resignation without Good Reason</w:t>
      </w:r>
      <w:r>
        <w:rPr>
          <w:rFonts w:ascii="Times New Roman" w:cs="Times New Roman" w:eastAsia="Times New Roman" w:hAnsi="Times New Roman"/>
          <w:sz w:val="21"/>
          <w:szCs w:val="21"/>
          <w:color w:val="auto"/>
        </w:rPr>
        <w:t xml:space="preserve">. Executive may terminate Executive’s employment by providing Employer with 30 days’ advance written notice, which notice period may be waived by the Company in its discretion and will be deemed to be waived in the case of the Executive’s effective resignation due to death or Disability (as defined below). If Executive terminates Executive’s employment (other than for Good Reason (as defined below) or by reason of death or Disability (as defined below)) (i) Employer shall pay to Executive the Accrued Obligations (as defined below), (ii) Executive’s participation in the Benefit Plans shall terminate as of the Termination Date, and (iii) Employer shall have no other obligations to Executive under this Agreement, other than those provided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left="620" w:firstLine="1385"/>
        <w:spacing w:after="0" w:line="223" w:lineRule="auto"/>
        <w:tabs>
          <w:tab w:leader="none" w:pos="249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For purposes of this Agreement, </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xml:space="preserve"> means: (i) Executive’s earned and unpaid Base Salary through the Termination Date; (ii) reimbursement for any reimbursable business expenses incurred by Executive through the Termination Date in accordance with </w:t>
      </w:r>
      <w:r>
        <w:rPr>
          <w:rFonts w:ascii="Times New Roman" w:cs="Times New Roman" w:eastAsia="Times New Roman" w:hAnsi="Times New Roman"/>
          <w:sz w:val="21"/>
          <w:szCs w:val="21"/>
          <w:u w:val="single" w:color="auto"/>
          <w:color w:val="auto"/>
        </w:rPr>
        <w:t>Section 4.05</w:t>
      </w:r>
      <w:r>
        <w:rPr>
          <w:rFonts w:ascii="Times New Roman" w:cs="Times New Roman" w:eastAsia="Times New Roman" w:hAnsi="Times New Roman"/>
          <w:sz w:val="21"/>
          <w:szCs w:val="21"/>
          <w:color w:val="auto"/>
        </w:rPr>
        <w:t>; and (iii) Executive’s accrued but unused vacation time as of the Termination Date.</w:t>
      </w:r>
    </w:p>
    <w:p>
      <w:pPr>
        <w:spacing w:after="0" w:line="144" w:lineRule="exact"/>
        <w:rPr>
          <w:rFonts w:ascii="Times New Roman" w:cs="Times New Roman" w:eastAsia="Times New Roman" w:hAnsi="Times New Roman"/>
          <w:sz w:val="19"/>
          <w:szCs w:val="19"/>
          <w:color w:val="auto"/>
        </w:rPr>
      </w:pPr>
    </w:p>
    <w:p>
      <w:pPr>
        <w:jc w:val="both"/>
        <w:ind w:left="620" w:firstLine="1385"/>
        <w:spacing w:after="0" w:line="229" w:lineRule="auto"/>
        <w:tabs>
          <w:tab w:leader="none" w:pos="249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For purposes of this Agreement,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xml:space="preserve"> means: the effective date of Executive’s “separation from service” as defined in Section 409A of the Internal Revenue Code, or any applicable successor provision in effect at the Termination Date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5.02. </w:t>
      </w:r>
      <w:r>
        <w:rPr>
          <w:rFonts w:ascii="Times New Roman" w:cs="Times New Roman" w:eastAsia="Times New Roman" w:hAnsi="Times New Roman"/>
          <w:sz w:val="21"/>
          <w:szCs w:val="21"/>
          <w:u w:val="single" w:color="auto"/>
          <w:color w:val="auto"/>
        </w:rPr>
        <w:t>Termination by Employer For Cause</w:t>
      </w:r>
      <w:r>
        <w:rPr>
          <w:rFonts w:ascii="Times New Roman" w:cs="Times New Roman" w:eastAsia="Times New Roman" w:hAnsi="Times New Roman"/>
          <w:sz w:val="21"/>
          <w:szCs w:val="21"/>
          <w:color w:val="auto"/>
        </w:rPr>
        <w:t>. If Executive’s employment is terminated for Cause: (i) Employer shall pay to Executive the Accrued Obligations, (ii)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32" w:name="page133"/>
    <w:bookmarkEnd w:id="132"/>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Executive’s participation in the Benefit Plans shall terminate as of the Termination Date, and (iii) Employer shall have no further obligations to Executive under this Agreement, other than those provided in this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Executive’s failure to substantially perform Executive’s duties with the Company (if Executive has not cured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failure to substantially perform, if curable, within thirty (30) days after Executive’s receipt of written notice thereof from the Board that specifies the conduct constituting Cause under this clause (a)); (b) Executive’s willful misconduct, or gross negligence in the performance of Executive’s duties hereunder; (c) the conviction of Executive, or the entering by Executive of a guilty plea or plea of no contest with respect to, any crime that constitutes a felony or involves fraud, dishonesty or moral turpitude; (d) Executive’s commission of an act of fraud, embezzlement or misappropriation against the Company; (e) Executive’s material breach of the fiduciary duty owed by Executive to Company; (f) Executive’s engaging in any grossly improper conduct that has or is likely to have a materially adverse economic or reputational impact on the Company; or (g) Executive’s material breach of this Agreement (if Executive has not cured such breach, if curable, within thirty (30) days after Executive’s receipt of written notice thereof from the Board that specifies the conduct constituting Cause under this clause (g)).</w:t>
      </w:r>
    </w:p>
    <w:p>
      <w:pPr>
        <w:spacing w:after="0" w:line="149" w:lineRule="exact"/>
        <w:rPr>
          <w:sz w:val="20"/>
          <w:szCs w:val="20"/>
          <w:color w:val="auto"/>
        </w:rPr>
      </w:pPr>
    </w:p>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5.03. </w:t>
      </w:r>
      <w:r>
        <w:rPr>
          <w:rFonts w:ascii="Times New Roman" w:cs="Times New Roman" w:eastAsia="Times New Roman" w:hAnsi="Times New Roman"/>
          <w:sz w:val="21"/>
          <w:szCs w:val="21"/>
          <w:u w:val="single" w:color="auto"/>
          <w:color w:val="auto"/>
        </w:rPr>
        <w:t>Termination by Employer Without Cause or by Executive for Good Reason</w:t>
      </w:r>
      <w:r>
        <w:rPr>
          <w:rFonts w:ascii="Times New Roman" w:cs="Times New Roman" w:eastAsia="Times New Roman" w:hAnsi="Times New Roman"/>
          <w:sz w:val="21"/>
          <w:szCs w:val="21"/>
          <w:color w:val="auto"/>
        </w:rPr>
        <w:t xml:space="preserve">. If Executive’s employment is terminated by Employer without Cause or by Executive for Good Reason: (i) Employer shall pay to Executive the Accrued Obligations, (ii) Executive shall be entitled to receive the Severance Benefits (as defined below in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and subject to the conditions described therein and in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and (iii) Employer shall have no further obligations to Executive under this Agreement, other than those provided in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means the occurrence of any of the following events (without Executive’s consent):</w:t>
      </w:r>
    </w:p>
    <w:p>
      <w:pPr>
        <w:spacing w:after="0" w:line="175" w:lineRule="exact"/>
        <w:rPr>
          <w:sz w:val="20"/>
          <w:szCs w:val="20"/>
          <w:color w:val="auto"/>
        </w:rPr>
      </w:pPr>
    </w:p>
    <w:p>
      <w:pPr>
        <w:jc w:val="both"/>
        <w:ind w:left="1260" w:firstLine="1245"/>
        <w:spacing w:after="0" w:line="267" w:lineRule="auto"/>
        <w:tabs>
          <w:tab w:leader="none" w:pos="3133"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adverse change in Executive’s functions, duties, or responsibilities as Title with the Company, which change would cause Executive’s position to become one of materially lesser responsibility, importance, or scope;</w:t>
      </w:r>
    </w:p>
    <w:p>
      <w:pPr>
        <w:spacing w:after="0" w:line="157" w:lineRule="exact"/>
        <w:rPr>
          <w:rFonts w:ascii="Times New Roman" w:cs="Times New Roman" w:eastAsia="Times New Roman" w:hAnsi="Times New Roman"/>
          <w:sz w:val="19"/>
          <w:szCs w:val="19"/>
          <w:color w:val="auto"/>
        </w:rPr>
      </w:pPr>
    </w:p>
    <w:p>
      <w:pPr>
        <w:jc w:val="both"/>
        <w:ind w:left="1260" w:firstLine="1245"/>
        <w:spacing w:after="0" w:line="267" w:lineRule="auto"/>
        <w:tabs>
          <w:tab w:leader="none" w:pos="3134"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change in the geographic location at which Executive must perform services to the Company of 50 miles or more from the Company’s headquarters in Rockville, Maryland (unless Executive is permitted to telecommute rather than work at the Company’s new headquarters); or</w:t>
      </w:r>
    </w:p>
    <w:p>
      <w:pPr>
        <w:spacing w:after="0" w:line="157" w:lineRule="exact"/>
        <w:rPr>
          <w:rFonts w:ascii="Times New Roman" w:cs="Times New Roman" w:eastAsia="Times New Roman" w:hAnsi="Times New Roman"/>
          <w:sz w:val="19"/>
          <w:szCs w:val="19"/>
          <w:color w:val="auto"/>
        </w:rPr>
      </w:pPr>
    </w:p>
    <w:p>
      <w:pPr>
        <w:ind w:left="3120" w:hanging="615"/>
        <w:spacing w:after="0"/>
        <w:tabs>
          <w:tab w:leader="none" w:pos="312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breach of this Agreement by the Company.</w:t>
      </w:r>
    </w:p>
    <w:p>
      <w:pPr>
        <w:spacing w:after="0" w:line="227" w:lineRule="exact"/>
        <w:rPr>
          <w:rFonts w:ascii="Times New Roman" w:cs="Times New Roman" w:eastAsia="Times New Roman" w:hAnsi="Times New Roman"/>
          <w:sz w:val="19"/>
          <w:szCs w:val="19"/>
          <w:color w:val="auto"/>
        </w:rPr>
      </w:pPr>
    </w:p>
    <w:p>
      <w:pPr>
        <w:jc w:val="both"/>
        <w:ind w:firstLine="4"/>
        <w:spacing w:after="0" w:line="253" w:lineRule="auto"/>
        <w:tabs>
          <w:tab w:leader="none" w:pos="62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such event shall constitute “Good Reason” unless (A) Executive shall have given written notice of such event to the Company within six (6) months after the initial occurrence thereof, (B) the Company shall have failed to cure the condition constituting Good Reason within thirty (30) days following the delivery of such notice (or such longer cure period as may be agreed upon by the parties), and (C) Executive terminates employment within thirty (30) days after expiration of such cure period.</w:t>
      </w:r>
    </w:p>
    <w:p>
      <w:pPr>
        <w:spacing w:after="0" w:line="147" w:lineRule="exact"/>
        <w:rPr>
          <w:sz w:val="20"/>
          <w:szCs w:val="20"/>
          <w:color w:val="auto"/>
        </w:rPr>
      </w:pPr>
    </w:p>
    <w:p>
      <w:pPr>
        <w:jc w:val="both"/>
        <w:ind w:firstLine="1250"/>
        <w:spacing w:after="0" w:line="219" w:lineRule="auto"/>
        <w:rPr>
          <w:sz w:val="20"/>
          <w:szCs w:val="20"/>
          <w:color w:val="auto"/>
        </w:rPr>
      </w:pPr>
      <w:r>
        <w:rPr>
          <w:rFonts w:ascii="Times New Roman" w:cs="Times New Roman" w:eastAsia="Times New Roman" w:hAnsi="Times New Roman"/>
          <w:sz w:val="21"/>
          <w:szCs w:val="21"/>
          <w:color w:val="auto"/>
        </w:rPr>
        <w:t xml:space="preserve">5.04. </w:t>
      </w:r>
      <w:r>
        <w:rPr>
          <w:rFonts w:ascii="Times New Roman" w:cs="Times New Roman" w:eastAsia="Times New Roman" w:hAnsi="Times New Roman"/>
          <w:sz w:val="21"/>
          <w:szCs w:val="21"/>
          <w:u w:val="single" w:color="auto"/>
          <w:color w:val="auto"/>
        </w:rPr>
        <w:t>Termination by Employer due to Executive’s Death or Disability</w:t>
      </w:r>
      <w:r>
        <w:rPr>
          <w:rFonts w:ascii="Times New Roman" w:cs="Times New Roman" w:eastAsia="Times New Roman" w:hAnsi="Times New Roman"/>
          <w:sz w:val="21"/>
          <w:szCs w:val="21"/>
          <w:color w:val="auto"/>
        </w:rPr>
        <w:t>. If Executive’s employment is terminated by reason of death or Disability (as defined below): (i) Employer shall pay to Executive the Accrued Obligations, (ii) Executive’s participation in the Benefit Plans shall terminate as of the Termination Date (except to the extent Executive is eligible for continued death or disability benefits under the applicable Employer plan), and (iv) Employer shall have no further obligations to Executive under this Agreement, other than those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33" w:name="page134"/>
    <w:bookmarkEnd w:id="133"/>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provided in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For the purposes of clarity, nothing in this Section 5.04 is to be construed as limiting Executive’s right to recover insurance proceeds under the Company’s life or disability insurance benefit plans that would otherwise be applicable to Executive’s death or Disability. For purposes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xml:space="preserve"> means (a) Executive being determined to be totally disabled as defined by guidelines of the then-existing Company disability insurance plan in which Executive is participating, or (b) a determination by the Social Security Administration that the Executive is “totally disabled” or (c) Executive’s inability to engage in comparable professional activity by reason of any medically determinable physical or mental impairment that can be expected to result in death or can be expected to last for a continuous period of not less than twelve months.</w:t>
      </w:r>
    </w:p>
    <w:p>
      <w:pPr>
        <w:spacing w:after="0" w:line="142"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5.05.</w:t>
      </w:r>
      <w:r>
        <w:rPr>
          <w:sz w:val="20"/>
          <w:szCs w:val="20"/>
          <w:color w:val="auto"/>
        </w:rPr>
        <w:tab/>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means:</w:t>
      </w:r>
    </w:p>
    <w:p>
      <w:pPr>
        <w:spacing w:after="0" w:line="179" w:lineRule="exact"/>
        <w:rPr>
          <w:sz w:val="20"/>
          <w:szCs w:val="20"/>
          <w:color w:val="auto"/>
        </w:rPr>
      </w:pPr>
    </w:p>
    <w:p>
      <w:pPr>
        <w:jc w:val="both"/>
        <w:ind w:left="620" w:firstLine="1385"/>
        <w:spacing w:after="0" w:line="213" w:lineRule="auto"/>
        <w:tabs>
          <w:tab w:leader="none" w:pos="2494"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payment to Executive of the Severance Amount in substantially equal installments over one year (with the first payment commencing on the first payroll date that occurs at least one week after the Irrevocable Release has become irrevocable), in accordance with Employer’s normal payroll practices (</w:t>
      </w:r>
      <w:r>
        <w:rPr>
          <w:rFonts w:ascii="Times New Roman" w:cs="Times New Roman" w:eastAsia="Times New Roman" w:hAnsi="Times New Roman"/>
          <w:sz w:val="21"/>
          <w:szCs w:val="21"/>
          <w:b w:val="1"/>
          <w:bCs w:val="1"/>
          <w:color w:val="auto"/>
        </w:rPr>
        <w:t>“Severance Period”</w:t>
      </w:r>
      <w:r>
        <w:rPr>
          <w:rFonts w:ascii="Times New Roman" w:cs="Times New Roman" w:eastAsia="Times New Roman" w:hAnsi="Times New Roman"/>
          <w:sz w:val="21"/>
          <w:szCs w:val="21"/>
          <w:color w:val="auto"/>
        </w:rPr>
        <w:t>). If the Executive’s termination is in connection with or in the twelve (12) months following a Change of Control, then Severance Amount means</w:t>
      </w:r>
    </w:p>
    <w:p>
      <w:pPr>
        <w:jc w:val="both"/>
        <w:ind w:left="620" w:firstLine="9"/>
        <w:spacing w:after="0" w:line="214" w:lineRule="auto"/>
        <w:tabs>
          <w:tab w:leader="none" w:pos="87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multiple of 1.5x the Executive’s then-current annual Base Salary plus (ii) a multiple of 1.5x the Executive’s Target Bonus for the year of termination. If the Executive’s termination precedes a Change of Control or occurs more than twelve (12) months following a Change of Control, then Severance Amount means (x) a multiple of 1.0x the Executive’s then-current Base Salary plus (y) a multiple of 1.0x the Target Bonus for the year of termination, prorated for the number of days that have elapsed between January 1 of the calendar year of termination and the Termination Date.</w:t>
      </w:r>
    </w:p>
    <w:p>
      <w:pPr>
        <w:spacing w:after="0" w:line="149" w:lineRule="exact"/>
        <w:rPr>
          <w:rFonts w:ascii="Times New Roman" w:cs="Times New Roman" w:eastAsia="Times New Roman" w:hAnsi="Times New Roman"/>
          <w:sz w:val="21"/>
          <w:szCs w:val="21"/>
          <w:color w:val="auto"/>
        </w:rPr>
      </w:pPr>
    </w:p>
    <w:p>
      <w:pPr>
        <w:jc w:val="both"/>
        <w:ind w:left="620" w:firstLine="1385"/>
        <w:spacing w:after="0" w:line="211" w:lineRule="auto"/>
        <w:tabs>
          <w:tab w:leader="none" w:pos="2491"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continuation of Executive’s participation in the Company’s medical, dental, and vision benefit plans at the same premium cost to Executive as charged to Executive immediately prior to the Termination Date for a period of eighteen (18) months immediately following the Termination Date, or if earlier, until Executive obtains other employment which provides the same type of benefit;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xml:space="preserve">, that (a) it is understood and agreed that such continued medical, dental and vision benefits may at the election of the Company be provided by Executive electing the continuation of such coverage pursuant to COBRA with the Company reimbursing Executive for COBRA premiums to the extent required so that Executive’s premium cost for the coverage in effect for Executive prior to the Termination Date is substantially the same as immediately prior to the Termination Date, and (b) if the Company determines, in its reasonable judgment, that providing medical, dental, and/or vision benefits in accordance with the preceding provisions of this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xml:space="preserve"> would result in a violation of applicable law, the imposition of any penalties under applicable law, or adverse tax consequences for participants covered by the Company’s medical, dental, and/or vision plans, the Company may terminate such coverage (or reimbursement) with respect to Executive and instead pay to Executive taxable cash payments at the same time and in an amount that, after taxes, would be the same amount as the Company would have paid as premiums (or as COBRA premium reimbursements) to provide such coverage.</w:t>
      </w:r>
    </w:p>
    <w:p>
      <w:pPr>
        <w:spacing w:after="0" w:line="153" w:lineRule="exact"/>
        <w:rPr>
          <w:rFonts w:ascii="Times New Roman" w:cs="Times New Roman" w:eastAsia="Times New Roman" w:hAnsi="Times New Roman"/>
          <w:sz w:val="19"/>
          <w:szCs w:val="19"/>
          <w:color w:val="auto"/>
        </w:rPr>
      </w:pPr>
    </w:p>
    <w:p>
      <w:pPr>
        <w:jc w:val="both"/>
        <w:ind w:left="620" w:firstLine="1385"/>
        <w:spacing w:after="0" w:line="219" w:lineRule="auto"/>
        <w:tabs>
          <w:tab w:leader="none" w:pos="2494"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If the Termination Date occurs upon or within one year after the occurrence of a Change in Control, each equity award granted by the Company to Executive that is outstanding as of the Termination Date and is not fully vested as of the date of the Termination Date shall, as of the date Executive provides the Company with the Irrevocable Release provided for in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(but only if the Irrevocable Release is provided within the period provided for by </w:t>
      </w:r>
      <w:r>
        <w:rPr>
          <w:rFonts w:ascii="Times New Roman" w:cs="Times New Roman" w:eastAsia="Times New Roman" w:hAnsi="Times New Roman"/>
          <w:sz w:val="21"/>
          <w:szCs w:val="21"/>
          <w:u w:val="single" w:color="auto"/>
          <w:color w:val="auto"/>
        </w:rPr>
        <w:t>Section 5.06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becomes irrevocable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34" w:name="page135"/>
    <w:bookmarkEnd w:id="134"/>
    <w:p>
      <w:pPr>
        <w:jc w:val="both"/>
        <w:ind w:left="600"/>
        <w:spacing w:after="0" w:line="230" w:lineRule="auto"/>
        <w:rPr>
          <w:sz w:val="20"/>
          <w:szCs w:val="20"/>
          <w:color w:val="auto"/>
        </w:rPr>
      </w:pPr>
      <w:r>
        <w:rPr>
          <w:rFonts w:ascii="Times New Roman" w:cs="Times New Roman" w:eastAsia="Times New Roman" w:hAnsi="Times New Roman"/>
          <w:sz w:val="20"/>
          <w:szCs w:val="20"/>
          <w:color w:val="auto"/>
        </w:rPr>
        <w:t>become vested with respect to 100% of the shares with respect to which the equity award is not vested as of the Termination Date; provided, however that in no event shall any such option vest to the extent the award has expired prior to the date Executive provides the Company with the Irrevocable Release. For the avoidance of doubt, in the event that any of Executive’s unvested equity awards are to be terminated in connection with a Change of Control, Executive shall nonetheless be entitled to the accelerated vesting of 100% of the unvested equity awards described in and subject to the conditions of this clause (c).</w:t>
      </w:r>
    </w:p>
    <w:p>
      <w:pPr>
        <w:spacing w:after="0" w:line="139" w:lineRule="exact"/>
        <w:rPr>
          <w:sz w:val="20"/>
          <w:szCs w:val="20"/>
          <w:color w:val="auto"/>
        </w:rPr>
      </w:pPr>
    </w:p>
    <w:p>
      <w:pPr>
        <w:ind w:left="2480"/>
        <w:spacing w:after="0"/>
        <w:tabs>
          <w:tab w:leader="none" w:pos="3080" w:val="left"/>
        </w:tabs>
        <w:rPr>
          <w:sz w:val="20"/>
          <w:szCs w:val="20"/>
          <w:color w:val="auto"/>
        </w:rPr>
      </w:pPr>
      <w:r>
        <w:rPr>
          <w:rFonts w:ascii="Times New Roman" w:cs="Times New Roman" w:eastAsia="Times New Roman" w:hAnsi="Times New Roman"/>
          <w:sz w:val="19"/>
          <w:szCs w:val="19"/>
          <w:color w:val="auto"/>
        </w:rPr>
        <w:t>(i)</w:t>
      </w:r>
      <w:r>
        <w:rPr>
          <w:sz w:val="20"/>
          <w:szCs w:val="20"/>
          <w:color w:val="auto"/>
        </w:rPr>
        <w:tab/>
      </w:r>
      <w:r>
        <w:rPr>
          <w:rFonts w:ascii="Times New Roman" w:cs="Times New Roman" w:eastAsia="Times New Roman" w:hAnsi="Times New Roman"/>
          <w:sz w:val="21"/>
          <w:szCs w:val="21"/>
          <w:color w:val="auto"/>
        </w:rPr>
        <w:t xml:space="preserve">For purposes of this Agreement,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xml:space="preserve"> means, and shall be deemed to have</w:t>
      </w:r>
    </w:p>
    <w:p>
      <w:pPr>
        <w:ind w:left="1240"/>
        <w:spacing w:after="0"/>
        <w:rPr>
          <w:sz w:val="20"/>
          <w:szCs w:val="20"/>
          <w:color w:val="auto"/>
        </w:rPr>
      </w:pPr>
      <w:r>
        <w:rPr>
          <w:rFonts w:ascii="Times New Roman" w:cs="Times New Roman" w:eastAsia="Times New Roman" w:hAnsi="Times New Roman"/>
          <w:sz w:val="21"/>
          <w:szCs w:val="21"/>
          <w:color w:val="auto"/>
        </w:rPr>
        <w:t>occurred, if:</w:t>
      </w:r>
    </w:p>
    <w:p>
      <w:pPr>
        <w:spacing w:after="0" w:line="151" w:lineRule="exact"/>
        <w:rPr>
          <w:sz w:val="20"/>
          <w:szCs w:val="20"/>
          <w:color w:val="auto"/>
        </w:rPr>
      </w:pPr>
    </w:p>
    <w:p>
      <w:pPr>
        <w:jc w:val="both"/>
        <w:ind w:left="3120" w:hanging="635"/>
        <w:spacing w:after="0" w:line="217" w:lineRule="auto"/>
        <w:tabs>
          <w:tab w:leader="none" w:pos="3136" w:val="left"/>
        </w:tabs>
        <w:numPr>
          <w:ilvl w:val="0"/>
          <w:numId w:val="87"/>
        </w:numPr>
        <w:rPr>
          <w:rFonts w:ascii="Arial" w:cs="Arial" w:eastAsia="Arial" w:hAnsi="Arial"/>
          <w:sz w:val="19"/>
          <w:szCs w:val="19"/>
          <w:color w:val="auto"/>
        </w:rPr>
      </w:pPr>
      <w:r>
        <w:rPr>
          <w:rFonts w:ascii="Times New Roman" w:cs="Times New Roman" w:eastAsia="Times New Roman" w:hAnsi="Times New Roman"/>
          <w:sz w:val="21"/>
          <w:szCs w:val="21"/>
          <w:color w:val="auto"/>
        </w:rPr>
        <w:t>any Person, excluding (i) employee benefit plans of the Company or any of its Affiliates, is or becomes the “beneficial owner” (as defined in Rules 13d-3 and 13d-5 under the Exchange Act, which Rules shall apply for purposes of this clause (a) whether or not the Company is subject to the Exchange Act), directly or indirectly, of Company securities representing more than fifty percent (50%) of the combined voting power of the Company’s then outstanding securities (</w:t>
      </w:r>
      <w:r>
        <w:rPr>
          <w:rFonts w:ascii="Times New Roman" w:cs="Times New Roman" w:eastAsia="Times New Roman" w:hAnsi="Times New Roman"/>
          <w:sz w:val="21"/>
          <w:szCs w:val="21"/>
          <w:b w:val="1"/>
          <w:bCs w:val="1"/>
          <w:color w:val="auto"/>
        </w:rPr>
        <w:t>“Voting Power”</w:t>
      </w:r>
      <w:r>
        <w:rPr>
          <w:rFonts w:ascii="Times New Roman" w:cs="Times New Roman" w:eastAsia="Times New Roman" w:hAnsi="Times New Roman"/>
          <w:sz w:val="21"/>
          <w:szCs w:val="21"/>
          <w:color w:val="auto"/>
        </w:rPr>
        <w:t>);</w:t>
      </w:r>
    </w:p>
    <w:p>
      <w:pPr>
        <w:spacing w:after="0" w:line="148" w:lineRule="exact"/>
        <w:rPr>
          <w:rFonts w:ascii="Arial" w:cs="Arial" w:eastAsia="Arial" w:hAnsi="Arial"/>
          <w:sz w:val="19"/>
          <w:szCs w:val="19"/>
          <w:color w:val="auto"/>
        </w:rPr>
      </w:pPr>
    </w:p>
    <w:p>
      <w:pPr>
        <w:jc w:val="both"/>
        <w:ind w:left="3120" w:hanging="635"/>
        <w:spacing w:after="0" w:line="225" w:lineRule="auto"/>
        <w:tabs>
          <w:tab w:leader="none" w:pos="3123" w:val="left"/>
        </w:tabs>
        <w:numPr>
          <w:ilvl w:val="0"/>
          <w:numId w:val="87"/>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the Company consummates a merger, consolidation, share exchange, division or other reorganization or transaction of the Company (a </w:t>
      </w:r>
      <w:r>
        <w:rPr>
          <w:rFonts w:ascii="Times New Roman" w:cs="Times New Roman" w:eastAsia="Times New Roman" w:hAnsi="Times New Roman"/>
          <w:sz w:val="20"/>
          <w:szCs w:val="20"/>
          <w:b w:val="1"/>
          <w:bCs w:val="1"/>
          <w:color w:val="auto"/>
        </w:rPr>
        <w:t>“Fundamental Transaction”</w:t>
      </w:r>
      <w:r>
        <w:rPr>
          <w:rFonts w:ascii="Times New Roman" w:cs="Times New Roman" w:eastAsia="Times New Roman" w:hAnsi="Times New Roman"/>
          <w:sz w:val="20"/>
          <w:szCs w:val="20"/>
          <w:color w:val="auto"/>
        </w:rPr>
        <w:t>) with any other corporation, other than a Fundamental Transaction that results in the voting securities of the Company outstanding immediately prior thereto continuing to represent (either by remaining outstanding or by being converted into voting securities of the surviving entity) at least fifty percent (50%) of the combined Voting Power immediately after such Fundamental Transaction of (i) the Company’s outstanding securities, (ii) the surviving entity’s outstanding securities, or (iii) in the case of a division, the outstanding securities of each entity resulting from the division;</w:t>
      </w:r>
    </w:p>
    <w:p>
      <w:pPr>
        <w:spacing w:after="0" w:line="150" w:lineRule="exact"/>
        <w:rPr>
          <w:rFonts w:ascii="Arial" w:cs="Arial" w:eastAsia="Arial" w:hAnsi="Arial"/>
          <w:sz w:val="18"/>
          <w:szCs w:val="18"/>
          <w:color w:val="auto"/>
        </w:rPr>
      </w:pPr>
    </w:p>
    <w:p>
      <w:pPr>
        <w:jc w:val="both"/>
        <w:ind w:left="3120" w:hanging="635"/>
        <w:spacing w:after="0" w:line="228" w:lineRule="auto"/>
        <w:tabs>
          <w:tab w:leader="none" w:pos="3138" w:val="left"/>
        </w:tabs>
        <w:numPr>
          <w:ilvl w:val="0"/>
          <w:numId w:val="87"/>
        </w:numPr>
        <w:rPr>
          <w:rFonts w:ascii="Arial" w:cs="Arial" w:eastAsia="Arial" w:hAnsi="Arial"/>
          <w:sz w:val="19"/>
          <w:szCs w:val="19"/>
          <w:color w:val="auto"/>
        </w:rPr>
      </w:pPr>
      <w:r>
        <w:rPr>
          <w:rFonts w:ascii="Times New Roman" w:cs="Times New Roman" w:eastAsia="Times New Roman" w:hAnsi="Times New Roman"/>
          <w:sz w:val="21"/>
          <w:szCs w:val="21"/>
          <w:color w:val="auto"/>
        </w:rPr>
        <w:t>the stockholders of the Company approve a plan of complete liquidation or winding-up of the Company or the consummation of the sale or disposition (in one transaction or a series of transactions) of all or substantially all of the Company’s assets; or</w:t>
      </w:r>
    </w:p>
    <w:p>
      <w:pPr>
        <w:spacing w:after="0" w:line="145" w:lineRule="exact"/>
        <w:rPr>
          <w:rFonts w:ascii="Arial" w:cs="Arial" w:eastAsia="Arial" w:hAnsi="Arial"/>
          <w:sz w:val="19"/>
          <w:szCs w:val="19"/>
          <w:color w:val="auto"/>
        </w:rPr>
      </w:pPr>
    </w:p>
    <w:p>
      <w:pPr>
        <w:jc w:val="both"/>
        <w:ind w:left="3120" w:hanging="635"/>
        <w:spacing w:after="0" w:line="217" w:lineRule="auto"/>
        <w:tabs>
          <w:tab w:leader="none" w:pos="3123" w:val="left"/>
        </w:tabs>
        <w:numPr>
          <w:ilvl w:val="0"/>
          <w:numId w:val="87"/>
        </w:numPr>
        <w:rPr>
          <w:rFonts w:ascii="Arial" w:cs="Arial" w:eastAsia="Arial" w:hAnsi="Arial"/>
          <w:sz w:val="19"/>
          <w:szCs w:val="19"/>
          <w:color w:val="auto"/>
        </w:rPr>
      </w:pPr>
      <w:r>
        <w:rPr>
          <w:rFonts w:ascii="Times New Roman" w:cs="Times New Roman" w:eastAsia="Times New Roman" w:hAnsi="Times New Roman"/>
          <w:sz w:val="21"/>
          <w:szCs w:val="21"/>
          <w:color w:val="auto"/>
        </w:rPr>
        <w:t>during any period of 24 consecutive months, individuals who at the beginning of such period constituted the Board (including for this purpose any new director whose election or nomination for election by the Company’s stockholders was approved by a vote of at least two-thirds (2/3) of the directors then still in office who were directors at the beginning of such period or whose appointment, election or nomination was previously so approved or recommended) cease for any reason to constitute at least a majority of the Board;</w:t>
      </w: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6</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20"/>
          </w:cols>
          <w:pgMar w:left="340" w:top="1349" w:right="339" w:bottom="1440" w:gutter="0" w:footer="0" w:header="0"/>
        </w:sectPr>
      </w:pPr>
    </w:p>
    <w:bookmarkStart w:id="135" w:name="page136"/>
    <w:bookmarkEnd w:id="135"/>
    <w:p>
      <w:pPr>
        <w:jc w:val="both"/>
        <w:ind w:left="2500"/>
        <w:spacing w:after="0" w:line="260" w:lineRule="auto"/>
        <w:rPr>
          <w:sz w:val="20"/>
          <w:szCs w:val="20"/>
          <w:color w:val="auto"/>
        </w:rPr>
      </w:pPr>
      <w:r>
        <w:rPr>
          <w:rFonts w:ascii="Times New Roman" w:cs="Times New Roman" w:eastAsia="Times New Roman" w:hAnsi="Times New Roman"/>
          <w:sz w:val="21"/>
          <w:szCs w:val="21"/>
          <w:color w:val="auto"/>
        </w:rPr>
        <w:t>provided that, in each case, a merger, share issuance or other transaction or series of transactions in which (i) the Company acquires an asset or business or (ii) the Company is a shell company, as defined under Rule 405 of the Securities Act of 1933, that acquires or is acquired by an operating company, shall not constitute a Fundamental Transaction.</w:t>
      </w:r>
    </w:p>
    <w:p>
      <w:pPr>
        <w:spacing w:after="0" w:line="165" w:lineRule="exact"/>
        <w:rPr>
          <w:sz w:val="20"/>
          <w:szCs w:val="20"/>
          <w:color w:val="auto"/>
        </w:rPr>
      </w:pPr>
    </w:p>
    <w:p>
      <w:pPr>
        <w:jc w:val="both"/>
        <w:ind w:left="620" w:firstLine="1385"/>
        <w:spacing w:after="0" w:line="217" w:lineRule="auto"/>
        <w:tabs>
          <w:tab w:leader="none" w:pos="2491"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foregoing payment of any of the Severance Benefits are expressly conditioned on receipt by the Company of an Irrevocable Release (as defined below) and the expiration of any statutory revocation period without any such revocation. To the extent such an Irrevocable Release has not been received by the Company, the time periods for payment of the Severance Benefits may be tolled by the Company until receipt of such an Irrevocable Release and expiration of such revocation period, at which point the Company may make a one-time catch-up payment for the applicable time period and then resume the regular periodic payment of Severance Benefits as provided in this Section 5.05.</w:t>
      </w:r>
    </w:p>
    <w:p>
      <w:pPr>
        <w:spacing w:after="0" w:line="174" w:lineRule="exact"/>
        <w:rPr>
          <w:rFonts w:ascii="Times New Roman" w:cs="Times New Roman" w:eastAsia="Times New Roman" w:hAnsi="Times New Roman"/>
          <w:sz w:val="19"/>
          <w:szCs w:val="19"/>
          <w:color w:val="auto"/>
        </w:rPr>
      </w:pPr>
    </w:p>
    <w:p>
      <w:pPr>
        <w:jc w:val="both"/>
        <w:ind w:left="620" w:firstLine="634"/>
        <w:spacing w:after="0" w:line="244" w:lineRule="auto"/>
        <w:tabs>
          <w:tab w:leader="none" w:pos="186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5.06 </w:t>
      </w:r>
      <w:r>
        <w:rPr>
          <w:rFonts w:ascii="Times New Roman" w:cs="Times New Roman" w:eastAsia="Times New Roman" w:hAnsi="Times New Roman"/>
          <w:sz w:val="21"/>
          <w:szCs w:val="21"/>
          <w:u w:val="single" w:color="auto"/>
          <w:color w:val="auto"/>
        </w:rPr>
        <w:t>Required Delivery of Irrevocable Release; Compliance with Section 6 Obligations</w:t>
      </w:r>
      <w:r>
        <w:rPr>
          <w:rFonts w:ascii="Times New Roman" w:cs="Times New Roman" w:eastAsia="Times New Roman" w:hAnsi="Times New Roman"/>
          <w:sz w:val="21"/>
          <w:szCs w:val="21"/>
          <w:color w:val="auto"/>
        </w:rPr>
        <w:t xml:space="preserve">. Notwithstanding the provisions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as a condition to entitlement to any Severance Benefits, Executive must provide to the Company an Irrevocable Release not later than the twenty-first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after the Date of Termination (or longer, to the extent there is an applicable statutory period pursuant to which Executive may consider and/or revoke such release and such period has lapsed without any such revocation). In the event Executive fails to provide an Irrevocable Release to the Company within such period, the Company will immediately cease to pay or provide any further Severance Benefits and no accelerated vesting of equity awards pursuant to </w:t>
      </w:r>
      <w:r>
        <w:rPr>
          <w:rFonts w:ascii="Times New Roman" w:cs="Times New Roman" w:eastAsia="Times New Roman" w:hAnsi="Times New Roman"/>
          <w:sz w:val="21"/>
          <w:szCs w:val="21"/>
          <w:u w:val="single" w:color="auto"/>
          <w:color w:val="auto"/>
        </w:rPr>
        <w:t>Section 5.05(c)</w:t>
      </w:r>
      <w:r>
        <w:rPr>
          <w:rFonts w:ascii="Times New Roman" w:cs="Times New Roman" w:eastAsia="Times New Roman" w:hAnsi="Times New Roman"/>
          <w:sz w:val="21"/>
          <w:szCs w:val="21"/>
          <w:color w:val="auto"/>
        </w:rPr>
        <w:t xml:space="preserve"> shall occur. </w:t>
      </w:r>
      <w:r>
        <w:rPr>
          <w:rFonts w:ascii="Times New Roman" w:cs="Times New Roman" w:eastAsia="Times New Roman" w:hAnsi="Times New Roman"/>
          <w:sz w:val="21"/>
          <w:szCs w:val="21"/>
          <w:b w:val="1"/>
          <w:bCs w:val="1"/>
          <w:color w:val="auto"/>
        </w:rPr>
        <w:t>“Irrevocable Release”</w:t>
      </w:r>
      <w:r>
        <w:rPr>
          <w:rFonts w:ascii="Times New Roman" w:cs="Times New Roman" w:eastAsia="Times New Roman" w:hAnsi="Times New Roman"/>
          <w:sz w:val="21"/>
          <w:szCs w:val="21"/>
          <w:color w:val="auto"/>
        </w:rPr>
        <w:t xml:space="preserve"> means a confidential separation agreement and release of claims, in the form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(as may be modified to reflect any change in laws or regulations that would pertain to such an agreement and release at the time of separation) that has been executed by Executive, delivered to the Company, and become irrevocable by Executive. In addition, in the event that Executive breaches the obligations under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this Agreement at any time during the Severance Period, Executive will cease to be entitled to any further Severance Benefits.</w:t>
      </w:r>
    </w:p>
    <w:p>
      <w:pPr>
        <w:spacing w:after="0" w:line="152" w:lineRule="exact"/>
        <w:rPr>
          <w:rFonts w:ascii="Times New Roman" w:cs="Times New Roman" w:eastAsia="Times New Roman" w:hAnsi="Times New Roman"/>
          <w:sz w:val="21"/>
          <w:szCs w:val="21"/>
          <w:color w:val="auto"/>
        </w:rPr>
      </w:pPr>
    </w:p>
    <w:p>
      <w:pPr>
        <w:ind w:left="1260" w:hanging="631"/>
        <w:spacing w:after="0"/>
        <w:tabs>
          <w:tab w:leader="none" w:pos="1260" w:val="left"/>
        </w:tabs>
        <w:numPr>
          <w:ilvl w:val="0"/>
          <w:numId w:val="9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Promises and Covenants Regarding Confidential Information and Goodwill; Inventions and Assignment; Restrictive</w:t>
      </w:r>
    </w:p>
    <w:p>
      <w:pPr>
        <w:spacing w:after="0"/>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50"/>
        <w:spacing w:after="0" w:line="225" w:lineRule="auto"/>
        <w:rPr>
          <w:sz w:val="20"/>
          <w:szCs w:val="20"/>
          <w:color w:val="auto"/>
        </w:rPr>
      </w:pPr>
      <w:r>
        <w:rPr>
          <w:rFonts w:ascii="Times New Roman" w:cs="Times New Roman" w:eastAsia="Times New Roman" w:hAnsi="Times New Roman"/>
          <w:sz w:val="20"/>
          <w:szCs w:val="20"/>
          <w:color w:val="auto"/>
        </w:rPr>
        <w:t xml:space="preserve">6.01. </w:t>
      </w:r>
      <w:r>
        <w:rPr>
          <w:rFonts w:ascii="Times New Roman" w:cs="Times New Roman" w:eastAsia="Times New Roman" w:hAnsi="Times New Roman"/>
          <w:sz w:val="20"/>
          <w:szCs w:val="20"/>
          <w:u w:val="single" w:color="auto"/>
          <w:color w:val="auto"/>
        </w:rPr>
        <w:t>Confidential Information and Goodwill</w:t>
      </w:r>
      <w:r>
        <w:rPr>
          <w:rFonts w:ascii="Times New Roman" w:cs="Times New Roman" w:eastAsia="Times New Roman" w:hAnsi="Times New Roman"/>
          <w:sz w:val="20"/>
          <w:szCs w:val="20"/>
          <w:color w:val="auto"/>
        </w:rPr>
        <w:t>. In consideration of Executive’s promises and covenants contained in this Agreement, including Executive’s promise and covenant not to disclose Confidential Information, Employer will provide Executive with Confidential Information. In further consideration of Executive’s promises and covenants contained in this Agreement, including Executive’s promise and covenant to utilize the Goodwill exclusively for the benefit of Employer, Employer will allow Executive to receive Confidential Information concerning the Company’s customers, labs, vendors and employees and, to the extent required to fulfill Executive’s duties, the Company will permit Executive to represent the Company on its behalf with such persons. To the extent that Executive’s duties involve sales or customer relations, the Company will permit Executive to utilize the Goodwill in Executive’s sales efforts and will provide sales support to Executive similar to that which it provides to its sales representatives.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76" w:right="339" w:bottom="1440" w:gutter="0" w:footer="0" w:header="0"/>
        </w:sectPr>
      </w:pPr>
    </w:p>
    <w:bookmarkStart w:id="136" w:name="page137"/>
    <w:bookmarkEnd w:id="136"/>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6.02. </w:t>
      </w: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xml:space="preserve">. While employed by Company, Executive shall perform the duties required of Executive hereunder and shall devote Executive’s best efforts and, subject to the matters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(as amended from time to time by mutual written agreement of the parties), and consistent with the provisions of Section 3 of this agreement, exclusive business time, energy and skill to performing such duties; not make any disparaging remarks regarding Company to any person with whom Company has business relations, including any employee or vendor of Company; use the Goodwill solely for the benefit of Company; and not interfere in such Goodwill, either during or following Executive’s employment with Company.</w:t>
      </w:r>
    </w:p>
    <w:p>
      <w:pPr>
        <w:spacing w:after="0" w:line="149" w:lineRule="exact"/>
        <w:rPr>
          <w:sz w:val="20"/>
          <w:szCs w:val="20"/>
          <w:color w:val="auto"/>
        </w:rPr>
      </w:pPr>
    </w:p>
    <w:p>
      <w:pPr>
        <w:jc w:val="both"/>
        <w:ind w:firstLine="1250"/>
        <w:spacing w:after="0" w:line="217" w:lineRule="auto"/>
        <w:rPr>
          <w:sz w:val="20"/>
          <w:szCs w:val="20"/>
          <w:color w:val="auto"/>
        </w:rPr>
      </w:pPr>
      <w:r>
        <w:rPr>
          <w:rFonts w:ascii="Times New Roman" w:cs="Times New Roman" w:eastAsia="Times New Roman" w:hAnsi="Times New Roman"/>
          <w:sz w:val="21"/>
          <w:szCs w:val="21"/>
          <w:color w:val="auto"/>
        </w:rPr>
        <w:t xml:space="preserve">6.03. </w:t>
      </w:r>
      <w:r>
        <w:rPr>
          <w:rFonts w:ascii="Times New Roman" w:cs="Times New Roman" w:eastAsia="Times New Roman" w:hAnsi="Times New Roman"/>
          <w:sz w:val="21"/>
          <w:szCs w:val="21"/>
          <w:u w:val="single" w:color="auto"/>
          <w:color w:val="auto"/>
        </w:rPr>
        <w:t>Delivery of Company Property</w:t>
      </w:r>
      <w:r>
        <w:rPr>
          <w:rFonts w:ascii="Times New Roman" w:cs="Times New Roman" w:eastAsia="Times New Roman" w:hAnsi="Times New Roman"/>
          <w:sz w:val="21"/>
          <w:szCs w:val="21"/>
          <w:color w:val="auto"/>
        </w:rPr>
        <w:t>. Executive recognizes that all documents, magnetic media and other tangible items which contain Confidential Information are the property of Company exclusively. Upon request by Company or termination of Executive’s employment with Company, Executive shall promptly return to Company all Confidential Information and Company Property within Executive’s possession and control, and shall refrain from taking any Confidential Information or Company Property or allowing any Confidential Information or Company Property to be taken from Company; and immediately return to Company all information pertaining to Company or Company Property in Executive’s possession.</w:t>
      </w:r>
    </w:p>
    <w:p>
      <w:pPr>
        <w:spacing w:after="0" w:line="149" w:lineRule="exact"/>
        <w:rPr>
          <w:sz w:val="20"/>
          <w:szCs w:val="20"/>
          <w:color w:val="auto"/>
        </w:rPr>
      </w:pPr>
    </w:p>
    <w:p>
      <w:pPr>
        <w:jc w:val="both"/>
        <w:ind w:firstLine="1250"/>
        <w:spacing w:after="0" w:line="214" w:lineRule="auto"/>
        <w:rPr>
          <w:sz w:val="20"/>
          <w:szCs w:val="20"/>
          <w:color w:val="auto"/>
        </w:rPr>
      </w:pPr>
      <w:r>
        <w:rPr>
          <w:rFonts w:ascii="Times New Roman" w:cs="Times New Roman" w:eastAsia="Times New Roman" w:hAnsi="Times New Roman"/>
          <w:sz w:val="21"/>
          <w:szCs w:val="21"/>
          <w:color w:val="auto"/>
        </w:rPr>
        <w:t xml:space="preserve">6.04. </w:t>
      </w:r>
      <w:r>
        <w:rPr>
          <w:rFonts w:ascii="Times New Roman" w:cs="Times New Roman" w:eastAsia="Times New Roman" w:hAnsi="Times New Roman"/>
          <w:sz w:val="21"/>
          <w:szCs w:val="21"/>
          <w:u w:val="single" w:color="auto"/>
          <w:color w:val="auto"/>
        </w:rPr>
        <w:t>Promise and Covenant Not to Disclose</w:t>
      </w:r>
      <w:r>
        <w:rPr>
          <w:rFonts w:ascii="Times New Roman" w:cs="Times New Roman" w:eastAsia="Times New Roman" w:hAnsi="Times New Roman"/>
          <w:sz w:val="21"/>
          <w:szCs w:val="21"/>
          <w:color w:val="auto"/>
        </w:rPr>
        <w:t>. The parties acknowledge that Company is the sole and exclusive owner of Confidential Information, and that Company has legitimate business interests in protecting Confidential Information. The parties further acknowledge that Company has invested, and continues to invest, considerable amounts of time and money in obtaining, developing, and preserving the confidentiality of Confidential Information and that, by reason of the trust relationship arising between Executive and Company, Executive owes Company a fiduciary duty to preserve and protect Confidential Information from all unauthorized disclosure and unauthorized use. Executive shall not, directly or indirectly, disclose Confidential Information to any third party (except to Executive’s attorneys, the Company’s personnel, other persons designated in writing by the Company, or except as otherwise provided by law) or use Confidential Information for any purpose other than for the direct benefit of Company while in Company’s employ and thereafter.</w:t>
      </w:r>
    </w:p>
    <w:p>
      <w:pPr>
        <w:spacing w:after="0" w:line="146" w:lineRule="exact"/>
        <w:rPr>
          <w:sz w:val="20"/>
          <w:szCs w:val="20"/>
          <w:color w:val="auto"/>
        </w:rPr>
      </w:pPr>
    </w:p>
    <w:p>
      <w:pPr>
        <w:jc w:val="both"/>
        <w:ind w:firstLine="1250"/>
        <w:spacing w:after="0" w:line="210" w:lineRule="auto"/>
        <w:rPr>
          <w:sz w:val="20"/>
          <w:szCs w:val="20"/>
          <w:color w:val="auto"/>
        </w:rPr>
      </w:pPr>
      <w:r>
        <w:rPr>
          <w:rFonts w:ascii="Times New Roman" w:cs="Times New Roman" w:eastAsia="Times New Roman" w:hAnsi="Times New Roman"/>
          <w:sz w:val="21"/>
          <w:szCs w:val="21"/>
          <w:color w:val="auto"/>
        </w:rPr>
        <w:t xml:space="preserve">6.05. </w:t>
      </w:r>
      <w:r>
        <w:rPr>
          <w:rFonts w:ascii="Times New Roman" w:cs="Times New Roman" w:eastAsia="Times New Roman" w:hAnsi="Times New Roman"/>
          <w:sz w:val="21"/>
          <w:szCs w:val="21"/>
          <w:u w:val="single" w:color="auto"/>
          <w:color w:val="auto"/>
        </w:rPr>
        <w:t>Inventions and Assignment</w:t>
      </w:r>
      <w:r>
        <w:rPr>
          <w:rFonts w:ascii="Times New Roman" w:cs="Times New Roman" w:eastAsia="Times New Roman" w:hAnsi="Times New Roman"/>
          <w:sz w:val="21"/>
          <w:szCs w:val="21"/>
          <w:color w:val="auto"/>
        </w:rPr>
        <w:t xml:space="preserve">. Executive agrees that he will promptly disclose to the Company any and all Company Inventions and that Executive hereby irrevocably assigns to the Company all ownership rights in and to any and all Company Inventions. During Executive’s employment or at any time thereafter, upon request of the Company, Executive will sign, execute and deliver any and all documents or instruments, including, without limitation, patent applications, declarations, invention assignments and copyright assignments, and will take reasonable action which the Company shall request to perfect in the Company trademark, copyright or patent rights with respect to Company Inventions, or to otherwise protect the Company’s trade secrets and proprietary interests. The term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Inventions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means discoveries; developments; trade secrets; processes; formulas; data; lists; software programs; graphics; artwork; logos, and all other works of authorship, ideas, concepts, know-how, designs, and techniques, whether or not any of the foregoing is or are patentable, copyrightable, or registrable under any intellectual property laws or industrial property laws in the United States. The term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Company Inventions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means all Inventions that (a) relate to the business or proposed business of the Company or any of its predecessors or that are discovered, developed, created, conceived, reduced to practice, made, learned or written by Executive, either alone or jointly with others, in the course of Executive’s employment; (b) utilize, incorporate or otherwise relate to Confidential Information; or (c) are discovered, developed, created, conceived, reduced to practice, made, or written by him using property or equipment of the Company or any of its predecessors. Executive agrees to promptly and fully communicate in writing to the Company (to such department or officer of the Company and in accordance with such procedures as the Company may direct from time to time) any and all Company Inventions. Executive acknowledges and agrees that any work of authorship by Executive or others comprising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37" w:name="page138"/>
    <w:bookmarkEnd w:id="137"/>
    <w:p>
      <w:pPr>
        <w:jc w:val="both"/>
        <w:spacing w:after="0" w:line="222" w:lineRule="auto"/>
        <w:rPr>
          <w:sz w:val="20"/>
          <w:szCs w:val="20"/>
          <w:color w:val="auto"/>
        </w:rPr>
      </w:pPr>
      <w:r>
        <w:rPr>
          <w:rFonts w:ascii="Times New Roman" w:cs="Times New Roman" w:eastAsia="Times New Roman" w:hAnsi="Times New Roman"/>
          <w:sz w:val="21"/>
          <w:szCs w:val="21"/>
          <w:color w:val="auto"/>
        </w:rPr>
        <w:t>Company Inventions shall be deemed to be a “work made for hire,” as that term is defined in the United States Copyright Act (17 U.S.C. § 101 (2000)). To the extent that any such work of authorship may not be deemed to be a work made for hire, Executive hereby irrevocably assigns any ownership rights Executive may have in and to such work to the Company. This Agreement does not apply to any Inventions Executive made or to which Executive contributed before Executive’s employment with the Company.</w:t>
      </w:r>
    </w:p>
    <w:p>
      <w:pPr>
        <w:spacing w:after="0" w:line="14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6.06.</w:t>
      </w:r>
      <w:r>
        <w:rPr>
          <w:sz w:val="20"/>
          <w:szCs w:val="20"/>
          <w:color w:val="auto"/>
        </w:rPr>
        <w:tab/>
      </w:r>
      <w:r>
        <w:rPr>
          <w:rFonts w:ascii="Times New Roman" w:cs="Times New Roman" w:eastAsia="Times New Roman" w:hAnsi="Times New Roman"/>
          <w:sz w:val="20"/>
          <w:szCs w:val="20"/>
          <w:u w:val="single" w:color="auto"/>
          <w:color w:val="auto"/>
        </w:rPr>
        <w:t>Other Promises and Covenants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20" w:firstLine="1385"/>
        <w:spacing w:after="0" w:line="228" w:lineRule="auto"/>
        <w:tabs>
          <w:tab w:leader="none" w:pos="2494"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During Executive’s employment with Company and for a period of 12 months following termination of employment for any reason (the </w:t>
      </w:r>
      <w:r>
        <w:rPr>
          <w:rFonts w:ascii="Times New Roman" w:cs="Times New Roman" w:eastAsia="Times New Roman" w:hAnsi="Times New Roman"/>
          <w:sz w:val="21"/>
          <w:szCs w:val="21"/>
          <w:b w:val="1"/>
          <w:bCs w:val="1"/>
          <w:color w:val="auto"/>
        </w:rPr>
        <w:t>“Non-Competition Period”</w:t>
      </w:r>
      <w:r>
        <w:rPr>
          <w:rFonts w:ascii="Times New Roman" w:cs="Times New Roman" w:eastAsia="Times New Roman" w:hAnsi="Times New Roman"/>
          <w:sz w:val="21"/>
          <w:szCs w:val="21"/>
          <w:color w:val="auto"/>
        </w:rPr>
        <w:t>), Executive shall not either directly or indirectly, on Executive’s own or another’s behalf, engage in or assist others in any of the following activities (except on behalf of Company):</w:t>
      </w:r>
    </w:p>
    <w:p>
      <w:pPr>
        <w:spacing w:after="0" w:line="145" w:lineRule="exact"/>
        <w:rPr>
          <w:rFonts w:ascii="Times New Roman" w:cs="Times New Roman" w:eastAsia="Times New Roman" w:hAnsi="Times New Roman"/>
          <w:sz w:val="19"/>
          <w:szCs w:val="19"/>
          <w:color w:val="auto"/>
        </w:rPr>
      </w:pPr>
    </w:p>
    <w:p>
      <w:pPr>
        <w:jc w:val="both"/>
        <w:ind w:left="1260" w:firstLine="1245"/>
        <w:spacing w:after="0" w:line="223" w:lineRule="auto"/>
        <w:tabs>
          <w:tab w:leader="none" w:pos="3133" w:val="left"/>
        </w:tabs>
        <w:numPr>
          <w:ilvl w:val="3"/>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(whether as principal, agent, partner or otherwise) engage in, own, manage, operate, control, finance, invest in, participate in, or otherwise carry on, or be employed by, associated with, or in any manner connected with, lend such Executive’s name to, lend Executive’s credit to, or render services or advice to a Competing Business anywhere in the Geographic Area;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Executive may be employed by a Competing Business if</w:t>
      </w:r>
    </w:p>
    <w:p>
      <w:pPr>
        <w:spacing w:after="0" w:line="2" w:lineRule="exact"/>
        <w:rPr>
          <w:rFonts w:ascii="Times New Roman" w:cs="Times New Roman" w:eastAsia="Times New Roman" w:hAnsi="Times New Roman"/>
          <w:sz w:val="18"/>
          <w:szCs w:val="18"/>
          <w:color w:val="auto"/>
        </w:rPr>
      </w:pPr>
    </w:p>
    <w:p>
      <w:pPr>
        <w:jc w:val="both"/>
        <w:ind w:left="1260" w:hanging="6"/>
        <w:spacing w:after="0" w:line="216" w:lineRule="auto"/>
        <w:tabs>
          <w:tab w:leader="none" w:pos="1612"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role and responsibilities to be taken by Executive can clearly be segregated from any responsibility relating to the competing Company Business and (B) such Competing Business provides the Company with written confirmation acknowledging Executive’s obligations under this Agreement with such Competing Business’s agreement that it will ensure that Executive’s role and responsibilities will be segregated in such manner;</w:t>
      </w:r>
    </w:p>
    <w:p>
      <w:pPr>
        <w:spacing w:after="0" w:line="148" w:lineRule="exact"/>
        <w:rPr>
          <w:rFonts w:ascii="Times New Roman" w:cs="Times New Roman" w:eastAsia="Times New Roman" w:hAnsi="Times New Roman"/>
          <w:sz w:val="21"/>
          <w:szCs w:val="21"/>
          <w:color w:val="auto"/>
        </w:rPr>
      </w:pPr>
    </w:p>
    <w:p>
      <w:pPr>
        <w:ind w:left="1260" w:firstLine="1245"/>
        <w:spacing w:after="0" w:line="238" w:lineRule="auto"/>
        <w:tabs>
          <w:tab w:leader="none" w:pos="3134" w:val="left"/>
        </w:tabs>
        <w:numPr>
          <w:ilvl w:val="3"/>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provide or develop any products, technology or services that are the same or Substantially Similar to the products, technology and services provided or developed by the Company or any of its Affiliates;</w:t>
      </w:r>
    </w:p>
    <w:p>
      <w:pPr>
        <w:spacing w:after="0" w:line="146" w:lineRule="exact"/>
        <w:rPr>
          <w:rFonts w:ascii="Times New Roman" w:cs="Times New Roman" w:eastAsia="Times New Roman" w:hAnsi="Times New Roman"/>
          <w:sz w:val="19"/>
          <w:szCs w:val="19"/>
          <w:color w:val="auto"/>
        </w:rPr>
      </w:pPr>
    </w:p>
    <w:p>
      <w:pPr>
        <w:jc w:val="both"/>
        <w:ind w:left="1260" w:firstLine="1245"/>
        <w:spacing w:after="0" w:line="222" w:lineRule="auto"/>
        <w:tabs>
          <w:tab w:leader="none" w:pos="3135" w:val="left"/>
        </w:tabs>
        <w:numPr>
          <w:ilvl w:val="3"/>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induce or attempt to induce any customer, agent, supplier, licensee, or business relation of the Company or any of its Affiliates to cease doing business with the Company or any of its Affiliates, or in any way interfere with the relationship between any customer, supplier, licensee, or business relation of the Company or any of its Affiliates; or</w:t>
      </w:r>
    </w:p>
    <w:p>
      <w:pPr>
        <w:spacing w:after="0" w:line="148" w:lineRule="exact"/>
        <w:rPr>
          <w:rFonts w:ascii="Times New Roman" w:cs="Times New Roman" w:eastAsia="Times New Roman" w:hAnsi="Times New Roman"/>
          <w:sz w:val="19"/>
          <w:szCs w:val="19"/>
          <w:color w:val="auto"/>
        </w:rPr>
      </w:pPr>
    </w:p>
    <w:p>
      <w:pPr>
        <w:jc w:val="both"/>
        <w:ind w:left="1260" w:firstLine="1245"/>
        <w:spacing w:after="0" w:line="228" w:lineRule="auto"/>
        <w:tabs>
          <w:tab w:leader="none" w:pos="3125" w:val="left"/>
        </w:tabs>
        <w:numPr>
          <w:ilvl w:val="3"/>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on behalf of a Competing Business, solicit or attempt to solicit the business or patronage of any Person who is a customer or agent of the Company or any of its Affiliates, whether or not Executive had personal contact with such Person.</w:t>
      </w:r>
    </w:p>
    <w:p>
      <w:pPr>
        <w:spacing w:after="0" w:line="171" w:lineRule="exact"/>
        <w:rPr>
          <w:rFonts w:ascii="Times New Roman" w:cs="Times New Roman" w:eastAsia="Times New Roman" w:hAnsi="Times New Roman"/>
          <w:sz w:val="19"/>
          <w:szCs w:val="19"/>
          <w:color w:val="auto"/>
        </w:rPr>
      </w:pPr>
    </w:p>
    <w:p>
      <w:pPr>
        <w:ind w:left="620" w:firstLine="9"/>
        <w:spacing w:after="0" w:line="275" w:lineRule="auto"/>
        <w:tabs>
          <w:tab w:leader="none" w:pos="124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clarity, this Section 6.06(a) does not prohibit Executive from working at a non-Competing Business in the Geographic Area.</w:t>
      </w:r>
    </w:p>
    <w:p>
      <w:pPr>
        <w:spacing w:after="0" w:line="358" w:lineRule="exact"/>
        <w:rPr>
          <w:rFonts w:ascii="Times New Roman" w:cs="Times New Roman" w:eastAsia="Times New Roman" w:hAnsi="Times New Roman"/>
          <w:sz w:val="21"/>
          <w:szCs w:val="21"/>
          <w:color w:val="auto"/>
        </w:rPr>
      </w:pPr>
    </w:p>
    <w:p>
      <w:pPr>
        <w:jc w:val="both"/>
        <w:ind w:left="620" w:firstLine="1385"/>
        <w:spacing w:after="0" w:line="228" w:lineRule="auto"/>
        <w:tabs>
          <w:tab w:leader="none" w:pos="2491"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During Executive’s employment with Company and for a period of 12 months following termination of employment for any reason (the “Non-Solicitation Period”), Executive shall not either directly or indirectly, on Executive’s own or another’s behalf, engage in or assist others in any of the following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38" w:name="page139"/>
    <w:bookmarkEnd w:id="138"/>
    <w:p>
      <w:pPr>
        <w:jc w:val="both"/>
        <w:ind w:left="1260" w:firstLine="1245"/>
        <w:spacing w:after="0" w:line="228" w:lineRule="auto"/>
        <w:tabs>
          <w:tab w:leader="none" w:pos="3133"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solicit, encourage, or take any other action which is intended to induce any employee, independent contractor or agent of the Company or any of its Affiliates to terminate Executive’s employment or other business relationship with the Company or such Affiliate;</w:t>
      </w:r>
    </w:p>
    <w:p>
      <w:pPr>
        <w:spacing w:after="0" w:line="145" w:lineRule="exact"/>
        <w:rPr>
          <w:rFonts w:ascii="Times New Roman" w:cs="Times New Roman" w:eastAsia="Times New Roman" w:hAnsi="Times New Roman"/>
          <w:sz w:val="19"/>
          <w:szCs w:val="19"/>
          <w:color w:val="auto"/>
        </w:rPr>
      </w:pPr>
    </w:p>
    <w:p>
      <w:pPr>
        <w:jc w:val="both"/>
        <w:ind w:left="1260" w:firstLine="1245"/>
        <w:spacing w:after="0" w:line="228" w:lineRule="auto"/>
        <w:tabs>
          <w:tab w:leader="none" w:pos="313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any way interfere in any manner with the employment or other business relationship between the Company and/or any of its Affiliates, on the one hand, and any employee, independent contractor or agent of the Company or such Affiliate, on the other hand; or</w:t>
      </w:r>
    </w:p>
    <w:p>
      <w:pPr>
        <w:spacing w:after="0" w:line="145" w:lineRule="exact"/>
        <w:rPr>
          <w:rFonts w:ascii="Times New Roman" w:cs="Times New Roman" w:eastAsia="Times New Roman" w:hAnsi="Times New Roman"/>
          <w:sz w:val="19"/>
          <w:szCs w:val="19"/>
          <w:color w:val="auto"/>
        </w:rPr>
      </w:pPr>
    </w:p>
    <w:p>
      <w:pPr>
        <w:jc w:val="both"/>
        <w:ind w:left="1260" w:firstLine="1245"/>
        <w:spacing w:after="0" w:line="222" w:lineRule="auto"/>
        <w:tabs>
          <w:tab w:leader="none" w:pos="313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employ, or otherwise engage as an employee, independent contractor or otherwise, any individual who was an employee or was otherwise affiliated with the Company or any of its Affiliates from the period beginning one year prior to Executive’s last day of employment and continuing through the expiration of the Non-Solicitation Period.</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nothing set forth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prohibit Executive from owning, as a passive investment, not in excess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five percent (5%) in the aggregate of any class of capital stock of any corporation if such stock is publicly traded and listed on any national or regional stock exchange or reported on the Nasdaq Stock Market.</w:t>
      </w:r>
    </w:p>
    <w:p>
      <w:pPr>
        <w:spacing w:after="0" w:line="152"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6.07.</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hereof:</w:t>
      </w:r>
    </w:p>
    <w:p>
      <w:pPr>
        <w:spacing w:after="0" w:line="171" w:lineRule="exact"/>
        <w:rPr>
          <w:sz w:val="20"/>
          <w:szCs w:val="20"/>
          <w:color w:val="auto"/>
        </w:rPr>
      </w:pPr>
    </w:p>
    <w:p>
      <w:pPr>
        <w:ind w:left="620" w:firstLine="1385"/>
        <w:spacing w:after="0" w:line="241" w:lineRule="auto"/>
        <w:tabs>
          <w:tab w:leader="none" w:pos="249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“Affiliate” </w:t>
      </w:r>
      <w:r>
        <w:rPr>
          <w:rFonts w:ascii="Times New Roman" w:cs="Times New Roman" w:eastAsia="Times New Roman" w:hAnsi="Times New Roman"/>
          <w:sz w:val="21"/>
          <w:szCs w:val="21"/>
          <w:color w:val="auto"/>
        </w:rPr>
        <w:t>means, with respect to any Entity, any Entity that, directly or indirectly through one or more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intermediaries, controls, is controlled by or under common control with, such Entity.</w:t>
      </w:r>
    </w:p>
    <w:p>
      <w:pPr>
        <w:spacing w:after="0" w:line="140" w:lineRule="exact"/>
        <w:rPr>
          <w:rFonts w:ascii="Times New Roman" w:cs="Times New Roman" w:eastAsia="Times New Roman" w:hAnsi="Times New Roman"/>
          <w:sz w:val="19"/>
          <w:szCs w:val="19"/>
          <w:color w:val="auto"/>
        </w:rPr>
      </w:pPr>
    </w:p>
    <w:p>
      <w:pPr>
        <w:jc w:val="both"/>
        <w:ind w:left="620" w:firstLine="1385"/>
        <w:spacing w:after="0" w:line="215" w:lineRule="auto"/>
        <w:tabs>
          <w:tab w:leader="none" w:pos="2491"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“Company Business” </w:t>
      </w:r>
      <w:r>
        <w:rPr>
          <w:rFonts w:ascii="Times New Roman" w:cs="Times New Roman" w:eastAsia="Times New Roman" w:hAnsi="Times New Roman"/>
          <w:sz w:val="21"/>
          <w:szCs w:val="21"/>
          <w:color w:val="auto"/>
        </w:rPr>
        <w:t>means the research, development, testing and/or marketing/sales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pharmaceutical products that are, rely on, target or rely upon (i) monoclonal antibodies directed against B7-H3 that are in active clinical development (meaning that an IND has been filed and accepted by the FDA or EMA with respect to that product candidate and the Company is developing the protocol, enrolling sites or patients or analyzing patients with respect to a human clinical trial for such product candidate), (ii) any bi-specific or multi-specific antibody-based protein targeting any of the Company’s product candidates that are in active clinical development (as described in (i))), or (iii) any target or specific combination of targets that is the subject of pre-clinical research and for which the Company intends to file an IND for a product candidate with such specificity or specificities in the 12 months following Termination.</w:t>
      </w:r>
    </w:p>
    <w:p>
      <w:pPr>
        <w:spacing w:after="0" w:line="379" w:lineRule="exact"/>
        <w:rPr>
          <w:rFonts w:ascii="Times New Roman" w:cs="Times New Roman" w:eastAsia="Times New Roman" w:hAnsi="Times New Roman"/>
          <w:sz w:val="19"/>
          <w:szCs w:val="19"/>
          <w:color w:val="auto"/>
        </w:rPr>
      </w:pPr>
    </w:p>
    <w:p>
      <w:pPr>
        <w:jc w:val="both"/>
        <w:ind w:left="620" w:firstLine="1385"/>
        <w:spacing w:after="0" w:line="216" w:lineRule="auto"/>
        <w:tabs>
          <w:tab w:leader="none" w:pos="249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“Company Property” </w:t>
      </w:r>
      <w:r>
        <w:rPr>
          <w:rFonts w:ascii="Times New Roman" w:cs="Times New Roman" w:eastAsia="Times New Roman" w:hAnsi="Times New Roman"/>
          <w:sz w:val="21"/>
          <w:szCs w:val="21"/>
          <w:color w:val="auto"/>
        </w:rPr>
        <w:t>means all physical materials, documents, information, keys, computer software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and hardware, including laptop computers and mobile or handheld scheduling computers, manuals, data bases, product samples, tapes, magnetic media, technical notes and any other equipment or items which Company provides for or to Executive or which otherwise belongs to the Company, and those documents and items which Executive may develop or help develop while in Company’s employ, whether or not developed during regular working hours or on Company’s premises. The term </w:t>
      </w:r>
      <w:r>
        <w:rPr>
          <w:rFonts w:ascii="Times New Roman" w:cs="Times New Roman" w:eastAsia="Times New Roman" w:hAnsi="Times New Roman"/>
          <w:sz w:val="21"/>
          <w:szCs w:val="21"/>
          <w:i w:val="1"/>
          <w:iCs w:val="1"/>
          <w:color w:val="auto"/>
        </w:rPr>
        <w:t>“Company Property”</w:t>
      </w:r>
      <w:r>
        <w:rPr>
          <w:rFonts w:ascii="Times New Roman" w:cs="Times New Roman" w:eastAsia="Times New Roman" w:hAnsi="Times New Roman"/>
          <w:sz w:val="21"/>
          <w:szCs w:val="21"/>
          <w:color w:val="auto"/>
        </w:rPr>
        <w:t xml:space="preserve"> shall include the original of such materials, any copies thereof, any notes derived from such materials, and any derivative work of such materials.</w:t>
      </w:r>
    </w:p>
    <w:p>
      <w:pPr>
        <w:spacing w:after="0" w:line="145" w:lineRule="exact"/>
        <w:rPr>
          <w:rFonts w:ascii="Times New Roman" w:cs="Times New Roman" w:eastAsia="Times New Roman" w:hAnsi="Times New Roman"/>
          <w:sz w:val="19"/>
          <w:szCs w:val="19"/>
          <w:color w:val="auto"/>
        </w:rPr>
      </w:pPr>
    </w:p>
    <w:p>
      <w:pPr>
        <w:ind w:left="620" w:firstLine="1385"/>
        <w:spacing w:after="0" w:line="241" w:lineRule="auto"/>
        <w:tabs>
          <w:tab w:leader="none" w:pos="2491"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“Competing Business” </w:t>
      </w:r>
      <w:r>
        <w:rPr>
          <w:rFonts w:ascii="Times New Roman" w:cs="Times New Roman" w:eastAsia="Times New Roman" w:hAnsi="Times New Roman"/>
          <w:sz w:val="21"/>
          <w:szCs w:val="21"/>
          <w:color w:val="auto"/>
        </w:rPr>
        <w:t>means any other Entity engaged in the Company Business, other than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and its Affiliates. For clarity, “Competing</w:t>
      </w: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39" w:name="page140"/>
    <w:bookmarkEnd w:id="139"/>
    <w:p>
      <w:pPr>
        <w:jc w:val="both"/>
        <w:ind w:left="620"/>
        <w:spacing w:after="0" w:line="228" w:lineRule="auto"/>
        <w:rPr>
          <w:sz w:val="20"/>
          <w:szCs w:val="20"/>
          <w:color w:val="auto"/>
        </w:rPr>
      </w:pPr>
      <w:r>
        <w:rPr>
          <w:rFonts w:ascii="Times New Roman" w:cs="Times New Roman" w:eastAsia="Times New Roman" w:hAnsi="Times New Roman"/>
          <w:sz w:val="21"/>
          <w:szCs w:val="21"/>
          <w:color w:val="auto"/>
        </w:rPr>
        <w:t>Business” does not include the Food &amp; Drug Administration, any of the National Institutes of Health or other government or regulatory agencies, and non-profit Entities are applicable only to the extent they are engaged in the research and/or development of biopharmaceutical products.</w:t>
      </w:r>
    </w:p>
    <w:p>
      <w:pPr>
        <w:spacing w:after="0" w:line="141" w:lineRule="exact"/>
        <w:rPr>
          <w:sz w:val="20"/>
          <w:szCs w:val="20"/>
          <w:color w:val="auto"/>
        </w:rPr>
      </w:pPr>
    </w:p>
    <w:p>
      <w:pPr>
        <w:jc w:val="both"/>
        <w:ind w:left="620" w:firstLine="1385"/>
        <w:spacing w:after="0" w:line="210" w:lineRule="auto"/>
        <w:tabs>
          <w:tab w:leader="none" w:pos="2494"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“Confidential Information” </w:t>
      </w:r>
      <w:r>
        <w:rPr>
          <w:rFonts w:ascii="Times New Roman" w:cs="Times New Roman" w:eastAsia="Times New Roman" w:hAnsi="Times New Roman"/>
          <w:sz w:val="21"/>
          <w:szCs w:val="21"/>
          <w:color w:val="auto"/>
        </w:rPr>
        <w:t>means the trade secrets and other information of Company, including but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limited to (i) the customer lists, customer contact information, customer purchase information, pricing information, strategic and marketing plans, compilations of customer information, names of employees, contracts with third parties, training, financial and marketing books, sales projections, internal employer databases, reports, manuals and information including information related to Company, its Affiliates or its customers, including those documents and items which any employee may develop or help develop while in the employ of the Company or any of its Affiliates, whether or not developed during regular working hours or on the premises of the Company or such Affiliate; (ii) the identity, skills, personnel file information, performance appraisals and compensation of job applicants, employees, contractors, and consultants; (iii) specialized training; (iv) source code, scripts, user screens, reports or any other information pertaining to the internal information technology or network of the Company and/or its Affiliates, including the proprietary database system commonly referred to as the Office System; and (v) information related to inventions owned by the Company or any of its Affiliates or licensed from third parties; and unless the context requires otherwise, the term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includes the original of such materials, any copies thereof, any notes derived from such materials, and any derivative work of such materials. The term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xml:space="preserve">” does not include (1) information that was or becomes generally available publicly other than through disclosure by Executive, or (2) is required to be disclosed to any governmental agency or self-regulatory body or is otherwise required to be disclosed by law. Unless the context requires otherwise, the term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xml:space="preserve"> shall include the original of such materials, any copies thereof, any notes derived from such materials, and any derivative work of such materials.</w:t>
      </w:r>
    </w:p>
    <w:p>
      <w:pPr>
        <w:spacing w:after="0" w:line="155" w:lineRule="exact"/>
        <w:rPr>
          <w:rFonts w:ascii="Times New Roman" w:cs="Times New Roman" w:eastAsia="Times New Roman" w:hAnsi="Times New Roman"/>
          <w:sz w:val="19"/>
          <w:szCs w:val="19"/>
          <w:color w:val="auto"/>
        </w:rPr>
      </w:pPr>
    </w:p>
    <w:p>
      <w:pPr>
        <w:ind w:left="620" w:firstLine="1385"/>
        <w:spacing w:after="0" w:line="241" w:lineRule="auto"/>
        <w:tabs>
          <w:tab w:leader="none" w:pos="2485"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“Entity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means and includes any person, partnership, association, corporation, limited liability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trust, unincorporated organization or any other business entity or enterprise.</w:t>
      </w:r>
    </w:p>
    <w:p>
      <w:pPr>
        <w:spacing w:after="0" w:line="140" w:lineRule="exact"/>
        <w:rPr>
          <w:rFonts w:ascii="Times New Roman" w:cs="Times New Roman" w:eastAsia="Times New Roman" w:hAnsi="Times New Roman"/>
          <w:sz w:val="19"/>
          <w:szCs w:val="19"/>
          <w:color w:val="auto"/>
        </w:rPr>
      </w:pPr>
    </w:p>
    <w:p>
      <w:pPr>
        <w:jc w:val="both"/>
        <w:ind w:left="620" w:firstLine="1385"/>
        <w:spacing w:after="0" w:line="229" w:lineRule="auto"/>
        <w:tabs>
          <w:tab w:leader="none" w:pos="249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“Geographic Area” </w:t>
      </w:r>
      <w:r>
        <w:rPr>
          <w:rFonts w:ascii="Times New Roman" w:cs="Times New Roman" w:eastAsia="Times New Roman" w:hAnsi="Times New Roman"/>
          <w:sz w:val="21"/>
          <w:szCs w:val="21"/>
          <w:color w:val="auto"/>
        </w:rPr>
        <w:t>mean those states in the United States in which the Company or any of 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subsidiaries conducts business and has a physical location, or in which Company or any of its subsidiaries sells or markets products at the time of the termination of Executive’s employment.</w:t>
      </w:r>
    </w:p>
    <w:p>
      <w:pPr>
        <w:spacing w:after="0" w:line="142" w:lineRule="exact"/>
        <w:rPr>
          <w:rFonts w:ascii="Times New Roman" w:cs="Times New Roman" w:eastAsia="Times New Roman" w:hAnsi="Times New Roman"/>
          <w:sz w:val="19"/>
          <w:szCs w:val="19"/>
          <w:color w:val="auto"/>
        </w:rPr>
      </w:pPr>
    </w:p>
    <w:p>
      <w:pPr>
        <w:ind w:left="620" w:firstLine="1385"/>
        <w:spacing w:after="0" w:line="241" w:lineRule="auto"/>
        <w:tabs>
          <w:tab w:leader="none" w:pos="249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“Goodwill” </w:t>
      </w:r>
      <w:r>
        <w:rPr>
          <w:rFonts w:ascii="Times New Roman" w:cs="Times New Roman" w:eastAsia="Times New Roman" w:hAnsi="Times New Roman"/>
          <w:sz w:val="21"/>
          <w:szCs w:val="21"/>
          <w:color w:val="auto"/>
        </w:rPr>
        <w:t>means the value of the relationships between the Company and its agents, customers,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vendors, labs, and employees.</w:t>
      </w:r>
    </w:p>
    <w:p>
      <w:pPr>
        <w:spacing w:after="0" w:line="140" w:lineRule="exact"/>
        <w:rPr>
          <w:rFonts w:ascii="Times New Roman" w:cs="Times New Roman" w:eastAsia="Times New Roman" w:hAnsi="Times New Roman"/>
          <w:sz w:val="19"/>
          <w:szCs w:val="19"/>
          <w:color w:val="auto"/>
        </w:rPr>
      </w:pPr>
    </w:p>
    <w:p>
      <w:pPr>
        <w:jc w:val="both"/>
        <w:ind w:left="620" w:firstLine="1385"/>
        <w:spacing w:after="0" w:line="229" w:lineRule="auto"/>
        <w:tabs>
          <w:tab w:leader="none" w:pos="248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 xml:space="preserve">“Substantially Similar” </w:t>
      </w:r>
      <w:r>
        <w:rPr>
          <w:rFonts w:ascii="Times New Roman" w:cs="Times New Roman" w:eastAsia="Times New Roman" w:hAnsi="Times New Roman"/>
          <w:sz w:val="21"/>
          <w:szCs w:val="21"/>
          <w:color w:val="auto"/>
        </w:rPr>
        <w:t>means substantially competitive to the products or services being developed,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manufactured or sold by the Company during and/or at the end of Executive’s employment, or are marketed for substantially the same indicated use as that to which the products and services of the Company are marketed or proposed to be marketed.</w:t>
      </w:r>
    </w:p>
    <w:p>
      <w:pPr>
        <w:spacing w:after="0" w:line="146" w:lineRule="exact"/>
        <w:rPr>
          <w:sz w:val="20"/>
          <w:szCs w:val="20"/>
          <w:color w:val="auto"/>
        </w:rPr>
      </w:pPr>
    </w:p>
    <w:p>
      <w:pPr>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6.08. </w:t>
      </w:r>
      <w:r>
        <w:rPr>
          <w:rFonts w:ascii="Times New Roman" w:cs="Times New Roman" w:eastAsia="Times New Roman" w:hAnsi="Times New Roman"/>
          <w:sz w:val="21"/>
          <w:szCs w:val="21"/>
          <w:u w:val="single" w:color="auto"/>
          <w:color w:val="auto"/>
        </w:rPr>
        <w:t>Acknowledgements Regarding Other Promises and Covenants</w:t>
      </w:r>
      <w:r>
        <w:rPr>
          <w:rFonts w:ascii="Times New Roman" w:cs="Times New Roman" w:eastAsia="Times New Roman" w:hAnsi="Times New Roman"/>
          <w:sz w:val="21"/>
          <w:szCs w:val="21"/>
          <w:color w:val="auto"/>
        </w:rPr>
        <w:t>. With regard to the promises and covenants set forth herein, Executive acknowledges and agrees that: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40" w:name="page141"/>
    <w:bookmarkEnd w:id="140"/>
    <w:p>
      <w:pPr>
        <w:ind w:left="620" w:firstLine="1385"/>
        <w:spacing w:after="0" w:line="238" w:lineRule="auto"/>
        <w:tabs>
          <w:tab w:leader="none" w:pos="249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restrictions are ancillary to an otherwise enforceable agreement including the provisions of this Agreement regarding the disclosure, ownership and use of the Confidential Information and Goodwill of Company;</w:t>
      </w:r>
    </w:p>
    <w:p>
      <w:pPr>
        <w:spacing w:after="0" w:line="146" w:lineRule="exact"/>
        <w:rPr>
          <w:rFonts w:ascii="Times New Roman" w:cs="Times New Roman" w:eastAsia="Times New Roman" w:hAnsi="Times New Roman"/>
          <w:sz w:val="19"/>
          <w:szCs w:val="19"/>
          <w:color w:val="auto"/>
        </w:rPr>
      </w:pPr>
    </w:p>
    <w:p>
      <w:pPr>
        <w:jc w:val="both"/>
        <w:ind w:left="620" w:firstLine="1385"/>
        <w:spacing w:after="0" w:line="228" w:lineRule="auto"/>
        <w:tabs>
          <w:tab w:leader="none" w:pos="2491"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limitations as to time, geographical area, and scope of activity to be restricted are reasonable and acceptable to Executive, and do not impose any greater restraint than is reasonably necessary to protect the Goodwill and other legitimate business interests of Company;</w:t>
      </w:r>
    </w:p>
    <w:p>
      <w:pPr>
        <w:spacing w:after="0" w:line="145" w:lineRule="exact"/>
        <w:rPr>
          <w:rFonts w:ascii="Times New Roman" w:cs="Times New Roman" w:eastAsia="Times New Roman" w:hAnsi="Times New Roman"/>
          <w:sz w:val="19"/>
          <w:szCs w:val="19"/>
          <w:color w:val="auto"/>
        </w:rPr>
      </w:pPr>
    </w:p>
    <w:p>
      <w:pPr>
        <w:ind w:left="620" w:firstLine="1385"/>
        <w:spacing w:after="0" w:line="238" w:lineRule="auto"/>
        <w:tabs>
          <w:tab w:leader="none" w:pos="249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performance by Executive, and the enforcement by Company, of such promises and covenants will cause no undue hardship on Executive;</w:t>
      </w:r>
    </w:p>
    <w:p>
      <w:pPr>
        <w:spacing w:after="0" w:line="146" w:lineRule="exact"/>
        <w:rPr>
          <w:rFonts w:ascii="Times New Roman" w:cs="Times New Roman" w:eastAsia="Times New Roman" w:hAnsi="Times New Roman"/>
          <w:sz w:val="19"/>
          <w:szCs w:val="19"/>
          <w:color w:val="auto"/>
        </w:rPr>
      </w:pPr>
    </w:p>
    <w:p>
      <w:pPr>
        <w:ind w:left="620" w:firstLine="1385"/>
        <w:spacing w:after="0" w:line="238" w:lineRule="auto"/>
        <w:tabs>
          <w:tab w:leader="none" w:pos="2491"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will play a key business role for the Company in which he will have access to the Company’s Confidential Information and Goodwill;</w:t>
      </w:r>
    </w:p>
    <w:p>
      <w:pPr>
        <w:spacing w:after="0" w:line="146" w:lineRule="exact"/>
        <w:rPr>
          <w:rFonts w:ascii="Times New Roman" w:cs="Times New Roman" w:eastAsia="Times New Roman" w:hAnsi="Times New Roman"/>
          <w:sz w:val="19"/>
          <w:szCs w:val="19"/>
          <w:color w:val="auto"/>
        </w:rPr>
      </w:pPr>
    </w:p>
    <w:p>
      <w:pPr>
        <w:jc w:val="both"/>
        <w:ind w:left="620" w:firstLine="1385"/>
        <w:spacing w:after="0" w:line="228" w:lineRule="auto"/>
        <w:tabs>
          <w:tab w:leader="none" w:pos="249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time periods covered by the promises and covenants will not include any period(s) of violation of, or any period(s) of time required for litigation brought by Company to enforce any such promise or covenant, it being understood that the extension of time provided in this paragraph may not exceed two (2) years.</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6.09.</w:t>
      </w:r>
      <w:r>
        <w:rPr>
          <w:sz w:val="20"/>
          <w:szCs w:val="20"/>
          <w:color w:val="auto"/>
        </w:rPr>
        <w:tab/>
      </w:r>
      <w:r>
        <w:rPr>
          <w:rFonts w:ascii="Times New Roman" w:cs="Times New Roman" w:eastAsia="Times New Roman" w:hAnsi="Times New Roman"/>
          <w:sz w:val="20"/>
          <w:szCs w:val="20"/>
          <w:u w:val="single" w:color="auto"/>
          <w:color w:val="auto"/>
        </w:rPr>
        <w:t>[Reserved.]</w:t>
      </w:r>
    </w:p>
    <w:p>
      <w:pPr>
        <w:spacing w:after="0" w:line="175" w:lineRule="exact"/>
        <w:rPr>
          <w:sz w:val="20"/>
          <w:szCs w:val="20"/>
          <w:color w:val="auto"/>
        </w:rPr>
      </w:pPr>
    </w:p>
    <w:p>
      <w:pPr>
        <w:jc w:val="both"/>
        <w:ind w:firstLine="1250"/>
        <w:spacing w:after="0" w:line="216"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Independent Elements</w:t>
      </w:r>
      <w:r>
        <w:rPr>
          <w:rFonts w:ascii="Times New Roman" w:cs="Times New Roman" w:eastAsia="Times New Roman" w:hAnsi="Times New Roman"/>
          <w:sz w:val="21"/>
          <w:szCs w:val="21"/>
          <w:color w:val="auto"/>
        </w:rPr>
        <w:t xml:space="preserve">. The parties acknowledge that the promises and covenants contained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above are essential independent elements of this Agreement and that, but for Executive agreeing to comply with them, Company would not employ Executive. Accordingly, the existence or assertion of any claim by Executive against Company, whether based on this Agreement or otherwise, shall not operate as a defense to Company’s enforcement of the promises and covenants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An alleged or actual breach of the Agreement by Company will not be a defense to enforcement of any such promise or covenant, or other obligations of Executive to Company. The promises and covenants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will remain in full force and effect whether Executive is terminated by Company or voluntarily resigns.</w:t>
      </w:r>
    </w:p>
    <w:p>
      <w:pPr>
        <w:spacing w:after="0" w:line="146" w:lineRule="exact"/>
        <w:rPr>
          <w:sz w:val="20"/>
          <w:szCs w:val="20"/>
          <w:color w:val="auto"/>
        </w:rPr>
      </w:pPr>
    </w:p>
    <w:p>
      <w:pPr>
        <w:jc w:val="both"/>
        <w:ind w:firstLine="1250"/>
        <w:spacing w:after="0" w:line="216" w:lineRule="auto"/>
        <w:rPr>
          <w:sz w:val="20"/>
          <w:szCs w:val="20"/>
          <w:color w:val="auto"/>
        </w:rPr>
      </w:pPr>
      <w:r>
        <w:rPr>
          <w:rFonts w:ascii="Times New Roman" w:cs="Times New Roman" w:eastAsia="Times New Roman" w:hAnsi="Times New Roman"/>
          <w:sz w:val="21"/>
          <w:szCs w:val="21"/>
          <w:color w:val="auto"/>
        </w:rPr>
        <w:t xml:space="preserve">6.11. </w:t>
      </w:r>
      <w:r>
        <w:rPr>
          <w:rFonts w:ascii="Times New Roman" w:cs="Times New Roman" w:eastAsia="Times New Roman" w:hAnsi="Times New Roman"/>
          <w:sz w:val="21"/>
          <w:szCs w:val="21"/>
          <w:u w:val="single" w:color="auto"/>
          <w:color w:val="auto"/>
        </w:rPr>
        <w:t>Remedies for Breach of Agreement</w:t>
      </w:r>
      <w:r>
        <w:rPr>
          <w:rFonts w:ascii="Times New Roman" w:cs="Times New Roman" w:eastAsia="Times New Roman" w:hAnsi="Times New Roman"/>
          <w:sz w:val="21"/>
          <w:szCs w:val="21"/>
          <w:color w:val="auto"/>
        </w:rPr>
        <w:t xml:space="preserve">. Executive acknowledges that Executive’s breach of any promise or covenant contained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will result in irreparable injury to Company and that Company’s remedies at law for such a breach will be inadequate. Accordingly, Executive agrees and consents that Company, in addition to all other remedies available at law and in equity, shall be entitled to both preliminary and permanent injunctions to prevent and/or halt a breach or threatened breach by Executive of any such promise or covenant, and Executive waives the requirement of the posting of any bond in connection with such injunctive relief. Executive further acknowledges and agrees that the promises and covenants contained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are enforceable, reasonable, and valid.</w:t>
      </w:r>
    </w:p>
    <w:p>
      <w:pPr>
        <w:spacing w:after="0" w:line="146"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21"/>
          <w:szCs w:val="21"/>
          <w:u w:val="single" w:color="auto"/>
          <w:color w:val="auto"/>
        </w:rPr>
        <w:t>Directors and Officers Insurance</w:t>
      </w:r>
      <w:r>
        <w:rPr>
          <w:rFonts w:ascii="Times New Roman" w:cs="Times New Roman" w:eastAsia="Times New Roman" w:hAnsi="Times New Roman"/>
          <w:sz w:val="21"/>
          <w:szCs w:val="21"/>
          <w:color w:val="auto"/>
        </w:rPr>
        <w:t>. During Executive’s period of employment with the Company (and for any applicable “tail-period” thereafter), Executive shall be covered under a director and officer’s liability insurance policy that provides insurance coverage for Executive on substantially the same terms and conditions as the other senior executives and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41" w:name="page142"/>
    <w:bookmarkEnd w:id="141"/>
    <w:p>
      <w:pPr>
        <w:ind w:left="1260" w:hanging="631"/>
        <w:spacing w:after="0"/>
        <w:tabs>
          <w:tab w:leader="none" w:pos="1260" w:val="left"/>
        </w:tabs>
        <w:numPr>
          <w:ilvl w:val="0"/>
          <w:numId w:val="98"/>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75"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Times New Roman" w:cs="Times New Roman" w:eastAsia="Times New Roman" w:hAnsi="Times New Roman"/>
          <w:sz w:val="21"/>
          <w:szCs w:val="21"/>
          <w:color w:val="auto"/>
        </w:rPr>
        <w:t xml:space="preserve">7.01.  </w:t>
      </w:r>
      <w:r>
        <w:rPr>
          <w:rFonts w:ascii="Times New Roman" w:cs="Times New Roman" w:eastAsia="Times New Roman" w:hAnsi="Times New Roman"/>
          <w:sz w:val="21"/>
          <w:szCs w:val="21"/>
          <w:u w:val="single" w:color="auto"/>
          <w:color w:val="auto"/>
        </w:rPr>
        <w:t>Governing Law; Arbitration</w:t>
      </w:r>
    </w:p>
    <w:p>
      <w:pPr>
        <w:spacing w:after="0" w:line="175" w:lineRule="exact"/>
        <w:rPr>
          <w:rFonts w:ascii="Arial" w:cs="Arial" w:eastAsia="Arial" w:hAnsi="Arial"/>
          <w:sz w:val="19"/>
          <w:szCs w:val="19"/>
          <w:color w:val="auto"/>
        </w:rPr>
      </w:pPr>
    </w:p>
    <w:p>
      <w:pPr>
        <w:ind w:left="620" w:firstLine="1385"/>
        <w:spacing w:after="0" w:line="238" w:lineRule="auto"/>
        <w:tabs>
          <w:tab w:leader="none" w:pos="249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Agreement is made under and shall be governed by and construed in accordance with the laws of Maryland, without regard to its conflicts of law principles.</w:t>
      </w:r>
    </w:p>
    <w:p>
      <w:pPr>
        <w:spacing w:after="0" w:line="146" w:lineRule="exact"/>
        <w:rPr>
          <w:rFonts w:ascii="Times New Roman" w:cs="Times New Roman" w:eastAsia="Times New Roman" w:hAnsi="Times New Roman"/>
          <w:sz w:val="19"/>
          <w:szCs w:val="19"/>
          <w:color w:val="auto"/>
        </w:rPr>
      </w:pPr>
    </w:p>
    <w:p>
      <w:pPr>
        <w:ind w:left="620" w:firstLine="1385"/>
        <w:spacing w:after="0" w:line="238" w:lineRule="auto"/>
        <w:tabs>
          <w:tab w:leader="none" w:pos="2491"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agrees that at the same time he signs and returns this Agreement to the Company, he will also sign and return the Mutual Arbitration Agreement, attached as Exhibit B hereto.</w:t>
      </w:r>
    </w:p>
    <w:p>
      <w:pPr>
        <w:spacing w:after="0" w:line="381" w:lineRule="exact"/>
        <w:rPr>
          <w:sz w:val="20"/>
          <w:szCs w:val="20"/>
          <w:color w:val="auto"/>
        </w:rPr>
      </w:pPr>
    </w:p>
    <w:p>
      <w:pPr>
        <w:jc w:val="both"/>
        <w:ind w:firstLine="1250"/>
        <w:spacing w:after="0" w:line="214" w:lineRule="auto"/>
        <w:rPr>
          <w:sz w:val="20"/>
          <w:szCs w:val="20"/>
          <w:color w:val="auto"/>
        </w:rPr>
      </w:pPr>
      <w:r>
        <w:rPr>
          <w:rFonts w:ascii="Times New Roman" w:cs="Times New Roman" w:eastAsia="Times New Roman" w:hAnsi="Times New Roman"/>
          <w:sz w:val="21"/>
          <w:szCs w:val="21"/>
          <w:color w:val="auto"/>
        </w:rPr>
        <w:t xml:space="preserve">7.02.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documents referenced herein (including applicable equity award agreements and the equity plans to which they relate) contain the entire agreement of the parties relating to the employment of Executive by Employer and the ancillary matters discussed herein and supersedes all prior agreements, negotiations and understandings with respect to such matters, including, without limitation, any term sheet between the parties hereto with respect to such matters, and the parties hereto have made no agreements, representations or warranties relating to such employment or ancillary matters which are not set forth herein. Any agreement contrary to, or modifying, any provision of this Agreement must be in entered into, in writing, and signed by Executive and an executive officer or the chair of the board of directors of the Employer. Oral representations made before or after Executive is hired do not alter this Agreement.</w:t>
      </w:r>
    </w:p>
    <w:p>
      <w:pPr>
        <w:spacing w:after="0" w:line="153" w:lineRule="exact"/>
        <w:rPr>
          <w:sz w:val="20"/>
          <w:szCs w:val="20"/>
          <w:color w:val="auto"/>
        </w:rPr>
      </w:pPr>
    </w:p>
    <w:p>
      <w:pPr>
        <w:jc w:val="both"/>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7.03.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Employer may withhold from any compensation and Benefits payable under this Agreement all federal, state, city or other taxes as shall be required pursuant to any law or governmental regulation or ruling.</w:t>
      </w:r>
    </w:p>
    <w:p>
      <w:pPr>
        <w:spacing w:after="0" w:line="146" w:lineRule="exact"/>
        <w:rPr>
          <w:sz w:val="20"/>
          <w:szCs w:val="20"/>
          <w:color w:val="auto"/>
        </w:rPr>
      </w:pPr>
    </w:p>
    <w:p>
      <w:pPr>
        <w:jc w:val="both"/>
        <w:ind w:firstLine="1250"/>
        <w:spacing w:after="0" w:line="210" w:lineRule="auto"/>
        <w:rPr>
          <w:sz w:val="20"/>
          <w:szCs w:val="20"/>
          <w:color w:val="auto"/>
        </w:rPr>
      </w:pPr>
      <w:r>
        <w:rPr>
          <w:rFonts w:ascii="Times New Roman" w:cs="Times New Roman" w:eastAsia="Times New Roman" w:hAnsi="Times New Roman"/>
          <w:sz w:val="21"/>
          <w:szCs w:val="21"/>
          <w:color w:val="auto"/>
        </w:rPr>
        <w:t xml:space="preserve">7.04. </w:t>
      </w:r>
      <w:r>
        <w:rPr>
          <w:rFonts w:ascii="Times New Roman" w:cs="Times New Roman" w:eastAsia="Times New Roman" w:hAnsi="Times New Roman"/>
          <w:sz w:val="21"/>
          <w:szCs w:val="21"/>
          <w:u w:val="single" w:color="auto"/>
          <w:color w:val="auto"/>
        </w:rPr>
        <w:t>Golden Parachute Limit</w:t>
      </w:r>
      <w:r>
        <w:rPr>
          <w:rFonts w:ascii="Times New Roman" w:cs="Times New Roman" w:eastAsia="Times New Roman" w:hAnsi="Times New Roman"/>
          <w:sz w:val="21"/>
          <w:szCs w:val="21"/>
          <w:color w:val="auto"/>
        </w:rPr>
        <w:t xml:space="preserve">. Notwithstanding any other provision of this Agreement, in the event that any portion of the Severance Benefits or any other payment or benefit received or to be received by Executive (whether pursuant to the terms of this Agreement or any other plan, arrangement or agreement) (collectively, the </w:t>
      </w:r>
      <w:r>
        <w:rPr>
          <w:rFonts w:ascii="Times New Roman" w:cs="Times New Roman" w:eastAsia="Times New Roman" w:hAnsi="Times New Roman"/>
          <w:sz w:val="21"/>
          <w:szCs w:val="21"/>
          <w:b w:val="1"/>
          <w:bCs w:val="1"/>
          <w:color w:val="auto"/>
        </w:rPr>
        <w:t>“Total Benefits”</w:t>
      </w:r>
      <w:r>
        <w:rPr>
          <w:rFonts w:ascii="Times New Roman" w:cs="Times New Roman" w:eastAsia="Times New Roman" w:hAnsi="Times New Roman"/>
          <w:sz w:val="21"/>
          <w:szCs w:val="21"/>
          <w:color w:val="auto"/>
        </w:rPr>
        <w:t xml:space="preserve">) would be subject to the excise tax imposed under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xml:space="preserve">), the Total Benefits shall be reduced to the extent necessary so that no portion of the Total Benefits is subject to the Excise Tax; provided, however, that no such reduction in the Total Benefits shall be made if by not making such reduction, Executive’s Retained Amount (as hereinafter defined) would be more than ten percent (10%) greater than Executive’s Retained Amount if the Total Benefits are so reduced. All determinations required to be made under this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shall be made by tax counsel selected by the Company and reasonably acceptable to Executive (</w:t>
      </w:r>
      <w:r>
        <w:rPr>
          <w:rFonts w:ascii="Times New Roman" w:cs="Times New Roman" w:eastAsia="Times New Roman" w:hAnsi="Times New Roman"/>
          <w:sz w:val="21"/>
          <w:szCs w:val="21"/>
          <w:b w:val="1"/>
          <w:bCs w:val="1"/>
          <w:color w:val="auto"/>
        </w:rPr>
        <w:t>“Tax Counsel”</w:t>
      </w:r>
      <w:r>
        <w:rPr>
          <w:rFonts w:ascii="Times New Roman" w:cs="Times New Roman" w:eastAsia="Times New Roman" w:hAnsi="Times New Roman"/>
          <w:sz w:val="21"/>
          <w:szCs w:val="21"/>
          <w:color w:val="auto"/>
        </w:rPr>
        <w:t xml:space="preserve">), which determinations shall be conclusive and binding on Executive and the Company absent manifest error. All fees and expenses of Tax Counsel shall be borne solely by the Company. Prior to any reduction in Executive’s Total Benefits pursuant to this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Tax Counsel shall provide Executive and the Company with a report setting forth its calculations and containing related supporting information. In the event any such reduction is required, the Total Benefits shall be reduced in the following order: (i) the Severance Amount (in reverse order of payment), (iii) any other portion of the Total Benefits that are not subject to Section 409A of the Code (other than Total Benefits resulting from any accelerated vesting of equity awards), (iv) other Total Benefits that are subject to Section 409A of the Code in reverse order of payment, and (v) Total Benefits that are not subject to Section 409A and arise from any accelerated vesting of any equity awards. </w:t>
      </w:r>
      <w:r>
        <w:rPr>
          <w:rFonts w:ascii="Times New Roman" w:cs="Times New Roman" w:eastAsia="Times New Roman" w:hAnsi="Times New Roman"/>
          <w:sz w:val="21"/>
          <w:szCs w:val="21"/>
          <w:b w:val="1"/>
          <w:bCs w:val="1"/>
          <w:color w:val="auto"/>
        </w:rPr>
        <w:t>“Retained Amount”</w:t>
      </w:r>
      <w:r>
        <w:rPr>
          <w:rFonts w:ascii="Times New Roman" w:cs="Times New Roman" w:eastAsia="Times New Roman" w:hAnsi="Times New Roman"/>
          <w:sz w:val="21"/>
          <w:szCs w:val="21"/>
          <w:color w:val="auto"/>
        </w:rPr>
        <w:t xml:space="preserve"> shall mean the present value (as determined in accordance with sections 280G(b)(2)(A)(ii) and 280G(d)(4) of the Code) of the Total Benefits net of all federal, state and local taxes imposed on Executive with respect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42" w:name="page143"/>
    <w:bookmarkEnd w:id="142"/>
    <w:p>
      <w:pPr>
        <w:jc w:val="both"/>
        <w:ind w:firstLine="1250"/>
        <w:spacing w:after="0" w:line="209" w:lineRule="auto"/>
        <w:rPr>
          <w:sz w:val="20"/>
          <w:szCs w:val="20"/>
          <w:color w:val="auto"/>
        </w:rPr>
      </w:pPr>
      <w:r>
        <w:rPr>
          <w:rFonts w:ascii="Times New Roman" w:cs="Times New Roman" w:eastAsia="Times New Roman" w:hAnsi="Times New Roman"/>
          <w:sz w:val="21"/>
          <w:szCs w:val="21"/>
          <w:color w:val="auto"/>
        </w:rPr>
        <w:t xml:space="preserve">7.05. </w:t>
      </w: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xml:space="preserve">. This Agreement is intended to comply with the requirements of Section 409A of the Code (including the exceptions thereto), to the extent applicable, and shall be interpreted accordingly. If any provision contained in this Agreement conflicts with the requirements of Section 409A of the Code (or the exemptions intended to apply under this Agreement), this Agreement shall be deemed to be reformed to comply with the requirements of Section 409A of the Code (or applicable exemptions thereto). Notwithstanding anything to the contrary herein, for purposes of determining Executive’s entitlement to the Severance Benefits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 (a) Executive’s employment shall not be deemed to have terminated unless and until Executive incurs a “separation from service” as defined in Section 409A of the Code, and (b) the effective date of any termination or resignation of employment (or any similar term) shall be the effective date of Executive’s separation from service. Reimbursement of any expenses provided for in this Agreement shall be made in accordance with the Company’s policies (as applicable) with respect thereto as in effect from time to time (but in no event later than the end of calendar year following the year such expenses were incurred) and in no event shall (i) the amount of expenses eligible for reimbursement hereunder during a taxable year affect the expenses eligible for reimbursement in any other taxable year or (ii) the right to reimbursement be subject to liquidation or exchange for another benefit. 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shall, to the extent necessary to comply with the requirements of Section 409A of the Code, be made on the later of (x) the date specified by the foregoing provisions of this Agreement or (y) the date that is six (6) months after the date of Executive’s separation from service (or, if earlier, the date of Executive’s death). Any installment payments that are delayed pursuant to the provisions of this section shall be accumulated and paid in a lump sum on the first day of the seventh month following Executive’s separation from service (or, if earlier, upon Executive’s death) and the remaining installment payments shall begin on such date in accordance with the schedule provided in this Agreement. To the extent permitted by Section 409A, each payment hereunder shall be deemed to be a separate payment for purposes of Section 409A of the Code. Notwithstanding the foregoing, to the extent this Agreement (or any provision of this Agreement) is determined not to be compliant with Section 409A of the Code, the Company shall not be liable for any resulting taxes to be paid by Executive. To the extent necessary to avoid the imposition of tax under Section 409A of the Code, where a payment hereunder could be made in either of two separate taxable years depending on the time of execution of the Irrevocable Release, the payment shall be made in the later tax year.</w:t>
      </w:r>
    </w:p>
    <w:p>
      <w:pPr>
        <w:spacing w:after="0" w:line="159" w:lineRule="exact"/>
        <w:rPr>
          <w:sz w:val="20"/>
          <w:szCs w:val="20"/>
          <w:color w:val="auto"/>
        </w:rPr>
      </w:pPr>
    </w:p>
    <w:p>
      <w:pPr>
        <w:jc w:val="both"/>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7.06.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 amendment or modification of the terms of this Agreement shall be valid unless made in writing and signed by both Executive and Employer.</w:t>
      </w:r>
    </w:p>
    <w:p>
      <w:pPr>
        <w:spacing w:after="0" w:line="146" w:lineRule="exact"/>
        <w:rPr>
          <w:sz w:val="20"/>
          <w:szCs w:val="20"/>
          <w:color w:val="auto"/>
        </w:rPr>
      </w:pPr>
    </w:p>
    <w:p>
      <w:pPr>
        <w:jc w:val="both"/>
        <w:ind w:firstLine="1250"/>
        <w:spacing w:after="0" w:line="216" w:lineRule="auto"/>
        <w:rPr>
          <w:sz w:val="20"/>
          <w:szCs w:val="20"/>
          <w:color w:val="auto"/>
        </w:rPr>
      </w:pPr>
      <w:r>
        <w:rPr>
          <w:rFonts w:ascii="Times New Roman" w:cs="Times New Roman" w:eastAsia="Times New Roman" w:hAnsi="Times New Roman"/>
          <w:sz w:val="21"/>
          <w:szCs w:val="21"/>
          <w:color w:val="auto"/>
        </w:rPr>
        <w:t xml:space="preserve">7.07. </w:t>
      </w:r>
      <w:r>
        <w:rPr>
          <w:rFonts w:ascii="Times New Roman" w:cs="Times New Roman" w:eastAsia="Times New Roman" w:hAnsi="Times New Roman"/>
          <w:sz w:val="21"/>
          <w:szCs w:val="21"/>
          <w:u w:val="single" w:color="auto"/>
          <w:color w:val="auto"/>
        </w:rPr>
        <w:t>Severability; Reformation</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under any applicable Law or rule, the validity, legality and enforceability of the other provisions of this Agreement will not be affected or impaired thereby. If any provision of this Agreement is found invalid, illegal or unenforceable because it is too broad in scope, too lengthy in duration or violates any Law or regulation, it shall be reformed by limiting its scope, limiting its duration or construing it to avoid such violation (as the case may be) while giving the greatest effect to the intent of the parties as is legally permissible.</w:t>
      </w:r>
    </w:p>
    <w:p>
      <w:pPr>
        <w:spacing w:after="0" w:line="146" w:lineRule="exact"/>
        <w:rPr>
          <w:sz w:val="20"/>
          <w:szCs w:val="20"/>
          <w:color w:val="auto"/>
        </w:rPr>
      </w:pPr>
    </w:p>
    <w:p>
      <w:pPr>
        <w:jc w:val="both"/>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7.08.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waiver of any provision of this Agreement shall in any event be effective unless the same shall be in writing and signed by the party against whom such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43" w:name="page144"/>
    <w:bookmarkEnd w:id="143"/>
    <w:p>
      <w:pPr>
        <w:jc w:val="both"/>
        <w:spacing w:after="0" w:line="238" w:lineRule="auto"/>
        <w:rPr>
          <w:sz w:val="20"/>
          <w:szCs w:val="20"/>
          <w:color w:val="auto"/>
        </w:rPr>
      </w:pPr>
      <w:r>
        <w:rPr>
          <w:rFonts w:ascii="Times New Roman" w:cs="Times New Roman" w:eastAsia="Times New Roman" w:hAnsi="Times New Roman"/>
          <w:sz w:val="21"/>
          <w:szCs w:val="21"/>
          <w:color w:val="auto"/>
        </w:rPr>
        <w:t>waiver is sought to be enforced, and any such waiver shall be effective only in the specific instance and for the specific purpose for which given.</w:t>
      </w:r>
    </w:p>
    <w:p>
      <w:pPr>
        <w:spacing w:after="0" w:line="146" w:lineRule="exact"/>
        <w:rPr>
          <w:sz w:val="20"/>
          <w:szCs w:val="20"/>
          <w:color w:val="auto"/>
        </w:rPr>
      </w:pPr>
    </w:p>
    <w:p>
      <w:pPr>
        <w:jc w:val="both"/>
        <w:ind w:firstLine="1250"/>
        <w:spacing w:after="0" w:line="214" w:lineRule="auto"/>
        <w:rPr>
          <w:sz w:val="20"/>
          <w:szCs w:val="20"/>
          <w:color w:val="auto"/>
        </w:rPr>
      </w:pPr>
      <w:r>
        <w:rPr>
          <w:rFonts w:ascii="Times New Roman" w:cs="Times New Roman" w:eastAsia="Times New Roman" w:hAnsi="Times New Roman"/>
          <w:sz w:val="21"/>
          <w:szCs w:val="21"/>
          <w:color w:val="auto"/>
        </w:rPr>
        <w:t xml:space="preserve">7.09. </w:t>
      </w:r>
      <w:r>
        <w:rPr>
          <w:rFonts w:ascii="Times New Roman" w:cs="Times New Roman" w:eastAsia="Times New Roman" w:hAnsi="Times New Roman"/>
          <w:sz w:val="21"/>
          <w:szCs w:val="21"/>
          <w:u w:val="single" w:color="auto"/>
          <w:color w:val="auto"/>
        </w:rPr>
        <w:t>Assignment; No Third Party Beneficiary</w:t>
      </w:r>
      <w:r>
        <w:rPr>
          <w:rFonts w:ascii="Times New Roman" w:cs="Times New Roman" w:eastAsia="Times New Roman" w:hAnsi="Times New Roman"/>
          <w:sz w:val="21"/>
          <w:szCs w:val="21"/>
          <w:color w:val="auto"/>
        </w:rPr>
        <w:t xml:space="preserve">. This Agreement is a personal service contract, and shall not be assignable by Executive. This Agreement shall be assignable by Employer to any affiliate of Employer without the written consent of the Executive. This Agreement shall be assignable by Employer to any successor to the business of Employer, without the written consent of Executive; provided, however, that the assignee or transferee is the successor to all or substantially all of the business assets of Employer and such assignee or transferee expressly assumes all the obligations, duties, and liabilities of Employer set forth in this Agreement. Any purported assignment of this Agreement in violation of this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shall be null and void. This Agreement shall be binding upon and inure to the benefit of the parties hereto and their respective successors and permitted assigns, and no other Person shall have any right, benefit or obligation hereunder.</w:t>
      </w:r>
    </w:p>
    <w:p>
      <w:pPr>
        <w:spacing w:after="0" w:line="153" w:lineRule="exact"/>
        <w:rPr>
          <w:sz w:val="20"/>
          <w:szCs w:val="20"/>
          <w:color w:val="auto"/>
        </w:rPr>
      </w:pPr>
    </w:p>
    <w:p>
      <w:pPr>
        <w:jc w:val="both"/>
        <w:ind w:firstLine="1250"/>
        <w:spacing w:after="0" w:line="214" w:lineRule="auto"/>
        <w:rPr>
          <w:sz w:val="20"/>
          <w:szCs w:val="20"/>
          <w:color w:val="auto"/>
        </w:rPr>
      </w:pPr>
      <w:r>
        <w:rPr>
          <w:rFonts w:ascii="Times New Roman" w:cs="Times New Roman" w:eastAsia="Times New Roman" w:hAnsi="Times New Roman"/>
          <w:sz w:val="21"/>
          <w:szCs w:val="21"/>
          <w:color w:val="auto"/>
        </w:rPr>
        <w:t xml:space="preserve">7.10. </w:t>
      </w:r>
      <w:r>
        <w:rPr>
          <w:rFonts w:ascii="Times New Roman" w:cs="Times New Roman" w:eastAsia="Times New Roman" w:hAnsi="Times New Roman"/>
          <w:sz w:val="21"/>
          <w:szCs w:val="21"/>
          <w:u w:val="single" w:color="auto"/>
          <w:color w:val="auto"/>
        </w:rPr>
        <w:t>Counterparts; Facsimile Signatures</w:t>
      </w:r>
      <w:r>
        <w:rPr>
          <w:rFonts w:ascii="Times New Roman" w:cs="Times New Roman" w:eastAsia="Times New Roman" w:hAnsi="Times New Roman"/>
          <w:sz w:val="21"/>
          <w:szCs w:val="21"/>
          <w:color w:val="auto"/>
        </w:rPr>
        <w:t>. This Agreement may be executed in separate counterparts, each of which will be an original and all of which taken together shall constitute one and the same agreement, and any party hereto may execute this Agreement by signing any such counterpart. A facsimile signature by any party on a counterpart of this Agreement shall be binding and effective for all purposes. Such party shall subsequently deliver to the other party an original, executed copy of this Agreement; provided, however, that a failure of such party to deliver an original, executed copy shall not invalidate Executive’s or its signature. This Agreement may be signed electronically, and the Company and Executive agree that such methods to sign electronically have the same legal and evidentiary effect as a handwritten signature. By signing electronically, Executive and the Company consent to using their electronic signature.</w:t>
      </w:r>
    </w:p>
    <w:p>
      <w:pPr>
        <w:spacing w:after="0" w:line="153" w:lineRule="exact"/>
        <w:rPr>
          <w:sz w:val="20"/>
          <w:szCs w:val="20"/>
          <w:color w:val="auto"/>
        </w:rPr>
      </w:pPr>
    </w:p>
    <w:p>
      <w:pPr>
        <w:jc w:val="both"/>
        <w:ind w:firstLine="1250"/>
        <w:spacing w:after="0" w:line="222" w:lineRule="auto"/>
        <w:rPr>
          <w:sz w:val="20"/>
          <w:szCs w:val="20"/>
          <w:color w:val="auto"/>
        </w:rPr>
      </w:pPr>
      <w:r>
        <w:rPr>
          <w:rFonts w:ascii="Times New Roman" w:cs="Times New Roman" w:eastAsia="Times New Roman" w:hAnsi="Times New Roman"/>
          <w:sz w:val="21"/>
          <w:szCs w:val="21"/>
          <w:color w:val="auto"/>
        </w:rPr>
        <w:t xml:space="preserve">7.11.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relating to this Agreement will be in writing and will be deemed to have been given when personally delivered, three (3) days following mailing by certified or registered mail, return receipt requested, and one (1) Business Day following delivery to a reliable overnight courier or immediately following transmission by electronic mail. All notices to Employer shall be addressed and delivered to:</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MacroGenics, Inc.</w:t>
      </w:r>
    </w:p>
    <w:p>
      <w:pPr>
        <w:spacing w:after="0" w:line="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9704 Medical Center Drive</w:t>
      </w:r>
    </w:p>
    <w:p>
      <w:pPr>
        <w:spacing w:after="0" w:line="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Rockville, MD 20850</w:t>
      </w:r>
    </w:p>
    <w:p>
      <w:pPr>
        <w:spacing w:after="0" w:line="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or to such other address and facsimile number or email address as designated by Employer in a written notice to Executive. All notices to Executive shall be addressed and delivered to:</w:t>
      </w:r>
    </w:p>
    <w:p>
      <w:pPr>
        <w:spacing w:after="0" w:line="15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Eric Risser</w:t>
      </w:r>
    </w:p>
    <w:p>
      <w:pPr>
        <w:spacing w:after="0" w:line="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 ***** ****</w:t>
      </w:r>
    </w:p>
    <w:p>
      <w:pPr>
        <w:spacing w:after="0" w:line="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 **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to such other address and facsimile number or email address as Executive has designated in a written notice to Employer.</w:t>
      </w:r>
    </w:p>
    <w:p>
      <w:pPr>
        <w:spacing w:after="0" w:line="188" w:lineRule="exact"/>
        <w:rPr>
          <w:sz w:val="20"/>
          <w:szCs w:val="20"/>
          <w:color w:val="auto"/>
        </w:rPr>
      </w:pPr>
    </w:p>
    <w:p>
      <w:pPr>
        <w:jc w:val="both"/>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7.12.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headings contained in this Agreement are for reference purposes only and shall not in any way affect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44" w:name="page145"/>
    <w:bookmarkEnd w:id="144"/>
    <w:p>
      <w:pPr>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u w:val="single" w:color="auto"/>
          <w:color w:val="auto"/>
        </w:rPr>
        <w:t>Cumulative Remedies</w:t>
      </w:r>
      <w:r>
        <w:rPr>
          <w:rFonts w:ascii="Times New Roman" w:cs="Times New Roman" w:eastAsia="Times New Roman" w:hAnsi="Times New Roman"/>
          <w:sz w:val="21"/>
          <w:szCs w:val="21"/>
          <w:color w:val="auto"/>
        </w:rPr>
        <w:t>. The rights and remedies of the parties hereunder are cumulative and not exclusive of any rights or remedies any party hereto may otherwise have.</w:t>
      </w:r>
    </w:p>
    <w:p>
      <w:pPr>
        <w:spacing w:after="0" w:line="146" w:lineRule="exact"/>
        <w:rPr>
          <w:sz w:val="20"/>
          <w:szCs w:val="20"/>
          <w:color w:val="auto"/>
        </w:rPr>
      </w:pPr>
    </w:p>
    <w:p>
      <w:pPr>
        <w:ind w:firstLine="1250"/>
        <w:spacing w:after="0" w:line="238" w:lineRule="auto"/>
        <w:rPr>
          <w:sz w:val="20"/>
          <w:szCs w:val="20"/>
          <w:color w:val="auto"/>
        </w:rPr>
      </w:pPr>
      <w:r>
        <w:rPr>
          <w:rFonts w:ascii="Times New Roman" w:cs="Times New Roman" w:eastAsia="Times New Roman" w:hAnsi="Times New Roman"/>
          <w:sz w:val="21"/>
          <w:szCs w:val="21"/>
          <w:color w:val="auto"/>
        </w:rPr>
        <w:t xml:space="preserve">7.14. </w:t>
      </w:r>
      <w:r>
        <w:rPr>
          <w:rFonts w:ascii="Times New Roman" w:cs="Times New Roman" w:eastAsia="Times New Roman" w:hAnsi="Times New Roman"/>
          <w:sz w:val="21"/>
          <w:szCs w:val="21"/>
          <w:u w:val="single" w:color="auto"/>
          <w:color w:val="auto"/>
        </w:rPr>
        <w:t>Expenses Relating to this Agreement</w:t>
      </w:r>
      <w:r>
        <w:rPr>
          <w:rFonts w:ascii="Times New Roman" w:cs="Times New Roman" w:eastAsia="Times New Roman" w:hAnsi="Times New Roman"/>
          <w:sz w:val="21"/>
          <w:szCs w:val="21"/>
          <w:color w:val="auto"/>
        </w:rPr>
        <w:t>. Each party shall pay its or Executive’s own expenses incident to the negotiation, preparation and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16</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50" w:right="339" w:bottom="1440" w:gutter="0" w:footer="0" w:header="0"/>
        </w:sectPr>
      </w:pPr>
    </w:p>
    <w:bookmarkStart w:id="145" w:name="page146"/>
    <w:bookmarkEnd w:id="145"/>
    <w:p>
      <w:pPr>
        <w:ind w:firstLine="625"/>
        <w:spacing w:after="0" w:line="275" w:lineRule="auto"/>
        <w:rPr>
          <w:sz w:val="20"/>
          <w:szCs w:val="20"/>
          <w:color w:val="auto"/>
        </w:rPr>
      </w:pPr>
      <w:r>
        <w:rPr>
          <w:rFonts w:ascii="Times New Roman" w:cs="Times New Roman" w:eastAsia="Times New Roman" w:hAnsi="Times New Roman"/>
          <w:sz w:val="21"/>
          <w:szCs w:val="21"/>
          <w:color w:val="auto"/>
        </w:rPr>
        <w:t>IN WITNESS WHEREOF, Executive and Employer have executed this Agreement as of the date set forth in the first paragraph.</w:t>
      </w:r>
    </w:p>
    <w:p>
      <w:pPr>
        <w:spacing w:after="0" w:line="3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u w:val="single" w:color="auto"/>
          <w:color w:val="auto"/>
        </w:rPr>
        <w:t>“EMPLOYER”</w:t>
      </w:r>
    </w:p>
    <w:p>
      <w:pPr>
        <w:spacing w:after="0" w:line="25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MacroGenics, Inc.</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-11430</wp:posOffset>
            </wp:positionV>
            <wp:extent cx="1058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10" w:lineRule="exact"/>
        <w:rPr>
          <w:sz w:val="20"/>
          <w:szCs w:val="20"/>
          <w:color w:val="auto"/>
        </w:rPr>
      </w:pPr>
    </w:p>
    <w:p>
      <w:pPr>
        <w:ind w:left="3580"/>
        <w:spacing w:after="0"/>
        <w:tabs>
          <w:tab w:leader="none" w:pos="4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Heiden</w:t>
      </w:r>
    </w:p>
    <w:p>
      <w:pPr>
        <w:spacing w:after="0" w:line="6" w:lineRule="exact"/>
        <w:rPr>
          <w:sz w:val="20"/>
          <w:szCs w:val="20"/>
          <w:color w:val="auto"/>
        </w:rPr>
      </w:pPr>
    </w:p>
    <w:p>
      <w:pPr>
        <w:ind w:left="3560"/>
        <w:spacing w:after="0"/>
        <w:tabs>
          <w:tab w:leader="none" w:pos="42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u w:val="single" w:color="auto"/>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602615</wp:posOffset>
            </wp:positionV>
            <wp:extent cx="1058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Eric Risser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0380"/>
          </w:cols>
          <w:pgMar w:left="320" w:top="1376" w:right="1199" w:bottom="1440" w:gutter="0" w:footer="0" w:header="0"/>
        </w:sectPr>
      </w:pPr>
    </w:p>
    <w:bookmarkStart w:id="146" w:name="page147"/>
    <w:bookmarkEnd w:id="146"/>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SCHEDULE 1</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0119"/>
          </w:cols>
          <w:pgMar w:left="340" w:top="1371" w:right="1440" w:bottom="1440" w:gutter="0" w:footer="0" w:header="0"/>
        </w:sectPr>
      </w:pPr>
    </w:p>
    <w:bookmarkStart w:id="147" w:name="page148"/>
    <w:bookmarkEnd w:id="147"/>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 SEPARATION AGREEMENT AND GENERAL RELEASE</w:t>
      </w:r>
    </w:p>
    <w:p>
      <w:pPr>
        <w:spacing w:after="0" w:line="214" w:lineRule="exact"/>
        <w:rPr>
          <w:sz w:val="20"/>
          <w:szCs w:val="20"/>
          <w:color w:val="auto"/>
        </w:rPr>
      </w:pPr>
    </w:p>
    <w:p>
      <w:pPr>
        <w:jc w:val="both"/>
        <w:ind w:firstLine="625"/>
        <w:spacing w:after="0" w:line="257" w:lineRule="auto"/>
        <w:rPr>
          <w:sz w:val="20"/>
          <w:szCs w:val="20"/>
          <w:color w:val="auto"/>
        </w:rPr>
      </w:pPr>
      <w:r>
        <w:rPr>
          <w:rFonts w:ascii="Times New Roman" w:cs="Times New Roman" w:eastAsia="Times New Roman" w:hAnsi="Times New Roman"/>
          <w:sz w:val="21"/>
          <w:szCs w:val="21"/>
          <w:color w:val="auto"/>
        </w:rPr>
        <w:t>Pursuant to the Amended and Restated Employment Agreement (the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by and between Eric Risser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xml:space="preserve">) and MacroGenics,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together with the Executive,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in order for Executive to receive any of the Severance Benefits therein, Executive is required to enter into this Confidential Separation Agreement and General Release (this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The Severance Benefits shall be provided as set forth in the Employment Agreement provided this Release is executed and irrevocable.</w:t>
      </w:r>
    </w:p>
    <w:p>
      <w:pPr>
        <w:spacing w:after="0" w:line="170" w:lineRule="exact"/>
        <w:rPr>
          <w:sz w:val="20"/>
          <w:szCs w:val="20"/>
          <w:color w:val="auto"/>
        </w:rPr>
      </w:pPr>
    </w:p>
    <w:p>
      <w:pPr>
        <w:jc w:val="both"/>
        <w:ind w:firstLine="625"/>
        <w:spacing w:after="0" w:line="288" w:lineRule="auto"/>
        <w:rPr>
          <w:sz w:val="20"/>
          <w:szCs w:val="20"/>
          <w:color w:val="auto"/>
        </w:rPr>
      </w:pPr>
      <w:r>
        <w:rPr>
          <w:rFonts w:ascii="Times New Roman" w:cs="Times New Roman" w:eastAsia="Times New Roman" w:hAnsi="Times New Roman"/>
          <w:sz w:val="21"/>
          <w:szCs w:val="21"/>
          <w:color w:val="auto"/>
        </w:rPr>
        <w:t>In consideration of the foregoing, of the mutual promises herein contained, of other good and valuable consideration, the sufficiency and receipt of which are hereby acknowledged by the Parties, it is agreed as follows:</w:t>
      </w:r>
    </w:p>
    <w:p>
      <w:pPr>
        <w:spacing w:after="0" w:line="111" w:lineRule="exact"/>
        <w:rPr>
          <w:sz w:val="20"/>
          <w:szCs w:val="20"/>
          <w:color w:val="auto"/>
        </w:rPr>
      </w:pPr>
    </w:p>
    <w:p>
      <w:pPr>
        <w:ind w:firstLine="629"/>
        <w:spacing w:after="0" w:line="238" w:lineRule="auto"/>
        <w:tabs>
          <w:tab w:leader="none" w:pos="1253" w:val="left"/>
        </w:tabs>
        <w:numPr>
          <w:ilvl w:val="0"/>
          <w:numId w:val="99"/>
        </w:numPr>
        <w:rPr>
          <w:rFonts w:ascii="Arial" w:cs="Arial" w:eastAsia="Arial" w:hAnsi="Arial"/>
          <w:sz w:val="19"/>
          <w:szCs w:val="19"/>
          <w:color w:val="auto"/>
        </w:rPr>
      </w:pPr>
      <w:r>
        <w:rPr>
          <w:rFonts w:ascii="Times New Roman" w:cs="Times New Roman" w:eastAsia="Times New Roman" w:hAnsi="Times New Roman"/>
          <w:sz w:val="21"/>
          <w:szCs w:val="21"/>
          <w:color w:val="auto"/>
        </w:rPr>
        <w:t>As of the Termination Date, and at all times forward, Executive will not hold himself out to any person or entity as being an employee, officer, representative, or agent of the Company.</w:t>
      </w:r>
    </w:p>
    <w:p>
      <w:pPr>
        <w:spacing w:after="0" w:line="146" w:lineRule="exact"/>
        <w:rPr>
          <w:rFonts w:ascii="Arial" w:cs="Arial" w:eastAsia="Arial" w:hAnsi="Arial"/>
          <w:sz w:val="19"/>
          <w:szCs w:val="19"/>
          <w:color w:val="auto"/>
        </w:rPr>
      </w:pPr>
    </w:p>
    <w:p>
      <w:pPr>
        <w:jc w:val="both"/>
        <w:ind w:firstLine="629"/>
        <w:spacing w:after="0" w:line="210" w:lineRule="auto"/>
        <w:tabs>
          <w:tab w:leader="none" w:pos="1253" w:val="left"/>
        </w:tabs>
        <w:numPr>
          <w:ilvl w:val="0"/>
          <w:numId w:val="99"/>
        </w:numPr>
        <w:rPr>
          <w:rFonts w:ascii="Arial" w:cs="Arial" w:eastAsia="Arial" w:hAnsi="Arial"/>
          <w:sz w:val="19"/>
          <w:szCs w:val="19"/>
          <w:color w:val="auto"/>
        </w:rPr>
      </w:pPr>
      <w:r>
        <w:rPr>
          <w:rFonts w:ascii="Times New Roman" w:cs="Times New Roman" w:eastAsia="Times New Roman" w:hAnsi="Times New Roman"/>
          <w:sz w:val="21"/>
          <w:szCs w:val="21"/>
          <w:color w:val="auto"/>
        </w:rPr>
        <w:t xml:space="preserve">In exchange for the considerations provided for in this Release including the receipt of any of the Severance Benefits, Executive hereby completely, irrevocably, and unconditionally releases and forever discharges the Company, and any of its affiliated companies, and each and all of their officers, agents, directors, supervisors, employees, representatives, and their successors and assigns, and all persons acting by, through, under, for, or in concert with them, or any of them, in any and all of their capacities (hereinafter individually or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xml:space="preserve">), from any and all charges, complaints, claims, and liabilities of any kind or nature whatsoever, known or unknown, suspected or unsuspected (hereinafter referred to as “claim” or “claims”) which Executive at any time heretofore had or claimed to have or which Executive may have or claim to have regarding events that have occurred as of the date Executive signs this Release, including, without limitation, those based on: any employee welfare benefit or pension plan governed by the Employee Retirement Income Security Act as amended (hereinafter </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xml:space="preserve">) (provided that this release does not extend to any vested retirement benefits of Executive under Company’s 401(k) Safe Harbor Plan); the Civil Rights Act of 1964, as amended (race, color, religion, sex and national origin discrimination and harassment); the Civil Rights Act of 1966 (42 U.S.C. § 1981) (discrimination); the Age Discrimination in Employment Act of 1967 (hereinafter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xml:space="preserve">), as amended; the Older Workers Benefit Protection Act, as amended; the Americans With Disabilities Act (hereinafter </w:t>
      </w:r>
      <w:r>
        <w:rPr>
          <w:rFonts w:ascii="Times New Roman" w:cs="Times New Roman" w:eastAsia="Times New Roman" w:hAnsi="Times New Roman"/>
          <w:sz w:val="21"/>
          <w:szCs w:val="21"/>
          <w:b w:val="1"/>
          <w:bCs w:val="1"/>
          <w:color w:val="auto"/>
        </w:rPr>
        <w:t>“ADA”</w:t>
      </w:r>
      <w:r>
        <w:rPr>
          <w:rFonts w:ascii="Times New Roman" w:cs="Times New Roman" w:eastAsia="Times New Roman" w:hAnsi="Times New Roman"/>
          <w:sz w:val="21"/>
          <w:szCs w:val="21"/>
          <w:color w:val="auto"/>
        </w:rPr>
        <w:t>), as amended; § 503 of the Rehabilitation Act of 1973; the Fair Labor Standards Act, as amended (wage and hour matters); the Family and Medical Leave Act, as amended, (family leave matters), Article 49B of the Maryland Code (discrimination), any other federal, state, or local laws or regulations regarding employment discrimination or harassment, wages, insurance, leave, privacy or any other matter; any negligent or intentional tort; any contract, policy or practice (implied, oral, or written); or any other theory of recovery under federal, state, or local law, and whether for compensatory or punitive damages, or other equitable relief, including, but not limited to, any and all claims which Executive may now have or may have had, arising from or in any way whatsoever connected with Executive’s employment or contacts, with Company or any other of the Released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440" w:right="339" w:bottom="1440" w:gutter="0" w:footer="0" w:header="0"/>
        </w:sectPr>
      </w:pPr>
    </w:p>
    <w:bookmarkStart w:id="148" w:name="page149"/>
    <w:bookmarkEnd w:id="148"/>
    <w:p>
      <w:pPr>
        <w:jc w:val="both"/>
        <w:ind w:firstLine="629"/>
        <w:spacing w:after="0" w:line="252" w:lineRule="auto"/>
        <w:tabs>
          <w:tab w:leader="none" w:pos="125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understands and agrees that Executive has been paid in full for all hours that Executive has worked for the Company and that Executive has been paid any and all compensation or bonuses which have been earned by Executive through the date of execution of this Release. Executive acknowledges, understands and agrees that Executive has not been denied any leave requested under the FMLA or applicable state leave laws and that, to the extent applicable, Executive has been returned to Executive’s job, or an equivalent position, following any FMLA or state leave taken pursuant to the FMLA or state laws. Executive acknowledges, understands and agrees that Executive has reported to the Employer’s management personnel any work related injury or illness that occurred up to and including Executive’s last day of employment. Executive acknowledges, understands, and agrees that Executive has no knowledge of any actions or inactions by any of the Released Parties or by Executive not previously disclosed to the Company that Executive believes could possibly constitute a basis for a claimed violation of any federal, state, or local law, any common law or any rule promulgated by an administrative body.</w:t>
      </w:r>
    </w:p>
    <w:p>
      <w:pPr>
        <w:spacing w:after="0" w:line="147" w:lineRule="exact"/>
        <w:rPr>
          <w:rFonts w:ascii="Times New Roman" w:cs="Times New Roman" w:eastAsia="Times New Roman" w:hAnsi="Times New Roman"/>
          <w:sz w:val="21"/>
          <w:szCs w:val="21"/>
          <w:color w:val="auto"/>
        </w:rPr>
      </w:pPr>
    </w:p>
    <w:p>
      <w:pPr>
        <w:jc w:val="both"/>
        <w:ind w:firstLine="629"/>
        <w:spacing w:after="0" w:line="212" w:lineRule="auto"/>
        <w:tabs>
          <w:tab w:leader="none" w:pos="1253" w:val="left"/>
        </w:tabs>
        <w:numPr>
          <w:ilvl w:val="0"/>
          <w:numId w:val="100"/>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understands that nothing in this Release limits Executive’s ability to file a charge or complaint with the Equal Employment Opportunity Commission, the Department of Labor, the National Labor Relations Board, the Occupational Safety and Health Administration, the Department of Justice,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Executive further understands this Release does not limit Executive’s ability to communicate with any Government Agencies or otherwise participate in any investigation or proceeding that may be conducted by any Government Agency, including providing documents or other information, without notice to the Company. While this Release does not limit Executive’s right to receive a government-issued award for information provided to any Government Agency in connection with a government whistleblower program or protected whistleblower activity, Executive understands and agrees that, to the maximum extent permitted by law, Executive is otherwise waiving any and all rights Executive may have to individual relief based on any claims that Executive has released and any rights Executive has waived by signing this Release. Furthermore, nothing in this Release waives any rights Executive may have under Section 7 of the National Labor Relations Act (subject to the release of claims set forth herein).</w:t>
      </w:r>
    </w:p>
    <w:p>
      <w:pPr>
        <w:spacing w:after="0" w:line="149" w:lineRule="exact"/>
        <w:rPr>
          <w:rFonts w:ascii="Arial" w:cs="Arial" w:eastAsia="Arial" w:hAnsi="Arial"/>
          <w:sz w:val="19"/>
          <w:szCs w:val="19"/>
          <w:color w:val="auto"/>
        </w:rPr>
      </w:pPr>
    </w:p>
    <w:p>
      <w:pPr>
        <w:ind w:left="1260" w:hanging="631"/>
        <w:spacing w:after="0"/>
        <w:tabs>
          <w:tab w:leader="none" w:pos="1260" w:val="left"/>
        </w:tabs>
        <w:numPr>
          <w:ilvl w:val="0"/>
          <w:numId w:val="100"/>
        </w:numPr>
        <w:rPr>
          <w:rFonts w:ascii="Arial" w:cs="Arial" w:eastAsia="Arial" w:hAnsi="Arial"/>
          <w:sz w:val="19"/>
          <w:szCs w:val="19"/>
          <w:color w:val="auto"/>
        </w:rPr>
      </w:pPr>
      <w:r>
        <w:rPr>
          <w:rFonts w:ascii="Times New Roman" w:cs="Times New Roman" w:eastAsia="Times New Roman" w:hAnsi="Times New Roman"/>
          <w:sz w:val="21"/>
          <w:szCs w:val="21"/>
          <w:color w:val="auto"/>
        </w:rPr>
        <w:t>Older Workers Benefit Protection Act /ADEA Waiver</w:t>
      </w:r>
    </w:p>
    <w:p>
      <w:pPr>
        <w:spacing w:after="0" w:line="175" w:lineRule="exact"/>
        <w:rPr>
          <w:sz w:val="20"/>
          <w:szCs w:val="20"/>
          <w:color w:val="auto"/>
        </w:rPr>
      </w:pPr>
    </w:p>
    <w:p>
      <w:pPr>
        <w:jc w:val="both"/>
        <w:ind w:firstLine="1250"/>
        <w:spacing w:after="0" w:line="228" w:lineRule="auto"/>
        <w:rPr>
          <w:sz w:val="20"/>
          <w:szCs w:val="20"/>
          <w:color w:val="auto"/>
        </w:rPr>
      </w:pPr>
      <w:r>
        <w:rPr>
          <w:rFonts w:ascii="Times New Roman" w:cs="Times New Roman" w:eastAsia="Times New Roman" w:hAnsi="Times New Roman"/>
          <w:sz w:val="21"/>
          <w:szCs w:val="21"/>
          <w:color w:val="auto"/>
        </w:rPr>
        <w:t>5.01. Executive acknowledges that Company has advised him in writing to consult with an attorney of his choice before signing this Release, and Executive has been given the opportunity to consult with an attorney of his choice before signing this Release.</w:t>
      </w:r>
    </w:p>
    <w:p>
      <w:pPr>
        <w:spacing w:after="0" w:line="145" w:lineRule="exact"/>
        <w:rPr>
          <w:sz w:val="20"/>
          <w:szCs w:val="20"/>
          <w:color w:val="auto"/>
        </w:rPr>
      </w:pPr>
    </w:p>
    <w:p>
      <w:pPr>
        <w:jc w:val="both"/>
        <w:ind w:firstLine="1250"/>
        <w:spacing w:after="0" w:line="228" w:lineRule="auto"/>
        <w:rPr>
          <w:sz w:val="20"/>
          <w:szCs w:val="20"/>
          <w:color w:val="auto"/>
        </w:rPr>
      </w:pPr>
      <w:r>
        <w:rPr>
          <w:rFonts w:ascii="Times New Roman" w:cs="Times New Roman" w:eastAsia="Times New Roman" w:hAnsi="Times New Roman"/>
          <w:sz w:val="21"/>
          <w:szCs w:val="21"/>
          <w:color w:val="auto"/>
        </w:rPr>
        <w:t>5.02. Executive acknowledges that he has been given the opportunity to review and consider this Release for a full twenty-one days before signing it, and that, if he has signed this Release in less than that time, he has done so voluntarily in order to obtain sooner the benefits of this Release.</w:t>
      </w:r>
    </w:p>
    <w:p>
      <w:pPr>
        <w:spacing w:after="0" w:line="145" w:lineRule="exact"/>
        <w:rPr>
          <w:sz w:val="20"/>
          <w:szCs w:val="20"/>
          <w:color w:val="auto"/>
        </w:rPr>
      </w:pPr>
    </w:p>
    <w:p>
      <w:pPr>
        <w:jc w:val="both"/>
        <w:ind w:firstLine="1250"/>
        <w:spacing w:after="0" w:line="219" w:lineRule="auto"/>
        <w:rPr>
          <w:sz w:val="20"/>
          <w:szCs w:val="20"/>
          <w:color w:val="auto"/>
        </w:rPr>
      </w:pPr>
      <w:r>
        <w:rPr>
          <w:rFonts w:ascii="Times New Roman" w:cs="Times New Roman" w:eastAsia="Times New Roman" w:hAnsi="Times New Roman"/>
          <w:sz w:val="21"/>
          <w:szCs w:val="21"/>
          <w:color w:val="auto"/>
        </w:rPr>
        <w:t>5.03. Executive further acknowledges that he may revoke this Release within seven (7) days after signing it, provided that this Release will not become effective until such seven (7) day period has expired. To be effective, any such revocation must be in writing and delivered to Company’s principal place of business by the close of business on the seventh (7th) day after signing the Release and must expressly state Executive’s intention to revoke this Release. Provided that Executive does not timely revoke this Release, the eighth (8th) day following Executive’s execution hereof shall be deemed the “Effective Date” of this Release.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76" w:right="339" w:bottom="1440" w:gutter="0" w:footer="0" w:header="0"/>
        </w:sectPr>
      </w:pPr>
    </w:p>
    <w:bookmarkStart w:id="149" w:name="page150"/>
    <w:bookmarkEnd w:id="149"/>
    <w:p>
      <w:pPr>
        <w:ind w:firstLine="1250"/>
        <w:spacing w:after="0" w:line="238" w:lineRule="auto"/>
        <w:rPr>
          <w:sz w:val="20"/>
          <w:szCs w:val="20"/>
          <w:color w:val="auto"/>
        </w:rPr>
      </w:pPr>
      <w:r>
        <w:rPr>
          <w:rFonts w:ascii="Times New Roman" w:cs="Times New Roman" w:eastAsia="Times New Roman" w:hAnsi="Times New Roman"/>
          <w:sz w:val="21"/>
          <w:szCs w:val="21"/>
          <w:color w:val="auto"/>
        </w:rPr>
        <w:t>5.04. The Parties also agree that the release provided by Executive in this Release does not include a release for claims under the ADEA arising after the date Executive signs this Release.</w:t>
      </w:r>
    </w:p>
    <w:p>
      <w:pPr>
        <w:spacing w:after="0" w:line="146" w:lineRule="exact"/>
        <w:rPr>
          <w:sz w:val="20"/>
          <w:szCs w:val="20"/>
          <w:color w:val="auto"/>
        </w:rPr>
      </w:pPr>
    </w:p>
    <w:p>
      <w:pPr>
        <w:jc w:val="both"/>
        <w:ind w:firstLine="629"/>
        <w:spacing w:after="0" w:line="228" w:lineRule="auto"/>
        <w:tabs>
          <w:tab w:leader="none" w:pos="1253" w:val="left"/>
        </w:tabs>
        <w:numPr>
          <w:ilvl w:val="0"/>
          <w:numId w:val="101"/>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shall promptly turn over to the Company any and all documents, files, computer records, or other materials belonging to, or containing confidential or proprietary information obtained from, the Company that are in Executive’s possession, custody, or control, including any such materials that may be at Executive’s home.</w:t>
      </w:r>
    </w:p>
    <w:p>
      <w:pPr>
        <w:spacing w:after="0" w:line="145" w:lineRule="exact"/>
        <w:rPr>
          <w:rFonts w:ascii="Arial" w:cs="Arial" w:eastAsia="Arial" w:hAnsi="Arial"/>
          <w:sz w:val="19"/>
          <w:szCs w:val="19"/>
          <w:color w:val="auto"/>
        </w:rPr>
      </w:pPr>
    </w:p>
    <w:p>
      <w:pPr>
        <w:ind w:firstLine="629"/>
        <w:spacing w:after="0" w:line="238" w:lineRule="auto"/>
        <w:tabs>
          <w:tab w:leader="none" w:pos="1253" w:val="left"/>
        </w:tabs>
        <w:numPr>
          <w:ilvl w:val="0"/>
          <w:numId w:val="101"/>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acknowledges his obligation to comply with any confidentiality or non-disclosure agreement Executive has executed including as set forth in the Employment Agreement.</w:t>
      </w:r>
    </w:p>
    <w:p>
      <w:pPr>
        <w:spacing w:after="0" w:line="146" w:lineRule="exact"/>
        <w:rPr>
          <w:rFonts w:ascii="Arial" w:cs="Arial" w:eastAsia="Arial" w:hAnsi="Arial"/>
          <w:sz w:val="19"/>
          <w:szCs w:val="19"/>
          <w:color w:val="auto"/>
        </w:rPr>
      </w:pPr>
    </w:p>
    <w:p>
      <w:pPr>
        <w:ind w:firstLine="629"/>
        <w:spacing w:after="0" w:line="238" w:lineRule="auto"/>
        <w:tabs>
          <w:tab w:leader="none" w:pos="1253" w:val="left"/>
        </w:tabs>
        <w:numPr>
          <w:ilvl w:val="0"/>
          <w:numId w:val="101"/>
        </w:numPr>
        <w:rPr>
          <w:rFonts w:ascii="Arial" w:cs="Arial" w:eastAsia="Arial" w:hAnsi="Arial"/>
          <w:sz w:val="19"/>
          <w:szCs w:val="19"/>
          <w:color w:val="auto"/>
        </w:rPr>
      </w:pPr>
      <w:r>
        <w:rPr>
          <w:rFonts w:ascii="Times New Roman" w:cs="Times New Roman" w:eastAsia="Times New Roman" w:hAnsi="Times New Roman"/>
          <w:sz w:val="21"/>
          <w:szCs w:val="21"/>
          <w:color w:val="auto"/>
        </w:rPr>
        <w:t>The Parties agree that they will keep absolutely confidential, and not make any future disclosures to anyone except that the Parties may disclose this Release:</w:t>
      </w:r>
    </w:p>
    <w:p>
      <w:pPr>
        <w:spacing w:after="0" w:line="14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8.01.</w:t>
      </w:r>
      <w:r>
        <w:rPr>
          <w:sz w:val="20"/>
          <w:szCs w:val="20"/>
          <w:color w:val="auto"/>
        </w:rPr>
        <w:tab/>
      </w:r>
      <w:r>
        <w:rPr>
          <w:rFonts w:ascii="Times New Roman" w:cs="Times New Roman" w:eastAsia="Times New Roman" w:hAnsi="Times New Roman"/>
          <w:sz w:val="20"/>
          <w:szCs w:val="20"/>
          <w:color w:val="auto"/>
        </w:rPr>
        <w:t>to enforce this Release; and/or</w:t>
      </w:r>
    </w:p>
    <w:p>
      <w:pPr>
        <w:spacing w:after="0" w:line="175"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8.02.</w:t>
      </w:r>
      <w:r>
        <w:rPr>
          <w:sz w:val="20"/>
          <w:szCs w:val="20"/>
          <w:color w:val="auto"/>
        </w:rPr>
        <w:tab/>
      </w:r>
      <w:r>
        <w:rPr>
          <w:rFonts w:ascii="Times New Roman" w:cs="Times New Roman" w:eastAsia="Times New Roman" w:hAnsi="Times New Roman"/>
          <w:sz w:val="20"/>
          <w:szCs w:val="20"/>
          <w:color w:val="auto"/>
        </w:rPr>
        <w:t>to an attorney; and/or</w:t>
      </w:r>
    </w:p>
    <w:p>
      <w:pPr>
        <w:spacing w:after="0" w:line="175"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21"/>
          <w:szCs w:val="21"/>
          <w:color w:val="auto"/>
        </w:rPr>
        <w:t>8.03.</w:t>
      </w:r>
      <w:r>
        <w:rPr>
          <w:sz w:val="20"/>
          <w:szCs w:val="20"/>
          <w:color w:val="auto"/>
        </w:rPr>
        <w:tab/>
      </w:r>
      <w:r>
        <w:rPr>
          <w:rFonts w:ascii="Times New Roman" w:cs="Times New Roman" w:eastAsia="Times New Roman" w:hAnsi="Times New Roman"/>
          <w:sz w:val="20"/>
          <w:szCs w:val="20"/>
          <w:color w:val="auto"/>
        </w:rPr>
        <w:t>tax advisor or attorney in connection with a tax matter; and/or</w:t>
      </w:r>
    </w:p>
    <w:p>
      <w:pPr>
        <w:spacing w:after="0" w:line="16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8.04.</w:t>
        <w:tab/>
        <w:t>to the United States Internal Revenue Service, or state or local tax authority upon its request for tax purposes;</w:t>
      </w:r>
    </w:p>
    <w:p>
      <w:pPr>
        <w:spacing w:after="0"/>
        <w:rPr>
          <w:sz w:val="20"/>
          <w:szCs w:val="20"/>
          <w:color w:val="auto"/>
        </w:rPr>
      </w:pPr>
      <w:r>
        <w:rPr>
          <w:rFonts w:ascii="Times New Roman" w:cs="Times New Roman" w:eastAsia="Times New Roman" w:hAnsi="Times New Roman"/>
          <w:sz w:val="21"/>
          <w:szCs w:val="21"/>
          <w:color w:val="auto"/>
        </w:rPr>
        <w:t>and/or</w:t>
      </w:r>
    </w:p>
    <w:p>
      <w:pPr>
        <w:spacing w:after="0" w:line="151" w:lineRule="exact"/>
        <w:rPr>
          <w:sz w:val="20"/>
          <w:szCs w:val="20"/>
          <w:color w:val="auto"/>
        </w:rPr>
      </w:pPr>
    </w:p>
    <w:p>
      <w:pPr>
        <w:jc w:val="both"/>
        <w:ind w:firstLine="1250"/>
        <w:spacing w:after="0" w:line="219" w:lineRule="auto"/>
        <w:rPr>
          <w:sz w:val="20"/>
          <w:szCs w:val="20"/>
          <w:color w:val="auto"/>
        </w:rPr>
      </w:pPr>
      <w:r>
        <w:rPr>
          <w:rFonts w:ascii="Times New Roman" w:cs="Times New Roman" w:eastAsia="Times New Roman" w:hAnsi="Times New Roman"/>
          <w:sz w:val="21"/>
          <w:szCs w:val="21"/>
          <w:color w:val="auto"/>
        </w:rPr>
        <w:t>8.05. as required by court order or otherwise required by law or in response to valid legal process; provided that the Parties may make disclosure to attorneys, accountants, tax advisors, and family members only if such persons agree to keep the information confidential; and provided further that before providing information pursuant to a court order or other legal requirement, the Party providing such information shall promptly notify the other Party, and to the extent possible will comply with the court order or other legal requirement in ways that preserve confidentiality; and</w:t>
      </w:r>
    </w:p>
    <w:p>
      <w:pPr>
        <w:spacing w:after="0" w:line="149"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auto"/>
        </w:rPr>
        <w:t>8.06.</w:t>
      </w:r>
      <w:r>
        <w:rPr>
          <w:sz w:val="20"/>
          <w:szCs w:val="20"/>
          <w:color w:val="auto"/>
        </w:rPr>
        <w:tab/>
      </w:r>
      <w:r>
        <w:rPr>
          <w:rFonts w:ascii="Times New Roman" w:cs="Times New Roman" w:eastAsia="Times New Roman" w:hAnsi="Times New Roman"/>
          <w:sz w:val="20"/>
          <w:szCs w:val="20"/>
          <w:color w:val="auto"/>
        </w:rPr>
        <w:t xml:space="preserve">to prospective employers consistent with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of the Employment Agreement.</w:t>
      </w:r>
    </w:p>
    <w:p>
      <w:pPr>
        <w:spacing w:after="0" w:line="175" w:lineRule="exact"/>
        <w:rPr>
          <w:sz w:val="20"/>
          <w:szCs w:val="20"/>
          <w:color w:val="auto"/>
        </w:rPr>
      </w:pPr>
    </w:p>
    <w:p>
      <w:pPr>
        <w:jc w:val="both"/>
        <w:ind w:firstLine="629"/>
        <w:spacing w:after="0" w:line="222" w:lineRule="auto"/>
        <w:tabs>
          <w:tab w:leader="none" w:pos="1253" w:val="left"/>
        </w:tabs>
        <w:numPr>
          <w:ilvl w:val="0"/>
          <w:numId w:val="102"/>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agrees that Executive will not publicly make or publish any adverse, disparaging, untrue, or misleading statement or comment about the Company or any of its officers, directors, employees, or agents. The Company agrees to instruct its directors, officers, and senior management not to publicly make or publish any adverse, disparaging, untrue, or misleading statement or comment about Executive.</w:t>
      </w:r>
    </w:p>
    <w:p>
      <w:pPr>
        <w:spacing w:after="0" w:line="148" w:lineRule="exact"/>
        <w:rPr>
          <w:rFonts w:ascii="Arial" w:cs="Arial" w:eastAsia="Arial" w:hAnsi="Arial"/>
          <w:sz w:val="19"/>
          <w:szCs w:val="19"/>
          <w:color w:val="auto"/>
        </w:rPr>
      </w:pPr>
    </w:p>
    <w:p>
      <w:pPr>
        <w:jc w:val="both"/>
        <w:ind w:firstLine="629"/>
        <w:spacing w:after="0" w:line="214" w:lineRule="auto"/>
        <w:tabs>
          <w:tab w:leader="none" w:pos="1268" w:val="left"/>
        </w:tabs>
        <w:numPr>
          <w:ilvl w:val="0"/>
          <w:numId w:val="102"/>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agrees to answer questions that the Company may have from time to time regarding matters that Executive worked on and to cooperate with the Company, upon request, to assist in the investigation, prosecution or defense of any claim, grievance, investigation, or audit by or against the Company. The time requirement for these activities will be nominal, will not be disruptive to the ability of the Executive to perform his own ongoing personal or professional responsibilities and will not require travel unless agreed upon by the Executive. The Company agrees to reimburse Executive for any reasonable and necessary out-of-pocket expenses he incurs as a result of such cooperation and to compensate him a reasonable hourly rate in the event such cooperation exceeds an aggregate of 20 hours (provided that the first 20 hours of cooperation has been performed to the reasonable satisfaction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49" w:right="339" w:bottom="1440" w:gutter="0" w:footer="0" w:header="0"/>
        </w:sectPr>
      </w:pPr>
    </w:p>
    <w:bookmarkStart w:id="150" w:name="page151"/>
    <w:bookmarkEnd w:id="150"/>
    <w:p>
      <w:pPr>
        <w:jc w:val="both"/>
        <w:ind w:left="-20" w:firstLine="629"/>
        <w:spacing w:after="0" w:line="219" w:lineRule="auto"/>
        <w:tabs>
          <w:tab w:leader="none" w:pos="1234"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This Release shall not in any way be construed as an admission by the Company of any acts of unlawful conduct, wrongdoing or discrimination against Executive, and the Company specifically disclaims any liability to Executive on the part of itself, its employees, or its agents. This Release shall not in any way be construed as an admission by Executive of any acts of unlawful conduct, wrongdoing or discrimination against the Company, and Executive specifically disclaims any liability to Company on the part of himself or his agents.</w:t>
      </w:r>
    </w:p>
    <w:p>
      <w:pPr>
        <w:spacing w:after="0" w:line="148" w:lineRule="exact"/>
        <w:rPr>
          <w:rFonts w:ascii="Arial" w:cs="Arial" w:eastAsia="Arial" w:hAnsi="Arial"/>
          <w:sz w:val="19"/>
          <w:szCs w:val="19"/>
          <w:color w:val="auto"/>
        </w:rPr>
      </w:pPr>
    </w:p>
    <w:p>
      <w:pPr>
        <w:jc w:val="both"/>
        <w:ind w:left="-20" w:firstLine="629"/>
        <w:spacing w:after="0" w:line="222"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This Release shall be binding upon Executive and upon Executive’s heirs, administrators, representatives, executors, successors, and assigns, and shall inure to the benefit of the Company, and its representatives, executors, successors, and assigns. This Release shall be binding upon the Company and upon the Company’s assigns and shall inure to the benefit of Executive and his heirs, administrators, representatives, executors, successors, and assigns.</w:t>
      </w:r>
    </w:p>
    <w:p>
      <w:pPr>
        <w:spacing w:after="0" w:line="148" w:lineRule="exact"/>
        <w:rPr>
          <w:rFonts w:ascii="Arial" w:cs="Arial" w:eastAsia="Arial" w:hAnsi="Arial"/>
          <w:sz w:val="19"/>
          <w:szCs w:val="19"/>
          <w:color w:val="auto"/>
        </w:rPr>
      </w:pPr>
    </w:p>
    <w:p>
      <w:pPr>
        <w:jc w:val="both"/>
        <w:ind w:left="-20" w:firstLine="629"/>
        <w:spacing w:after="0" w:line="214"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 xml:space="preserve">This Release, including its Exhibits, and any applicable equity award agreements and the equity plans to which they relate, set forth the entire agreement between the Company and Executive and, except as expressly provided for in this Release, fully supersedes any and all prior agreements or understandings between the Company and Executive pertaining to the subject matter hereof, except that Executive’s obligations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the Employment Agreement shall remain in full force and effect. In reaching this Release, neither the Company nor Executive has relied upon any representation or promise except those set forth herein. If any provision, or portion of a provision, of this Release is held to be invalid or unenforceable for any reason, the remainder of the Release shall remain in full force and effect, as if such provision, or portion of such provision, had never been contained herein. The unenforceability or invalidity of a provision of the Release in one jurisdiction shall not invalidate or render that provision unenforceable in any other jurisdiction.</w:t>
      </w:r>
    </w:p>
    <w:p>
      <w:pPr>
        <w:spacing w:after="0" w:line="145" w:lineRule="exact"/>
        <w:rPr>
          <w:rFonts w:ascii="Arial" w:cs="Arial" w:eastAsia="Arial" w:hAnsi="Arial"/>
          <w:sz w:val="19"/>
          <w:szCs w:val="19"/>
          <w:color w:val="auto"/>
        </w:rPr>
      </w:pPr>
    </w:p>
    <w:p>
      <w:pPr>
        <w:ind w:left="-20" w:firstLine="629"/>
        <w:spacing w:after="0" w:line="238"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This Release cannot be amended, modified, or supplemented in any respect except by written agreement entered into and signed by the Parties.</w:t>
      </w:r>
    </w:p>
    <w:p>
      <w:pPr>
        <w:spacing w:after="0" w:line="146" w:lineRule="exact"/>
        <w:rPr>
          <w:rFonts w:ascii="Arial" w:cs="Arial" w:eastAsia="Arial" w:hAnsi="Arial"/>
          <w:sz w:val="19"/>
          <w:szCs w:val="19"/>
          <w:color w:val="auto"/>
        </w:rPr>
      </w:pPr>
    </w:p>
    <w:p>
      <w:pPr>
        <w:jc w:val="both"/>
        <w:ind w:left="-20" w:firstLine="629"/>
        <w:spacing w:after="0" w:line="222"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This Release shall be governed by the laws of the State of Maryland without giving effect to conflict of laws principles, and Executive consents to exclusive personal jurisdiction in the state and federal courts of the State of Maryland for any proceeding arising out of or relating to this Release. The language of all parts of the Release shall in all cases be construed as a whole, according to its fair meaning, and not strictly for or against any of the Parties.</w:t>
      </w:r>
    </w:p>
    <w:p>
      <w:pPr>
        <w:spacing w:after="0" w:line="148" w:lineRule="exact"/>
        <w:rPr>
          <w:rFonts w:ascii="Arial" w:cs="Arial" w:eastAsia="Arial" w:hAnsi="Arial"/>
          <w:sz w:val="19"/>
          <w:szCs w:val="19"/>
          <w:color w:val="auto"/>
        </w:rPr>
      </w:pPr>
    </w:p>
    <w:p>
      <w:pPr>
        <w:jc w:val="both"/>
        <w:ind w:left="-20" w:firstLine="629"/>
        <w:spacing w:after="0" w:line="222"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acknowledges that he has read each and every section of this Release and that he understands his rights and obligations under this Release. Executive acknowledges that the Company has advised him in writing to consult with an attorney of his choice before signing this Release, and that Executive has been given the opportunity to consult with an attorney of his choice before signing this Release.</w:t>
      </w:r>
    </w:p>
    <w:p>
      <w:pPr>
        <w:spacing w:after="0" w:line="148" w:lineRule="exact"/>
        <w:rPr>
          <w:rFonts w:ascii="Arial" w:cs="Arial" w:eastAsia="Arial" w:hAnsi="Arial"/>
          <w:sz w:val="19"/>
          <w:szCs w:val="19"/>
          <w:color w:val="auto"/>
        </w:rPr>
      </w:pPr>
    </w:p>
    <w:p>
      <w:pPr>
        <w:ind w:left="-20" w:firstLine="629"/>
        <w:spacing w:after="0" w:line="238" w:lineRule="auto"/>
        <w:tabs>
          <w:tab w:leader="none" w:pos="1248" w:val="left"/>
        </w:tabs>
        <w:numPr>
          <w:ilvl w:val="0"/>
          <w:numId w:val="103"/>
        </w:numPr>
        <w:rPr>
          <w:rFonts w:ascii="Arial" w:cs="Arial" w:eastAsia="Arial" w:hAnsi="Arial"/>
          <w:sz w:val="19"/>
          <w:szCs w:val="19"/>
          <w:color w:val="auto"/>
        </w:rPr>
      </w:pPr>
      <w:r>
        <w:rPr>
          <w:rFonts w:ascii="Times New Roman" w:cs="Times New Roman" w:eastAsia="Times New Roman" w:hAnsi="Times New Roman"/>
          <w:sz w:val="21"/>
          <w:szCs w:val="21"/>
          <w:color w:val="auto"/>
        </w:rPr>
        <w:t>This Release may be signed in counterparts, each of which shall be considered an original for all purposes, and all of which taken together shall constitute one and the same written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20"/>
          </w:cols>
          <w:pgMar w:left="340" w:top="1350" w:right="339" w:bottom="1440" w:gutter="0" w:footer="0" w:header="0"/>
        </w:sectPr>
      </w:pPr>
    </w:p>
    <w:bookmarkStart w:id="151" w:name="page152"/>
    <w:bookmarkEnd w:id="151"/>
    <w:p>
      <w:pPr>
        <w:ind w:firstLine="625"/>
        <w:spacing w:after="0" w:line="275" w:lineRule="auto"/>
        <w:rPr>
          <w:sz w:val="20"/>
          <w:szCs w:val="20"/>
          <w:color w:val="auto"/>
        </w:rPr>
      </w:pPr>
      <w:r>
        <w:rPr>
          <w:rFonts w:ascii="Times New Roman" w:cs="Times New Roman" w:eastAsia="Times New Roman" w:hAnsi="Times New Roman"/>
          <w:sz w:val="21"/>
          <w:szCs w:val="21"/>
          <w:color w:val="auto"/>
        </w:rPr>
        <w:t>IN WITNESS WHEREOF, the Company, has caused this Release to be executed by its duly authorized officer, and Executive has executed this Release, on the date(s) set forth below.</w:t>
      </w:r>
    </w:p>
    <w:p>
      <w:pPr>
        <w:spacing w:after="0" w:line="14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9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30" w:lineRule="exact"/>
        <w:rPr>
          <w:sz w:val="20"/>
          <w:szCs w:val="20"/>
          <w:color w:val="auto"/>
        </w:rPr>
      </w:pPr>
    </w:p>
    <w:p>
      <w:pPr>
        <w:ind w:left="3140"/>
        <w:spacing w:after="0"/>
        <w:tabs>
          <w:tab w:leader="none" w:pos="4660" w:val="left"/>
        </w:tabs>
        <w:rPr>
          <w:sz w:val="20"/>
          <w:szCs w:val="20"/>
          <w:color w:val="auto"/>
        </w:rPr>
      </w:pPr>
      <w:r>
        <w:rPr>
          <w:rFonts w:ascii="Times New Roman" w:cs="Times New Roman" w:eastAsia="Times New Roman" w:hAnsi="Times New Roman"/>
          <w:sz w:val="21"/>
          <w:szCs w:val="21"/>
          <w:color w:val="auto"/>
        </w:rPr>
        <w:t>Eric Risser</w:t>
      </w:r>
      <w:r>
        <w:rPr>
          <w:sz w:val="20"/>
          <w:szCs w:val="20"/>
          <w:color w:val="auto"/>
        </w:rPr>
        <w:tab/>
      </w: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MacroGenics, Inc.</w:t>
      </w:r>
    </w:p>
    <w:p>
      <w:pPr>
        <w:spacing w:after="0" w:line="200" w:lineRule="exact"/>
        <w:rPr>
          <w:sz w:val="20"/>
          <w:szCs w:val="20"/>
          <w:color w:val="auto"/>
        </w:rPr>
      </w:pPr>
    </w:p>
    <w:p>
      <w:pPr>
        <w:spacing w:after="0" w:line="27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By:____________________________________</w:t>
      </w:r>
    </w:p>
    <w:p>
      <w:pPr>
        <w:spacing w:after="0" w:line="30" w:lineRule="exact"/>
        <w:rPr>
          <w:sz w:val="20"/>
          <w:szCs w:val="20"/>
          <w:color w:val="auto"/>
        </w:rPr>
      </w:pPr>
    </w:p>
    <w:p>
      <w:pPr>
        <w:ind w:left="3140"/>
        <w:spacing w:after="0"/>
        <w:tabs>
          <w:tab w:leader="none" w:pos="45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/Date</w:t>
      </w:r>
    </w:p>
    <w:p>
      <w:pPr>
        <w:spacing w:after="0" w:line="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76"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MUTUAL ARBITRATION AGREEMENT</w:t>
      </w:r>
    </w:p>
    <w:p>
      <w:pPr>
        <w:spacing w:after="0" w:line="209" w:lineRule="exact"/>
        <w:rPr>
          <w:sz w:val="20"/>
          <w:szCs w:val="20"/>
          <w:color w:val="auto"/>
        </w:rPr>
      </w:pPr>
    </w:p>
    <w:p>
      <w:pPr>
        <w:jc w:val="both"/>
        <w:ind w:firstLine="4"/>
        <w:spacing w:after="0" w:line="265" w:lineRule="auto"/>
        <w:tabs>
          <w:tab w:leader="none" w:pos="628"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Mutual Arbitration Agreement (“Arbitration Agreement”), the term “the Company” refers to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MacroGenics, Inc., and its successors, assigns, subsidiaries, and affiliated companies, and their respective owners, officers, managers, employees, and agents. The term “Employee” refers to the individual whose name and signature appear on the last page of this Arbitration Agreement. The Company and Employee are collectively referred to herein as the “Parties.”</w:t>
      </w:r>
    </w:p>
    <w:p>
      <w:pPr>
        <w:spacing w:after="0" w:line="194" w:lineRule="exact"/>
        <w:rPr>
          <w:rFonts w:ascii="Arial" w:cs="Arial" w:eastAsia="Arial" w:hAnsi="Arial"/>
          <w:sz w:val="19"/>
          <w:szCs w:val="19"/>
          <w:b w:val="1"/>
          <w:bCs w:val="1"/>
          <w:color w:val="auto"/>
        </w:rPr>
      </w:pPr>
    </w:p>
    <w:p>
      <w:pPr>
        <w:jc w:val="both"/>
        <w:ind w:firstLine="4"/>
        <w:spacing w:after="0" w:line="259" w:lineRule="auto"/>
        <w:tabs>
          <w:tab w:leader="none" w:pos="628"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Mutual Agreement to Arbitrate Disputes.</w:t>
      </w:r>
      <w:r>
        <w:rPr>
          <w:rFonts w:ascii="Arial" w:cs="Arial" w:eastAsia="Arial" w:hAnsi="Arial"/>
          <w:sz w:val="19"/>
          <w:szCs w:val="19"/>
          <w:b w:val="1"/>
          <w:bCs w:val="1"/>
          <w:color w:val="auto"/>
        </w:rPr>
        <w:t xml:space="preserve"> </w:t>
      </w:r>
      <w:r>
        <w:rPr>
          <w:rFonts w:ascii="Arial" w:cs="Arial" w:eastAsia="Arial" w:hAnsi="Arial"/>
          <w:sz w:val="19"/>
          <w:szCs w:val="19"/>
          <w:color w:val="auto"/>
        </w:rPr>
        <w:t>In consideration of the Parties’ mutual agreement to arbitrate and the mutual</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that arbitration can provide the Parties, and in consideration of Employee’s employment or continued employment, the Parties agree that any Covered Claims, as defined below, that either party may have against the other shall be submitted to binding arbitration under the Federal Arbitration Act (“FAA”). The Parties agree that this Arbitration Agreement is governed by the FAA because the Company’s business involves interstate commerce. If the FAA does not apply, the state law in the state where Employee’s primarily assigned work location shall apply.</w:t>
      </w:r>
    </w:p>
    <w:p>
      <w:pPr>
        <w:spacing w:after="0" w:line="187" w:lineRule="exact"/>
        <w:rPr>
          <w:rFonts w:ascii="Arial" w:cs="Arial" w:eastAsia="Arial" w:hAnsi="Arial"/>
          <w:sz w:val="19"/>
          <w:szCs w:val="19"/>
          <w:b w:val="1"/>
          <w:bCs w:val="1"/>
          <w:color w:val="auto"/>
        </w:rPr>
      </w:pPr>
    </w:p>
    <w:p>
      <w:pPr>
        <w:jc w:val="both"/>
        <w:ind w:firstLine="4"/>
        <w:spacing w:after="0" w:line="265" w:lineRule="auto"/>
        <w:tabs>
          <w:tab w:leader="none" w:pos="628"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Covered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they will submit all Covered Claims to be determined exclusively by binding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Claims” means any controversy, dispute or claim either party has against the other arising out of or relating to Employee’s employment with the Company, including but not limited to Employee’s application for employment, terms and conditions of employment, and separation from employment. Covered Claims include but are not limited to:</w:t>
      </w:r>
    </w:p>
    <w:p>
      <w:pPr>
        <w:spacing w:after="0" w:line="196" w:lineRule="exact"/>
        <w:rPr>
          <w:rFonts w:ascii="Arial" w:cs="Arial" w:eastAsia="Arial" w:hAnsi="Arial"/>
          <w:sz w:val="19"/>
          <w:szCs w:val="19"/>
          <w:b w:val="1"/>
          <w:bCs w:val="1"/>
          <w:color w:val="auto"/>
        </w:rPr>
      </w:pPr>
    </w:p>
    <w:p>
      <w:pPr>
        <w:jc w:val="both"/>
        <w:ind w:left="1260" w:hanging="318"/>
        <w:spacing w:after="0" w:line="253" w:lineRule="auto"/>
        <w:tabs>
          <w:tab w:leader="none" w:pos="1263"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claims arising under federal, state, or local laws, regulations, or statutes prohibiting employment discrimination, failure to accommodate, harassment (except as provided in Section 4(d) below) and/or retaliation on the basis of a protected class. Such claims include those under Title VII of the Civil Rights Act of 1964; the Civil Rights Acts of 1866 and 1871, 42 U.S.C. § 1981; the Age Discrimination in Employment Act; the Americans with Disabilities Act; the Equal Pay Act; the Family and Medical Leave Act; the Pregnancy Discrimination Act; and all other state and local laws prohibiting employment discrimination, failure to accommodate, harassment and/or retaliation;</w:t>
      </w:r>
    </w:p>
    <w:p>
      <w:pPr>
        <w:spacing w:after="0" w:line="3" w:lineRule="exact"/>
        <w:rPr>
          <w:rFonts w:ascii="Arial" w:cs="Arial" w:eastAsia="Arial" w:hAnsi="Arial"/>
          <w:sz w:val="19"/>
          <w:szCs w:val="19"/>
          <w:b w:val="1"/>
          <w:bCs w:val="1"/>
          <w:color w:val="auto"/>
        </w:rPr>
      </w:pPr>
    </w:p>
    <w:p>
      <w:pPr>
        <w:ind w:left="1260" w:hanging="318"/>
        <w:spacing w:after="0" w:line="273" w:lineRule="auto"/>
        <w:tabs>
          <w:tab w:leader="none" w:pos="1273"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claims arising under an alleged or actual agreement, whether oral, written or implied, and any claims of alleged violations of public policy;</w:t>
      </w:r>
    </w:p>
    <w:p>
      <w:pPr>
        <w:spacing w:after="0" w:line="175" w:lineRule="exact"/>
        <w:rPr>
          <w:rFonts w:ascii="Arial" w:cs="Arial" w:eastAsia="Arial" w:hAnsi="Arial"/>
          <w:sz w:val="19"/>
          <w:szCs w:val="19"/>
          <w:b w:val="1"/>
          <w:bCs w:val="1"/>
          <w:color w:val="auto"/>
        </w:rPr>
      </w:pPr>
    </w:p>
    <w:p>
      <w:pPr>
        <w:jc w:val="both"/>
        <w:ind w:left="1260" w:hanging="318"/>
        <w:spacing w:after="0" w:line="275" w:lineRule="auto"/>
        <w:tabs>
          <w:tab w:leader="none" w:pos="1276"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claims under federal, state, or local laws regarding payment of wages, compensation practices, or benefit plans. Such claims include but are not limited to claims under the Fair Labor Standards Act, the Employee Retirement Income Security Act, and all state or local wage and hour and wage payment laws;</w:t>
      </w:r>
    </w:p>
    <w:p>
      <w:pPr>
        <w:spacing w:after="0" w:line="173" w:lineRule="exact"/>
        <w:rPr>
          <w:rFonts w:ascii="Arial" w:cs="Arial" w:eastAsia="Arial" w:hAnsi="Arial"/>
          <w:sz w:val="19"/>
          <w:szCs w:val="19"/>
          <w:b w:val="1"/>
          <w:bCs w:val="1"/>
          <w:color w:val="auto"/>
        </w:rPr>
      </w:pPr>
    </w:p>
    <w:p>
      <w:pPr>
        <w:jc w:val="both"/>
        <w:ind w:left="1260" w:hanging="318"/>
        <w:spacing w:after="0" w:line="268" w:lineRule="auto"/>
        <w:tabs>
          <w:tab w:leader="none" w:pos="1273"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claims for refusal to hire, wrongful termination, defamation, assault, battery, negligence, invasion of privacy, layoffs, background or credit reports, drug testing, and other claims of personal, emotional, physical or other economic injury; and</w:t>
      </w:r>
    </w:p>
    <w:p>
      <w:pPr>
        <w:spacing w:after="0" w:line="192" w:lineRule="exact"/>
        <w:rPr>
          <w:rFonts w:ascii="Arial" w:cs="Arial" w:eastAsia="Arial" w:hAnsi="Arial"/>
          <w:sz w:val="19"/>
          <w:szCs w:val="19"/>
          <w:b w:val="1"/>
          <w:bCs w:val="1"/>
          <w:color w:val="auto"/>
        </w:rPr>
      </w:pPr>
    </w:p>
    <w:p>
      <w:pPr>
        <w:ind w:left="1260" w:hanging="318"/>
        <w:spacing w:after="0"/>
        <w:tabs>
          <w:tab w:leader="none" w:pos="1260"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claims relating to the scope, validity, or enforceability of this Arbitration Agreement.</w:t>
      </w:r>
    </w:p>
    <w:p>
      <w:pPr>
        <w:spacing w:after="0" w:line="248" w:lineRule="exact"/>
        <w:rPr>
          <w:rFonts w:ascii="Arial" w:cs="Arial" w:eastAsia="Arial" w:hAnsi="Arial"/>
          <w:sz w:val="19"/>
          <w:szCs w:val="19"/>
          <w:b w:val="1"/>
          <w:bCs w:val="1"/>
          <w:color w:val="auto"/>
        </w:rPr>
      </w:pPr>
    </w:p>
    <w:p>
      <w:pPr>
        <w:ind w:firstLine="4"/>
        <w:spacing w:after="0" w:line="280" w:lineRule="auto"/>
        <w:tabs>
          <w:tab w:leader="none" w:pos="628"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Excluded Claims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the following are not Covered Claims and are not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mandatory arbitration under this Arbitration Agreement:</w:t>
      </w: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72" w:right="339" w:bottom="1440" w:gutter="0" w:footer="0" w:header="0"/>
        </w:sectPr>
      </w:pPr>
    </w:p>
    <w:bookmarkStart w:id="153" w:name="page154"/>
    <w:bookmarkEnd w:id="153"/>
    <w:p>
      <w:pPr>
        <w:spacing w:after="0" w:line="372" w:lineRule="exact"/>
        <w:rPr>
          <w:sz w:val="20"/>
          <w:szCs w:val="20"/>
          <w:color w:val="auto"/>
        </w:rPr>
      </w:pPr>
    </w:p>
    <w:p>
      <w:pPr>
        <w:ind w:left="1256" w:hanging="318"/>
        <w:spacing w:after="0" w:line="292" w:lineRule="auto"/>
        <w:tabs>
          <w:tab w:leader="none" w:pos="1259"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arising under the National Labor Relations Act that is brought before the National Labor Relations Board, including but not limited to unfair labor practice charges;</w:t>
      </w:r>
    </w:p>
    <w:p>
      <w:pPr>
        <w:spacing w:after="0" w:line="366" w:lineRule="exact"/>
        <w:rPr>
          <w:rFonts w:ascii="Arial" w:cs="Arial" w:eastAsia="Arial" w:hAnsi="Arial"/>
          <w:sz w:val="19"/>
          <w:szCs w:val="19"/>
          <w:b w:val="1"/>
          <w:bCs w:val="1"/>
          <w:color w:val="auto"/>
        </w:rPr>
      </w:pPr>
    </w:p>
    <w:p>
      <w:pPr>
        <w:ind w:left="1256" w:hanging="318"/>
        <w:spacing w:after="0" w:line="292" w:lineRule="auto"/>
        <w:tabs>
          <w:tab w:leader="none" w:pos="1269"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for medical and disability benefits under workers’ compensation laws or any claim for unemployment benefits;</w:t>
      </w:r>
    </w:p>
    <w:p>
      <w:pPr>
        <w:spacing w:after="0" w:line="158" w:lineRule="exact"/>
        <w:rPr>
          <w:rFonts w:ascii="Arial" w:cs="Arial" w:eastAsia="Arial" w:hAnsi="Arial"/>
          <w:sz w:val="19"/>
          <w:szCs w:val="19"/>
          <w:b w:val="1"/>
          <w:bCs w:val="1"/>
          <w:color w:val="auto"/>
        </w:rPr>
      </w:pPr>
    </w:p>
    <w:p>
      <w:pPr>
        <w:ind w:left="1256" w:hanging="318"/>
        <w:spacing w:after="0" w:line="292" w:lineRule="auto"/>
        <w:tabs>
          <w:tab w:leader="none" w:pos="1272"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brought on an individual basis which may be brought properly in, and only to the extent it remains in, small claims court;</w:t>
      </w:r>
    </w:p>
    <w:p>
      <w:pPr>
        <w:spacing w:after="0" w:line="171" w:lineRule="exact"/>
        <w:rPr>
          <w:rFonts w:ascii="Arial" w:cs="Arial" w:eastAsia="Arial" w:hAnsi="Arial"/>
          <w:sz w:val="19"/>
          <w:szCs w:val="19"/>
          <w:b w:val="1"/>
          <w:bCs w:val="1"/>
          <w:color w:val="auto"/>
        </w:rPr>
      </w:pPr>
    </w:p>
    <w:p>
      <w:pPr>
        <w:jc w:val="both"/>
        <w:ind w:left="1256" w:hanging="318"/>
        <w:spacing w:after="0" w:line="259" w:lineRule="auto"/>
        <w:tabs>
          <w:tab w:leader="none" w:pos="1269"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At employee’s voluntarily election, any “sexual assault dispute” or “sexual harassment dispute” as defined under the Ending Forced Arbitration of Sexual Assault and Sexual Harassment Act of 2021, 9 U.S.C. § 401 (“Act”), provided the Act is in effect at the time the claim accrues. If Employee elects to pursue a “sexual harassment dispute” or “sexual assault dispute” as defined by the Act in court, Employee agrees that such claims will be tried only to a judge and not to a jury;</w:t>
      </w:r>
    </w:p>
    <w:p>
      <w:pPr>
        <w:spacing w:after="0" w:line="201" w:lineRule="exact"/>
        <w:rPr>
          <w:rFonts w:ascii="Arial" w:cs="Arial" w:eastAsia="Arial" w:hAnsi="Arial"/>
          <w:sz w:val="19"/>
          <w:szCs w:val="19"/>
          <w:b w:val="1"/>
          <w:bCs w:val="1"/>
          <w:color w:val="auto"/>
        </w:rPr>
      </w:pPr>
    </w:p>
    <w:p>
      <w:pPr>
        <w:ind w:left="1256" w:hanging="318"/>
        <w:spacing w:after="0" w:line="278" w:lineRule="auto"/>
        <w:tabs>
          <w:tab w:leader="none" w:pos="1259"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arising out of any written contract(s) between Employee and the Company where the contract specifically provides for resolution through the courts;</w:t>
      </w:r>
    </w:p>
    <w:p>
      <w:pPr>
        <w:spacing w:after="0" w:line="184" w:lineRule="exact"/>
        <w:rPr>
          <w:rFonts w:ascii="Arial" w:cs="Arial" w:eastAsia="Arial" w:hAnsi="Arial"/>
          <w:sz w:val="19"/>
          <w:szCs w:val="19"/>
          <w:b w:val="1"/>
          <w:bCs w:val="1"/>
          <w:color w:val="auto"/>
        </w:rPr>
      </w:pPr>
    </w:p>
    <w:p>
      <w:pPr>
        <w:ind w:left="1256" w:hanging="318"/>
        <w:spacing w:after="0"/>
        <w:tabs>
          <w:tab w:leader="none" w:pos="1256"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for benefits under a Company plan in which the plan provides its own dispute resolution procedure; and</w:t>
      </w:r>
    </w:p>
    <w:p>
      <w:pPr>
        <w:spacing w:after="0" w:line="237" w:lineRule="exact"/>
        <w:rPr>
          <w:rFonts w:ascii="Arial" w:cs="Arial" w:eastAsia="Arial" w:hAnsi="Arial"/>
          <w:sz w:val="19"/>
          <w:szCs w:val="19"/>
          <w:b w:val="1"/>
          <w:bCs w:val="1"/>
          <w:color w:val="auto"/>
        </w:rPr>
      </w:pPr>
    </w:p>
    <w:p>
      <w:pPr>
        <w:jc w:val="both"/>
        <w:ind w:left="1256" w:hanging="318"/>
        <w:spacing w:after="0" w:line="264" w:lineRule="auto"/>
        <w:tabs>
          <w:tab w:leader="none" w:pos="1282"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claim for temporary or preliminary injunctive relief (including expedited discovery in aid thereof) from a state or federal court of competent jurisdiction to restrain violations or threatened violations of this Arbitration Agreement, any other agreement between the Parties, or applicable law, or to preserve the status quo and prevent irreparable harm pending the arbitration of any Covered Claim.</w:t>
      </w:r>
    </w:p>
    <w:p>
      <w:pPr>
        <w:spacing w:after="0" w:line="195" w:lineRule="exact"/>
        <w:rPr>
          <w:rFonts w:ascii="Arial" w:cs="Arial" w:eastAsia="Arial" w:hAnsi="Arial"/>
          <w:sz w:val="19"/>
          <w:szCs w:val="19"/>
          <w:b w:val="1"/>
          <w:bCs w:val="1"/>
          <w:color w:val="auto"/>
        </w:rPr>
      </w:pPr>
    </w:p>
    <w:p>
      <w:pPr>
        <w:jc w:val="both"/>
        <w:ind w:left="-4" w:firstLine="4"/>
        <w:spacing w:after="0" w:line="259" w:lineRule="auto"/>
        <w:tabs>
          <w:tab w:leader="none" w:pos="624"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Participation in Agency Investigations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nothing in this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prevent Employee from filing administrative claims with the U.S. Equal Employment Opportunity Commission, the National Labor Relations Board, or any other federal, state or local agency. (If Employee chooses to pursue a Covered Claim following the exhaustion of administrative remedies before an agency, that claim would be subject to arbitration unless otherwise specifically excluded from arbitration by this Arbitration Agreement.) Likewise, nothing in this Arbitration Agreement prevents a party from participating in any investigation or proceeding conducted by any federal, state or local agency.</w:t>
      </w:r>
    </w:p>
    <w:p>
      <w:pPr>
        <w:spacing w:after="0" w:line="187" w:lineRule="exact"/>
        <w:rPr>
          <w:rFonts w:ascii="Arial" w:cs="Arial" w:eastAsia="Arial" w:hAnsi="Arial"/>
          <w:sz w:val="19"/>
          <w:szCs w:val="19"/>
          <w:color w:val="auto"/>
        </w:rPr>
      </w:pPr>
    </w:p>
    <w:p>
      <w:pPr>
        <w:jc w:val="both"/>
        <w:ind w:left="-4" w:firstLine="4"/>
        <w:spacing w:after="0" w:line="259" w:lineRule="auto"/>
        <w:tabs>
          <w:tab w:leader="none" w:pos="624"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 Procedure</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Claims shall be settled by submission by either party of the controversy, claim or dispute to</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arbitration administered by JAMS pursuant to its Employment Arbitration Rules &amp; Procedures and subject to JAMS Policy on Employment Arbitration Minimum Standards of Procedural Fairness in effect at the time the arbitration is initiated, except as indicated herein. The JAMS Employment Arbitration Rules &amp; Procedures and JAMS Policy on Employment Arbitration Minimum Standards of Procedural Fairness may be obtained at http://www.jamsadr.com. If the JAMS Rules current at the time the arbitration is initiated are in conflict with the procedure below,</w:t>
      </w:r>
    </w:p>
    <w:p>
      <w:pPr>
        <w:spacing w:after="0" w:line="200" w:lineRule="exact"/>
        <w:rPr>
          <w:sz w:val="20"/>
          <w:szCs w:val="20"/>
          <w:color w:val="auto"/>
        </w:rPr>
      </w:pPr>
    </w:p>
    <w:p>
      <w:pPr>
        <w:spacing w:after="0" w:line="205" w:lineRule="exact"/>
        <w:rPr>
          <w:sz w:val="20"/>
          <w:szCs w:val="20"/>
          <w:color w:val="auto"/>
        </w:rPr>
      </w:pPr>
    </w:p>
    <w:p>
      <w:pPr>
        <w:ind w:left="216"/>
        <w:spacing w:after="0"/>
        <w:rPr>
          <w:sz w:val="20"/>
          <w:szCs w:val="20"/>
          <w:color w:val="auto"/>
        </w:rPr>
      </w:pPr>
      <w:r>
        <w:rPr>
          <w:rFonts w:ascii="Times New Roman" w:cs="Times New Roman" w:eastAsia="Times New Roman" w:hAnsi="Times New Roman"/>
          <w:sz w:val="21"/>
          <w:szCs w:val="21"/>
          <w:color w:val="auto"/>
        </w:rPr>
        <w:t>3</w:t>
      </w:r>
    </w:p>
    <w:p>
      <w:pPr>
        <w:spacing w:after="0" w:line="68" w:lineRule="exact"/>
        <w:rPr>
          <w:sz w:val="20"/>
          <w:szCs w:val="20"/>
          <w:color w:val="auto"/>
        </w:rPr>
      </w:pPr>
    </w:p>
    <w:p>
      <w:pPr>
        <w:ind w:left="16"/>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36"/>
          </w:cols>
          <w:pgMar w:left="324" w:top="1440" w:right="339" w:bottom="1440" w:gutter="0" w:footer="0" w:header="0"/>
        </w:sectPr>
      </w:pPr>
    </w:p>
    <w:bookmarkStart w:id="154" w:name="page155"/>
    <w:bookmarkEnd w:id="154"/>
    <w:p>
      <w:pPr>
        <w:spacing w:after="0" w:line="293" w:lineRule="auto"/>
        <w:rPr>
          <w:sz w:val="20"/>
          <w:szCs w:val="20"/>
          <w:color w:val="auto"/>
        </w:rPr>
      </w:pPr>
      <w:r>
        <w:rPr>
          <w:rFonts w:ascii="Arial" w:cs="Arial" w:eastAsia="Arial" w:hAnsi="Arial"/>
          <w:sz w:val="19"/>
          <w:szCs w:val="19"/>
          <w:color w:val="auto"/>
        </w:rPr>
        <w:t>then the JAMS Rules shall supersede the stated procedures. To the extent they do not conflict with the JAMS Rules, the arbitration shall be governed by the Federal Rules of Civil Procedure.</w:t>
      </w:r>
    </w:p>
    <w:p>
      <w:pPr>
        <w:spacing w:after="0" w:line="155" w:lineRule="exact"/>
        <w:rPr>
          <w:sz w:val="20"/>
          <w:szCs w:val="20"/>
          <w:color w:val="auto"/>
        </w:rPr>
      </w:pPr>
    </w:p>
    <w:p>
      <w:pPr>
        <w:jc w:val="both"/>
        <w:ind w:firstLine="4"/>
        <w:spacing w:after="0" w:line="259" w:lineRule="auto"/>
        <w:tabs>
          <w:tab w:leader="none" w:pos="628"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Form of Arbitration and Waiver of Multi-Plaintiff Litigation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any arbitration, any claim shall be arbitrated only on an</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basis and not on a class or private attorney general basis. Employee and the Company expressly waive any right to arbitrate as a class representative, as a class member, in a collective action, or in or pursuant to a private attorney general capacity, and there shall be no joinder or consolidation of parties. In the event an arbitrator or court determines a claim may be brought as a class or in a collective action, then the agreement to arbitrate that claim is void and such class or collective action must be brought in the appropriate court and not in arbitration. In such case, Section 14, Waiver of Jury Trial, shall still apply.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Employee and the Company each agree, to the fullest extent permitted by applicable law, that neither will, in any capacity:</w:t>
      </w:r>
    </w:p>
    <w:p>
      <w:pPr>
        <w:spacing w:after="0" w:line="213" w:lineRule="exact"/>
        <w:rPr>
          <w:sz w:val="20"/>
          <w:szCs w:val="20"/>
          <w:color w:val="auto"/>
        </w:rPr>
      </w:pPr>
    </w:p>
    <w:p>
      <w:pPr>
        <w:ind w:left="1260" w:hanging="318"/>
        <w:spacing w:after="0" w:line="292" w:lineRule="auto"/>
        <w:tabs>
          <w:tab w:leader="none" w:pos="1263"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file, join, intervene, or participate in any way as a party, class member, or individual eligible for monetary or equitable relief in any lawsuit or court case that is subject to mandatory binding arbitration under this Arbitration Agreement;</w:t>
      </w:r>
    </w:p>
    <w:p>
      <w:pPr>
        <w:spacing w:after="0" w:line="380" w:lineRule="exact"/>
        <w:rPr>
          <w:rFonts w:ascii="Arial" w:cs="Arial" w:eastAsia="Arial" w:hAnsi="Arial"/>
          <w:sz w:val="19"/>
          <w:szCs w:val="19"/>
          <w:b w:val="1"/>
          <w:bCs w:val="1"/>
          <w:color w:val="auto"/>
        </w:rPr>
      </w:pPr>
    </w:p>
    <w:p>
      <w:pPr>
        <w:ind w:left="1260" w:hanging="318"/>
        <w:spacing w:after="0" w:line="278" w:lineRule="auto"/>
        <w:tabs>
          <w:tab w:leader="none" w:pos="1273"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file, join, participate, or intervene in any class-based lawsuit or court case against the other party (including any collective or representative action); or</w:t>
      </w:r>
    </w:p>
    <w:p>
      <w:pPr>
        <w:spacing w:after="0" w:line="184" w:lineRule="exact"/>
        <w:rPr>
          <w:rFonts w:ascii="Arial" w:cs="Arial" w:eastAsia="Arial" w:hAnsi="Arial"/>
          <w:sz w:val="19"/>
          <w:szCs w:val="19"/>
          <w:b w:val="1"/>
          <w:bCs w:val="1"/>
          <w:color w:val="auto"/>
        </w:rPr>
      </w:pPr>
    </w:p>
    <w:p>
      <w:pPr>
        <w:ind w:left="1280" w:hanging="338"/>
        <w:spacing w:after="0"/>
        <w:tabs>
          <w:tab w:leader="none" w:pos="1280"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file, join, participate, or intervene in any class-based arbitration against the other party.</w:t>
      </w:r>
    </w:p>
    <w:p>
      <w:pPr>
        <w:spacing w:after="0" w:line="237" w:lineRule="exact"/>
        <w:rPr>
          <w:rFonts w:ascii="Arial" w:cs="Arial" w:eastAsia="Arial" w:hAnsi="Arial"/>
          <w:sz w:val="19"/>
          <w:szCs w:val="19"/>
          <w:b w:val="1"/>
          <w:bCs w:val="1"/>
          <w:color w:val="auto"/>
        </w:rPr>
      </w:pPr>
    </w:p>
    <w:p>
      <w:pPr>
        <w:jc w:val="both"/>
        <w:ind w:left="1260" w:hanging="318"/>
        <w:spacing w:after="0" w:line="275" w:lineRule="auto"/>
        <w:tabs>
          <w:tab w:leader="none" w:pos="1273"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Except as provided above, this waiver does not prohibit Employee’s right to act in concert with other applicants or Employees, under the NLRA, nor does it restrict any other rights under the NLRA, and Employee will not be subject to discipline or retaliation for exercising such rights and/or filing claims with the NLRB.</w:t>
      </w:r>
    </w:p>
    <w:p>
      <w:pPr>
        <w:spacing w:after="0" w:line="171" w:lineRule="exact"/>
        <w:rPr>
          <w:rFonts w:ascii="Arial" w:cs="Arial" w:eastAsia="Arial" w:hAnsi="Arial"/>
          <w:sz w:val="19"/>
          <w:szCs w:val="19"/>
          <w:b w:val="1"/>
          <w:bCs w:val="1"/>
          <w:color w:val="auto"/>
        </w:rPr>
      </w:pPr>
    </w:p>
    <w:p>
      <w:pPr>
        <w:jc w:val="both"/>
        <w:ind w:firstLine="4"/>
        <w:spacing w:after="0" w:line="259" w:lineRule="auto"/>
        <w:tabs>
          <w:tab w:leader="none" w:pos="628"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Location of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that arbitration shall be held within fifty (50) miles of the Company’s headquarters</w:t>
      </w:r>
      <w:r>
        <w:rPr>
          <w:rFonts w:ascii="Arial" w:cs="Arial" w:eastAsia="Arial" w:hAnsi="Arial"/>
          <w:sz w:val="19"/>
          <w:szCs w:val="19"/>
          <w:b w:val="1"/>
          <w:bCs w:val="1"/>
          <w:color w:val="auto"/>
        </w:rPr>
        <w:t xml:space="preserve"> </w:t>
      </w:r>
      <w:r>
        <w:rPr>
          <w:rFonts w:ascii="Arial" w:cs="Arial" w:eastAsia="Arial" w:hAnsi="Arial"/>
          <w:sz w:val="19"/>
          <w:szCs w:val="19"/>
          <w:color w:val="auto"/>
        </w:rPr>
        <w:t>in Rockville, Maryland. In the event this venue selection clause is unenforceable for any reason, the Parties agree that arbitration shall be held in the state and county where Employee’s primarily assigned Company work location is located. If Employee works exclusively remotely, the assigned work location shall be deemed to be the location of the Company office from which Employee receives the majority of Employee’s assignments.</w:t>
      </w:r>
    </w:p>
    <w:p>
      <w:pPr>
        <w:spacing w:after="0" w:line="201" w:lineRule="exact"/>
        <w:rPr>
          <w:rFonts w:ascii="Arial" w:cs="Arial" w:eastAsia="Arial" w:hAnsi="Arial"/>
          <w:sz w:val="19"/>
          <w:szCs w:val="19"/>
          <w:color w:val="auto"/>
        </w:rPr>
      </w:pPr>
    </w:p>
    <w:p>
      <w:pPr>
        <w:jc w:val="both"/>
        <w:ind w:firstLine="4"/>
        <w:spacing w:after="0" w:line="265" w:lineRule="auto"/>
        <w:tabs>
          <w:tab w:leader="none" w:pos="628"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Submission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and the Company understand that the party asserting a claim must file a Demand for</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Arbitration with JAMS using the forms provided by JAMS and in compliance with JAMS’ rules, which may be found at http://jamsadr.com. The party asserting a claim must submit a copy of the Demand for Arbitration by certified mail/return receipt requested to the other party pursuant to the Notice Section below.</w:t>
      </w:r>
    </w:p>
    <w:p>
      <w:pPr>
        <w:spacing w:after="0" w:line="181" w:lineRule="exact"/>
        <w:rPr>
          <w:rFonts w:ascii="Arial" w:cs="Arial" w:eastAsia="Arial" w:hAnsi="Arial"/>
          <w:sz w:val="19"/>
          <w:szCs w:val="19"/>
          <w:color w:val="auto"/>
        </w:rPr>
      </w:pPr>
    </w:p>
    <w:p>
      <w:pPr>
        <w:jc w:val="both"/>
        <w:ind w:firstLine="4"/>
        <w:spacing w:after="0" w:line="265" w:lineRule="auto"/>
        <w:tabs>
          <w:tab w:leader="none" w:pos="643"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Time Limitations</w:t>
      </w:r>
      <w:r>
        <w:rPr>
          <w:rFonts w:ascii="Arial" w:cs="Arial" w:eastAsia="Arial" w:hAnsi="Arial"/>
          <w:sz w:val="19"/>
          <w:szCs w:val="19"/>
          <w:b w:val="1"/>
          <w:bCs w:val="1"/>
          <w:color w:val="auto"/>
        </w:rPr>
        <w:t xml:space="preserve">. </w:t>
      </w:r>
      <w:r>
        <w:rPr>
          <w:rFonts w:ascii="Arial" w:cs="Arial" w:eastAsia="Arial" w:hAnsi="Arial"/>
          <w:sz w:val="19"/>
          <w:szCs w:val="19"/>
          <w:color w:val="auto"/>
        </w:rPr>
        <w:t>Claims must be submitted to JAMS within the time period allowed pursuant to the statute, regulation,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law applicable to the alleged act or omission giving rise to the claim, unless otherwise agreed by the Parties. Any claim not submitted to JAMS within the applicable time period is waived. To the extent either party asserts a claim for which administrative exhaustion of remedies is required, nothing in this Arbitration Agreement extends a party’s deadline to file an</w:t>
      </w: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69" w:right="339" w:bottom="1440" w:gutter="0" w:footer="0" w:header="0"/>
        </w:sectPr>
      </w:pPr>
    </w:p>
    <w:bookmarkStart w:id="155" w:name="page156"/>
    <w:bookmarkEnd w:id="155"/>
    <w:p>
      <w:pPr>
        <w:spacing w:after="0" w:line="292" w:lineRule="auto"/>
        <w:rPr>
          <w:sz w:val="20"/>
          <w:szCs w:val="20"/>
          <w:color w:val="auto"/>
        </w:rPr>
      </w:pPr>
      <w:r>
        <w:rPr>
          <w:rFonts w:ascii="Arial" w:cs="Arial" w:eastAsia="Arial" w:hAnsi="Arial"/>
          <w:sz w:val="19"/>
          <w:szCs w:val="19"/>
          <w:color w:val="auto"/>
        </w:rPr>
        <w:t>administrative complaint or charge of discrimination or extends a party’s deadline to initiate a claim once such claims are administratively exhausted.</w:t>
      </w:r>
    </w:p>
    <w:p>
      <w:pPr>
        <w:spacing w:after="0" w:line="157" w:lineRule="exact"/>
        <w:rPr>
          <w:sz w:val="20"/>
          <w:szCs w:val="20"/>
          <w:color w:val="auto"/>
        </w:rPr>
      </w:pPr>
    </w:p>
    <w:p>
      <w:pPr>
        <w:jc w:val="both"/>
        <w:ind w:firstLine="4"/>
        <w:spacing w:after="0" w:line="256" w:lineRule="auto"/>
        <w:tabs>
          <w:tab w:leader="none" w:pos="629"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Authority of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The arbitrator has the authority to award relief, including attorneys’ fees, compensatory damages</w:t>
      </w:r>
      <w:r>
        <w:rPr>
          <w:rFonts w:ascii="Arial" w:cs="Arial" w:eastAsia="Arial" w:hAnsi="Arial"/>
          <w:sz w:val="19"/>
          <w:szCs w:val="19"/>
          <w:b w:val="1"/>
          <w:bCs w:val="1"/>
          <w:color w:val="auto"/>
        </w:rPr>
        <w:t xml:space="preserve"> </w:t>
      </w:r>
      <w:r>
        <w:rPr>
          <w:rFonts w:ascii="Arial" w:cs="Arial" w:eastAsia="Arial" w:hAnsi="Arial"/>
          <w:sz w:val="19"/>
          <w:szCs w:val="19"/>
          <w:color w:val="auto"/>
        </w:rPr>
        <w:t>and punitive damages if provided under applicable law, to the Company or Employee, and the arbitrator’s authority is as binding as a decision in a matter litigated in the courts. The Arbitrator shall have the authority of a trial court judge sitting without a jury, but may not add to, modify, invalidate or ignore any provision of this Arbitration Agreement or the JAMS Rules, nor may the Arbitrator invoke any basis for a ruling other than controlling law. The arbitrator shall have no power under this Arbitration Agreement to consolidate claims and/or to hear a collective or class action. In addition to requirements imposed by law or by JAMS, any arbitrator shall be a retired state or federal court judge, or a licensed attorney with arbitration experience and at least ten years’ experience practicing employment law, and shall be subject to disqualification on the same grounds as would apply to a judge of a court of relevant jurisdiction. The arbitrator shall follow controlling law and issue a written reasoned decision based on applicable law. An arbitrator’s final decision is binding and conclusive on the Parties and may be entered in any court of competent jurisdiction.</w:t>
      </w:r>
    </w:p>
    <w:p>
      <w:pPr>
        <w:spacing w:after="0" w:line="196" w:lineRule="exact"/>
        <w:rPr>
          <w:rFonts w:ascii="Arial" w:cs="Arial" w:eastAsia="Arial" w:hAnsi="Arial"/>
          <w:sz w:val="19"/>
          <w:szCs w:val="19"/>
          <w:color w:val="auto"/>
        </w:rPr>
      </w:pPr>
    </w:p>
    <w:p>
      <w:pPr>
        <w:jc w:val="both"/>
        <w:ind w:firstLine="4"/>
        <w:spacing w:after="0" w:line="256" w:lineRule="auto"/>
        <w:tabs>
          <w:tab w:leader="none" w:pos="64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Fees and Costs of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party who requests arbitration shall pay the JAMS filing fee subject to any caps imposed</w:t>
      </w:r>
      <w:r>
        <w:rPr>
          <w:rFonts w:ascii="Arial" w:cs="Arial" w:eastAsia="Arial" w:hAnsi="Arial"/>
          <w:sz w:val="19"/>
          <w:szCs w:val="19"/>
          <w:b w:val="1"/>
          <w:bCs w:val="1"/>
          <w:color w:val="auto"/>
        </w:rPr>
        <w:t xml:space="preserve"> </w:t>
      </w:r>
      <w:r>
        <w:rPr>
          <w:rFonts w:ascii="Arial" w:cs="Arial" w:eastAsia="Arial" w:hAnsi="Arial"/>
          <w:sz w:val="19"/>
          <w:szCs w:val="19"/>
          <w:color w:val="auto"/>
        </w:rPr>
        <w:t>by JAMS Rules. In no case shall Employee’s filing fee exceed the filing fee then applicable to initiate an action in a United States district court. The Company shall pay the Arbitrator’s fee and any other type of expenses or costs assessed by JAMS that Employee would not be required to pay if the Covered Claim had been brought in court, as well as any other expenses or costs that are unique to arbitration. The Company and Employee are responsible for paying their own fees and expenses associated with hiring an attorney, experts, witnesses, and costs in preparing for and participating in the arbitration. An Arbitrator will not have authority to award attorneys’ fees or costs unless a statute or contract at issue in the dispute authorizes the award of attorneys’ fees or costs to the prevailing party.</w:t>
      </w:r>
    </w:p>
    <w:p>
      <w:pPr>
        <w:spacing w:after="0" w:line="206" w:lineRule="exact"/>
        <w:rPr>
          <w:rFonts w:ascii="Arial" w:cs="Arial" w:eastAsia="Arial" w:hAnsi="Arial"/>
          <w:sz w:val="19"/>
          <w:szCs w:val="19"/>
          <w:color w:val="auto"/>
        </w:rPr>
      </w:pPr>
    </w:p>
    <w:p>
      <w:pPr>
        <w:jc w:val="both"/>
        <w:ind w:firstLine="4"/>
        <w:spacing w:after="0" w:line="265" w:lineRule="auto"/>
        <w:tabs>
          <w:tab w:leader="none" w:pos="64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Dismissal of Any Lawsuit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Employee agree that if either pursues a Covered Claim against the other by</w:t>
      </w:r>
      <w:r>
        <w:rPr>
          <w:rFonts w:ascii="Arial" w:cs="Arial" w:eastAsia="Arial" w:hAnsi="Arial"/>
          <w:sz w:val="19"/>
          <w:szCs w:val="19"/>
          <w:b w:val="1"/>
          <w:bCs w:val="1"/>
          <w:color w:val="auto"/>
        </w:rPr>
        <w:t xml:space="preserve"> </w:t>
      </w:r>
      <w:r>
        <w:rPr>
          <w:rFonts w:ascii="Arial" w:cs="Arial" w:eastAsia="Arial" w:hAnsi="Arial"/>
          <w:sz w:val="19"/>
          <w:szCs w:val="19"/>
          <w:color w:val="auto"/>
        </w:rPr>
        <w:t>any method other than the arbitration provision herein, and an exception does not apply, the responding party is entitled to dismissal of such action, and the recovery of all damages in responding, to include related attorneys’ fees, costs, and losses. Requests for fees, costs and losses related to such an action shall be addressed by the court granting such dismissal.</w:t>
      </w:r>
    </w:p>
    <w:p>
      <w:pPr>
        <w:spacing w:after="0" w:line="181" w:lineRule="exact"/>
        <w:rPr>
          <w:rFonts w:ascii="Arial" w:cs="Arial" w:eastAsia="Arial" w:hAnsi="Arial"/>
          <w:sz w:val="19"/>
          <w:szCs w:val="19"/>
          <w:color w:val="auto"/>
        </w:rPr>
      </w:pPr>
    </w:p>
    <w:p>
      <w:pPr>
        <w:jc w:val="both"/>
        <w:ind w:firstLine="4"/>
        <w:spacing w:after="0" w:line="274" w:lineRule="auto"/>
        <w:tabs>
          <w:tab w:leader="none" w:pos="64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b w:val="1"/>
          <w:bCs w:val="1"/>
          <w:color w:val="auto"/>
        </w:rPr>
        <w:t>. EMPLOYEE AND THE COMPANY UNDERSTAND THAT BY ENTERING INTO THIS ARBITRATION AGREEMENT, BOTH GIVE UP THEIR RIGHT TO TRIAL BY JURY OF ANY INDIVIDUAL, CLASS, COLLECTIVE ACTION, MULTIPLE-PARTY, PRIVATE ATTORNEY GENERAL, OR OTHER CLAIM EITHER MAY HAVE AGAINST THE OTHER.</w:t>
      </w:r>
    </w:p>
    <w:p>
      <w:pPr>
        <w:spacing w:after="0" w:line="176" w:lineRule="exact"/>
        <w:rPr>
          <w:rFonts w:ascii="Arial" w:cs="Arial" w:eastAsia="Arial" w:hAnsi="Arial"/>
          <w:sz w:val="19"/>
          <w:szCs w:val="19"/>
          <w:color w:val="auto"/>
        </w:rPr>
      </w:pPr>
    </w:p>
    <w:p>
      <w:pPr>
        <w:jc w:val="both"/>
        <w:ind w:firstLine="4"/>
        <w:spacing w:after="0" w:line="259" w:lineRule="auto"/>
        <w:tabs>
          <w:tab w:leader="none" w:pos="64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Should any term or provision, or portion thereof, be declared void or unenforceable or deemed in contravention</w:t>
      </w:r>
      <w:r>
        <w:rPr>
          <w:rFonts w:ascii="Arial" w:cs="Arial" w:eastAsia="Arial" w:hAnsi="Arial"/>
          <w:sz w:val="19"/>
          <w:szCs w:val="19"/>
          <w:b w:val="1"/>
          <w:bCs w:val="1"/>
          <w:color w:val="auto"/>
        </w:rPr>
        <w:t xml:space="preserve"> </w:t>
      </w:r>
      <w:r>
        <w:rPr>
          <w:rFonts w:ascii="Arial" w:cs="Arial" w:eastAsia="Arial" w:hAnsi="Arial"/>
          <w:sz w:val="19"/>
          <w:szCs w:val="19"/>
          <w:color w:val="auto"/>
        </w:rPr>
        <w:t>of law, it shall be severed and/or modified by the arbitrator or court and the remainder of this Arbitration Agreement shall be enforceable; provided, however, that if the “Form of Arbitration” provision above prohibiting class-wide, collective action, consolidated, or other group arbitration is deemed invalid, then this entire Agreement shall be null and void as to that action and the parties encompassed, except for Section 14, Waiver of Jury Trial, which shall survive.</w:t>
      </w:r>
    </w:p>
    <w:p>
      <w:pPr>
        <w:spacing w:after="0" w:line="201" w:lineRule="exact"/>
        <w:rPr>
          <w:rFonts w:ascii="Arial" w:cs="Arial" w:eastAsia="Arial" w:hAnsi="Arial"/>
          <w:sz w:val="19"/>
          <w:szCs w:val="19"/>
          <w:color w:val="auto"/>
        </w:rPr>
      </w:pPr>
    </w:p>
    <w:p>
      <w:pPr>
        <w:jc w:val="both"/>
        <w:ind w:firstLine="4"/>
        <w:spacing w:after="0" w:line="269" w:lineRule="auto"/>
        <w:tabs>
          <w:tab w:leader="none" w:pos="64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Advice of Counsel</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acknowledges that, in executing this Arbitration Agreement, employee has had the</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to seek the advice of independent legal counsel, and Employee has read and understood all of the terms and provisions of this Arbitration Agreement. This Arbitration</w:t>
      </w: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69" w:right="3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Agreement will not be construed for or against any Party by reason of the drafting or preparation of this Arbitration Agreement.</w:t>
      </w:r>
    </w:p>
    <w:p>
      <w:pPr>
        <w:spacing w:after="0" w:line="248" w:lineRule="exact"/>
        <w:rPr>
          <w:sz w:val="20"/>
          <w:szCs w:val="20"/>
          <w:color w:val="auto"/>
        </w:rPr>
      </w:pPr>
    </w:p>
    <w:p>
      <w:pPr>
        <w:jc w:val="both"/>
        <w:ind w:firstLine="4"/>
        <w:spacing w:after="0" w:line="269" w:lineRule="auto"/>
        <w:tabs>
          <w:tab w:leader="none" w:pos="643"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Exclusive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Any agreement contrary to, or modifying, the foregoing arbitration provisions must specifically state</w:t>
      </w:r>
      <w:r>
        <w:rPr>
          <w:rFonts w:ascii="Arial" w:cs="Arial" w:eastAsia="Arial" w:hAnsi="Arial"/>
          <w:sz w:val="19"/>
          <w:szCs w:val="19"/>
          <w:b w:val="1"/>
          <w:bCs w:val="1"/>
          <w:color w:val="auto"/>
        </w:rPr>
        <w:t xml:space="preserve"> </w:t>
      </w:r>
      <w:r>
        <w:rPr>
          <w:rFonts w:ascii="Arial" w:cs="Arial" w:eastAsia="Arial" w:hAnsi="Arial"/>
          <w:sz w:val="19"/>
          <w:szCs w:val="19"/>
          <w:color w:val="auto"/>
        </w:rPr>
        <w:t>an intent to modify this Arbitration Agreement and must be in entered into, in writing, and signed by Employee and an executive officer of the Company. Oral representations made before or after Employee is hired do not alter this Arbitration Agreement.</w:t>
      </w:r>
    </w:p>
    <w:p>
      <w:pPr>
        <w:spacing w:after="0" w:line="177" w:lineRule="exact"/>
        <w:rPr>
          <w:rFonts w:ascii="Arial" w:cs="Arial" w:eastAsia="Arial" w:hAnsi="Arial"/>
          <w:sz w:val="19"/>
          <w:szCs w:val="19"/>
          <w:color w:val="auto"/>
        </w:rPr>
      </w:pPr>
    </w:p>
    <w:p>
      <w:pPr>
        <w:ind w:firstLine="4"/>
        <w:spacing w:after="0" w:line="295" w:lineRule="auto"/>
        <w:tabs>
          <w:tab w:leader="none" w:pos="643"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is a complete agreement of the Parties and supersedes any and all prior understandings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regarding dispute resolution.</w:t>
      </w:r>
    </w:p>
    <w:p>
      <w:pPr>
        <w:spacing w:after="0" w:line="166" w:lineRule="exact"/>
        <w:rPr>
          <w:rFonts w:ascii="Arial" w:cs="Arial" w:eastAsia="Arial" w:hAnsi="Arial"/>
          <w:sz w:val="19"/>
          <w:szCs w:val="19"/>
          <w:color w:val="auto"/>
        </w:rPr>
      </w:pPr>
    </w:p>
    <w:p>
      <w:pPr>
        <w:jc w:val="both"/>
        <w:ind w:firstLine="4"/>
        <w:spacing w:after="0" w:line="269" w:lineRule="auto"/>
        <w:tabs>
          <w:tab w:leader="none" w:pos="643"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Signature</w:t>
      </w:r>
      <w:r>
        <w:rPr>
          <w:rFonts w:ascii="Arial" w:cs="Arial" w:eastAsia="Arial" w:hAnsi="Arial"/>
          <w:sz w:val="19"/>
          <w:szCs w:val="19"/>
          <w:b w:val="1"/>
          <w:bCs w:val="1"/>
          <w:color w:val="auto"/>
        </w:rPr>
        <w:t xml:space="preserve">. </w:t>
      </w:r>
      <w:r>
        <w:rPr>
          <w:rFonts w:ascii="Arial" w:cs="Arial" w:eastAsia="Arial" w:hAnsi="Arial"/>
          <w:sz w:val="19"/>
          <w:szCs w:val="19"/>
          <w:color w:val="auto"/>
        </w:rPr>
        <w:t>This Arbitration Agreement may be signed electronically. The Company and Employee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such methods to sign electronically have the same legal and evidentiary effect as a handwritten signature. By signing electronically, Employee and the Company consent to using their electronic signature.</w:t>
      </w:r>
    </w:p>
    <w:p>
      <w:pPr>
        <w:spacing w:after="0" w:line="177" w:lineRule="exact"/>
        <w:rPr>
          <w:rFonts w:ascii="Arial" w:cs="Arial" w:eastAsia="Arial" w:hAnsi="Arial"/>
          <w:sz w:val="19"/>
          <w:szCs w:val="19"/>
          <w:color w:val="auto"/>
        </w:rPr>
      </w:pPr>
    </w:p>
    <w:p>
      <w:pPr>
        <w:jc w:val="both"/>
        <w:ind w:firstLine="4"/>
        <w:spacing w:after="0" w:line="276" w:lineRule="auto"/>
        <w:tabs>
          <w:tab w:leader="none" w:pos="643"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 xml:space="preserve">. </w:t>
      </w:r>
      <w:r>
        <w:rPr>
          <w:rFonts w:ascii="Arial" w:cs="Arial" w:eastAsia="Arial" w:hAnsi="Arial"/>
          <w:sz w:val="19"/>
          <w:szCs w:val="19"/>
          <w:color w:val="auto"/>
        </w:rPr>
        <w:t>Notice shall be effective upon receipt by Employee if it is sent via certified mail/return receipt requested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physical address on file with the Company. Notice shall be effective upon receipt by Company if it is sent via certified mail/return receipt directed to “General Counsel” at MacroGenics, Inc.’s corporate headquarters address.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AGREEMENT TO ARBITRATE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I UNDERSTAND THAT THIS ARBITRATION GREEMENT CONTAINS AN AGREEMENT TO ARBITRATE. I UNDERSTAND THAT I WILL </w:t>
      </w:r>
      <w:r>
        <w:rPr>
          <w:rFonts w:ascii="Times New Roman" w:cs="Times New Roman" w:eastAsia="Times New Roman" w:hAnsi="Times New Roman"/>
          <w:sz w:val="19"/>
          <w:szCs w:val="19"/>
          <w:b w:val="1"/>
          <w:bCs w:val="1"/>
          <w:u w:val="single" w:color="auto"/>
          <w:color w:val="auto"/>
        </w:rPr>
        <w:t>NOT</w:t>
      </w:r>
      <w:r>
        <w:rPr>
          <w:rFonts w:ascii="Times New Roman" w:cs="Times New Roman" w:eastAsia="Times New Roman" w:hAnsi="Times New Roman"/>
          <w:sz w:val="19"/>
          <w:szCs w:val="19"/>
          <w:b w:val="1"/>
          <w:bCs w:val="1"/>
          <w:color w:val="auto"/>
        </w:rPr>
        <w:t xml:space="preserve"> BE ABLE TO BRING OR CONTINUE A LAWSUIT OUTSIDE OF ARBITRATION CONCERNING ANY DISPUTE WHICH IS COVERED BY THE ARBITRATION AGREEMENT. MY SIGNATURE BELOW ATTESTS TO THE FACT THAT I HAVE READ, UNDERSTAND, AND AGREE TO BE LEGALLY BOUND TO ALL OF THE ABOVE TERMS. I ALSO UNDERSTAND THAT THIS ARBITRATION AGREEMENT CONTAINS A WAIVER OF JURY TRIAL.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 KNOWINGLY, WILLINGLY AND VOLUNTARILY AGREE TO THIS ARBITRATION AGREEMENT. I ACKNOWLEDGE THAT </w:t>
      </w:r>
      <w:r>
        <w:rPr>
          <w:rFonts w:ascii="Times New Roman" w:cs="Times New Roman" w:eastAsia="Times New Roman" w:hAnsi="Times New Roman"/>
          <w:sz w:val="19"/>
          <w:szCs w:val="19"/>
          <w:b w:val="1"/>
          <w:bCs w:val="1"/>
          <w:color w:val="212121"/>
        </w:rPr>
        <w:t>NO REPRESENTATIONS OF FACT OR OPINION HAVE BEEN MADE BY ANY PERSON OR ENTITY TO INDUCE MY EXECUTION OF THIS ARBITRATION AGREEMENT OR TO IN ANY WAY MODIFY OR NULLIFY ITS EFFECT.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Employee</w:t>
            </w:r>
          </w:p>
        </w:tc>
        <w:tc>
          <w:tcPr>
            <w:tcW w:w="43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For the Company</w:t>
            </w:r>
          </w:p>
        </w:tc>
        <w:tc>
          <w:tcPr>
            <w:tcW w:w="0" w:type="dxa"/>
            <w:vAlign w:val="bottom"/>
          </w:tcPr>
          <w:p>
            <w:pPr>
              <w:spacing w:after="0"/>
              <w:rPr>
                <w:sz w:val="1"/>
                <w:szCs w:val="1"/>
                <w:color w:val="auto"/>
              </w:rPr>
            </w:pPr>
          </w:p>
        </w:tc>
      </w:tr>
      <w:tr>
        <w:trPr>
          <w:trHeight w:val="437"/>
        </w:trPr>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Company Representative Signature  Date</w:t>
            </w:r>
          </w:p>
        </w:tc>
        <w:tc>
          <w:tcPr>
            <w:tcW w:w="0" w:type="dxa"/>
            <w:vAlign w:val="bottom"/>
          </w:tcPr>
          <w:p>
            <w:pPr>
              <w:spacing w:after="0"/>
              <w:rPr>
                <w:sz w:val="1"/>
                <w:szCs w:val="1"/>
                <w:color w:val="auto"/>
              </w:rPr>
            </w:pPr>
          </w:p>
        </w:tc>
      </w:tr>
      <w:tr>
        <w:trPr>
          <w:trHeight w:val="246"/>
        </w:trPr>
        <w:tc>
          <w:tcPr>
            <w:tcW w:w="18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Employee’s Signature</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Date</w:t>
            </w:r>
          </w:p>
        </w:tc>
        <w:tc>
          <w:tcPr>
            <w:tcW w:w="3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9"/>
                <w:szCs w:val="19"/>
                <w:color w:val="auto"/>
              </w:rPr>
              <w:t>Its:</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Print Name (Employee)</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321259980 v9</w:t>
      </w:r>
    </w:p>
    <w:p>
      <w:pPr>
        <w:sectPr>
          <w:pgSz w:w="11900" w:h="16838" w:orient="portrait"/>
          <w:cols w:equalWidth="0" w:num="1">
            <w:col w:w="11240"/>
          </w:cols>
          <w:pgMar w:left="320" w:top="1368"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352" w:lineRule="exact"/>
        <w:rPr>
          <w:sz w:val="20"/>
          <w:szCs w:val="20"/>
          <w:color w:val="auto"/>
        </w:rPr>
      </w:pPr>
    </w:p>
    <w:p>
      <w:pPr>
        <w:ind w:left="620" w:hanging="303"/>
        <w:spacing w:after="0" w:line="252" w:lineRule="auto"/>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333-192277) pertaining to the 2000 Stock Option and Incentive Plan, the 2003 Equity Incentive Plan, and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333-202470)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333-209812)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333-217620)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333-223682)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333-230292)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333-237127) pertaining to the 2013 Equity Incentive Plan of MacroGenics, Inc.,</w:t>
      </w:r>
    </w:p>
    <w:p>
      <w:pPr>
        <w:ind w:left="620" w:hanging="303"/>
        <w:spacing w:after="0" w:line="223" w:lineRule="auto"/>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333-253502)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333-262967)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333-270562) pertaining to the 2013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333-214386) pertaining to the 2016 Employee Stock Purchase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333-272451) pertaining to the 2023 Equity Incentive Plan of MacroGenics, Inc.,</w:t>
      </w: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 333-275343) of MacroGenics, Inc.,</w:t>
      </w:r>
    </w:p>
    <w:p>
      <w:pPr>
        <w:spacing w:after="0" w:line="13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333-279674) pertaining to the 2023 Equity Incentive Plan of MacroGenics, Inc.,and</w:t>
      </w:r>
    </w:p>
    <w:p>
      <w:pPr>
        <w:spacing w:after="0" w:line="15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333-289603) pertaining to the 2023 Equity Incentive Plan of MacroGenics, Inc.</w:t>
      </w:r>
    </w:p>
    <w:p>
      <w:pPr>
        <w:spacing w:after="0" w:line="169"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color w:val="auto"/>
        </w:rPr>
        <w:t>of our reports dated March 9, 2026, with respect to the consolidated financial statements of MacroGenics, Inc. and the effectiveness of internal control over financial reporting of MacroGenics, Inc. included in this Annual Report (Form 10-K) of MacroGenics, Inc. for the year ended December 31,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2026</w:t>
      </w:r>
    </w:p>
    <w:p>
      <w:pPr>
        <w:sectPr>
          <w:pgSz w:w="11900" w:h="16838" w:orient="portrait"/>
          <w:cols w:equalWidth="0" w:num="1">
            <w:col w:w="11240"/>
          </w:cols>
          <w:pgMar w:left="320" w:top="86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Risser, certify that:</w:t>
      </w:r>
    </w:p>
    <w:p>
      <w:pPr>
        <w:spacing w:after="0" w:line="151" w:lineRule="exact"/>
        <w:rPr>
          <w:sz w:val="20"/>
          <w:szCs w:val="20"/>
          <w:color w:val="auto"/>
        </w:rPr>
      </w:pPr>
    </w:p>
    <w:p>
      <w:pPr>
        <w:ind w:left="1260" w:hanging="631"/>
        <w:spacing w:after="0"/>
        <w:tabs>
          <w:tab w:leader="none" w:pos="12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2025 of MacroGenics, Inc.;</w:t>
      </w:r>
    </w:p>
    <w:p>
      <w:pPr>
        <w:spacing w:after="0" w:line="169" w:lineRule="exact"/>
        <w:rPr>
          <w:rFonts w:ascii="Times New Roman" w:cs="Times New Roman" w:eastAsia="Times New Roman" w:hAnsi="Times New Roman"/>
          <w:sz w:val="17"/>
          <w:szCs w:val="17"/>
          <w:color w:val="auto"/>
        </w:rPr>
      </w:pPr>
    </w:p>
    <w:p>
      <w:pPr>
        <w:jc w:val="both"/>
        <w:ind w:left="1260" w:right="140" w:hanging="631"/>
        <w:spacing w:after="0" w:line="274" w:lineRule="auto"/>
        <w:tabs>
          <w:tab w:leader="none" w:pos="12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1260" w:right="100" w:hanging="631"/>
        <w:spacing w:after="0" w:line="294" w:lineRule="auto"/>
        <w:tabs>
          <w:tab w:leader="none" w:pos="12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1260" w:right="80" w:hanging="631"/>
        <w:spacing w:after="0" w:line="267" w:lineRule="auto"/>
        <w:tabs>
          <w:tab w:leader="none" w:pos="12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50" w:lineRule="exact"/>
        <w:rPr>
          <w:rFonts w:ascii="Times New Roman" w:cs="Times New Roman" w:eastAsia="Times New Roman" w:hAnsi="Times New Roman"/>
          <w:sz w:val="17"/>
          <w:szCs w:val="17"/>
          <w:color w:val="auto"/>
        </w:rPr>
      </w:pPr>
    </w:p>
    <w:p>
      <w:pPr>
        <w:ind w:left="2200" w:right="180" w:hanging="633"/>
        <w:spacing w:after="0" w:line="274" w:lineRule="auto"/>
        <w:tabs>
          <w:tab w:leader="none" w:pos="219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2200" w:right="300" w:hanging="633"/>
        <w:spacing w:after="0" w:line="274" w:lineRule="auto"/>
        <w:tabs>
          <w:tab w:leader="none" w:pos="22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ind w:left="2200" w:right="100" w:hanging="633"/>
        <w:spacing w:after="0" w:line="274" w:lineRule="auto"/>
        <w:tabs>
          <w:tab w:leader="none" w:pos="219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2200" w:right="40" w:hanging="633"/>
        <w:spacing w:after="0" w:line="274" w:lineRule="auto"/>
        <w:tabs>
          <w:tab w:leader="none" w:pos="22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260" w:right="40" w:hanging="631"/>
        <w:spacing w:after="0" w:line="294" w:lineRule="auto"/>
        <w:tabs>
          <w:tab w:leader="none" w:pos="12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2200" w:right="160" w:hanging="633"/>
        <w:spacing w:after="0" w:line="274" w:lineRule="auto"/>
        <w:tabs>
          <w:tab w:leader="none" w:pos="219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2200" w:right="180" w:hanging="633"/>
        <w:spacing w:after="0" w:line="294" w:lineRule="auto"/>
        <w:tabs>
          <w:tab w:leader="none" w:pos="22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 Eric Risser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19685</wp:posOffset>
            </wp:positionV>
            <wp:extent cx="19189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918970" cy="8255"/>
                    </a:xfrm>
                    <a:prstGeom prst="rect">
                      <a:avLst/>
                    </a:prstGeom>
                    <a:noFill/>
                  </pic:spPr>
                </pic:pic>
              </a:graphicData>
            </a:graphic>
          </wp:anchor>
        </w:drawing>
      </w:r>
    </w:p>
    <w:p>
      <w:pPr>
        <w:spacing w:after="0" w:line="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Eric Risser</w:t>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ind w:left="58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2026</w:t>
      </w:r>
    </w:p>
    <w:p>
      <w:pPr>
        <w:sectPr>
          <w:pgSz w:w="11900" w:h="16838" w:orient="portrait"/>
          <w:cols w:equalWidth="0" w:num="1">
            <w:col w:w="11240"/>
          </w:cols>
          <w:pgMar w:left="320" w:top="864"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Karrels, certify that:</w:t>
      </w:r>
    </w:p>
    <w:p>
      <w:pPr>
        <w:spacing w:after="0" w:line="169" w:lineRule="exact"/>
        <w:rPr>
          <w:sz w:val="20"/>
          <w:szCs w:val="20"/>
          <w:color w:val="auto"/>
        </w:rPr>
      </w:pPr>
    </w:p>
    <w:p>
      <w:pPr>
        <w:ind w:left="1260" w:hanging="631"/>
        <w:spacing w:after="0"/>
        <w:tabs>
          <w:tab w:leader="none" w:pos="12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2025 of MacroGenics, Inc.;</w:t>
      </w:r>
    </w:p>
    <w:p>
      <w:pPr>
        <w:spacing w:after="0" w:line="169" w:lineRule="exact"/>
        <w:rPr>
          <w:rFonts w:ascii="Times New Roman" w:cs="Times New Roman" w:eastAsia="Times New Roman" w:hAnsi="Times New Roman"/>
          <w:sz w:val="17"/>
          <w:szCs w:val="17"/>
          <w:color w:val="auto"/>
        </w:rPr>
      </w:pPr>
    </w:p>
    <w:p>
      <w:pPr>
        <w:jc w:val="both"/>
        <w:ind w:left="1260" w:right="140" w:hanging="631"/>
        <w:spacing w:after="0" w:line="274" w:lineRule="auto"/>
        <w:tabs>
          <w:tab w:leader="none" w:pos="12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1260" w:right="100" w:hanging="631"/>
        <w:spacing w:after="0" w:line="294" w:lineRule="auto"/>
        <w:tabs>
          <w:tab w:leader="none" w:pos="12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1260" w:right="80" w:hanging="631"/>
        <w:spacing w:after="0" w:line="267" w:lineRule="auto"/>
        <w:tabs>
          <w:tab w:leader="none" w:pos="12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50" w:lineRule="exact"/>
        <w:rPr>
          <w:rFonts w:ascii="Times New Roman" w:cs="Times New Roman" w:eastAsia="Times New Roman" w:hAnsi="Times New Roman"/>
          <w:sz w:val="17"/>
          <w:szCs w:val="17"/>
          <w:color w:val="auto"/>
        </w:rPr>
      </w:pPr>
    </w:p>
    <w:p>
      <w:pPr>
        <w:ind w:left="2500" w:right="100" w:hanging="620"/>
        <w:spacing w:after="0" w:line="274" w:lineRule="auto"/>
        <w:tabs>
          <w:tab w:leader="none" w:pos="249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2500" w:right="520" w:hanging="620"/>
        <w:spacing w:after="0" w:line="274" w:lineRule="auto"/>
        <w:tabs>
          <w:tab w:leader="none" w:pos="250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ind w:left="2500" w:right="80" w:hanging="620"/>
        <w:spacing w:after="0" w:line="274" w:lineRule="auto"/>
        <w:tabs>
          <w:tab w:leader="none" w:pos="249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2500" w:right="100" w:hanging="620"/>
        <w:spacing w:after="0" w:line="274" w:lineRule="auto"/>
        <w:tabs>
          <w:tab w:leader="none" w:pos="250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260" w:right="40" w:hanging="631"/>
        <w:spacing w:after="0" w:line="294" w:lineRule="auto"/>
        <w:tabs>
          <w:tab w:leader="none" w:pos="12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2500" w:right="320" w:hanging="620"/>
        <w:spacing w:after="0" w:line="274" w:lineRule="auto"/>
        <w:tabs>
          <w:tab w:leader="none" w:pos="249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2500" w:right="680" w:hanging="620"/>
        <w:spacing w:after="0" w:line="294" w:lineRule="auto"/>
        <w:tabs>
          <w:tab w:leader="none" w:pos="250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19685</wp:posOffset>
            </wp:positionV>
            <wp:extent cx="26301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James Karrels</w:t>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ind w:left="46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2026</w:t>
      </w:r>
    </w:p>
    <w:p>
      <w:pPr>
        <w:sectPr>
          <w:pgSz w:w="11900" w:h="16838" w:orient="portrait"/>
          <w:cols w:equalWidth="0" w:num="1">
            <w:col w:w="11240"/>
          </w:cols>
          <w:pgMar w:left="320" w:top="864"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1350 (Section 906 of the Sarbanes-Oxley Act of 2002)</w:t>
      </w:r>
    </w:p>
    <w:p>
      <w:pPr>
        <w:spacing w:after="0" w:line="223"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I, Eric Risser, President and Chief Executive Officer (principal executive officer) of MacroGenics, Inc. (the “Registrant”), certify, to the best of my knowledge, based upon a review of the Annual Report on Form 10-K for the period ended December 31, 2025 of the Registrant (the “Report”), that:</w:t>
      </w:r>
    </w:p>
    <w:p>
      <w:pPr>
        <w:spacing w:after="0" w:line="185" w:lineRule="exact"/>
        <w:rPr>
          <w:sz w:val="20"/>
          <w:szCs w:val="20"/>
          <w:color w:val="auto"/>
        </w:rPr>
      </w:pPr>
    </w:p>
    <w:p>
      <w:pPr>
        <w:ind w:left="360" w:hanging="317"/>
        <w:spacing w:after="0"/>
        <w:tabs>
          <w:tab w:leader="none" w:pos="3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360" w:hanging="317"/>
        <w:spacing w:after="0"/>
        <w:tabs>
          <w:tab w:leader="none" w:pos="3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u w:val="single" w:color="auto"/>
          <w:color w:val="auto"/>
        </w:rPr>
        <w:t>/s/ Eric Risser</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 Eric Risser</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Date: March 9, 2026</w:t>
      </w:r>
    </w:p>
    <w:p>
      <w:pPr>
        <w:sectPr>
          <w:pgSz w:w="11900" w:h="16838" w:orient="portrait"/>
          <w:cols w:equalWidth="0" w:num="1">
            <w:col w:w="11240"/>
          </w:cols>
          <w:pgMar w:left="320" w:top="86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18 U.S.C. 1350 (Section 906 of the Sarbanes-Oxley Act of 2002)</w:t>
      </w:r>
    </w:p>
    <w:p>
      <w:pPr>
        <w:spacing w:after="0" w:line="223"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color w:val="auto"/>
        </w:rPr>
        <w:t>I, James Karrels, Senior Vice President and Chief Financial Officer (principal financial officer) of MacroGenics, Inc. (the “Registrant”), certify, to the best of my knowledge, based upon a review of the Annual Report on Form 10-K for the period ended December 31, 2025 of the Registrant (the “Report”), that:</w:t>
      </w:r>
    </w:p>
    <w:p>
      <w:pPr>
        <w:spacing w:after="0" w:line="185" w:lineRule="exact"/>
        <w:rPr>
          <w:sz w:val="20"/>
          <w:szCs w:val="20"/>
          <w:color w:val="auto"/>
        </w:rPr>
      </w:pPr>
    </w:p>
    <w:p>
      <w:pPr>
        <w:ind w:left="360" w:hanging="317"/>
        <w:spacing w:after="0"/>
        <w:tabs>
          <w:tab w:leader="none" w:pos="3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360" w:hanging="317"/>
        <w:spacing w:after="0"/>
        <w:tabs>
          <w:tab w:leader="none" w:pos="3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-4445</wp:posOffset>
            </wp:positionV>
            <wp:extent cx="8629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 James Karrels</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Date: March 9, 2026</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3"/>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lowerRoman"/>
      <w:start w:val="1"/>
    </w:lvl>
  </w:abstractNum>
  <w:abstractNum w:abstractNumId="42">
    <w:nsid w:val="3B0FD379"/>
    <w:multiLevelType w:val="hybridMultilevel"/>
    <w:lvl w:ilvl="0">
      <w:lvlJc w:val="left"/>
      <w:lvlText w:val="(%1)"/>
      <w:numFmt w:val="lowerLetter"/>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2"/>
    </w:lvl>
  </w:abstractNum>
  <w:abstractNum w:abstractNumId="47">
    <w:nsid w:val="14330624"/>
    <w:multiLevelType w:val="hybridMultilevel"/>
    <w:lvl w:ilvl="0">
      <w:lvlJc w:val="left"/>
      <w:lvlText w:val="%1."/>
      <w:numFmt w:val="decimal"/>
      <w:start w:val="3"/>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1)"/>
      <w:numFmt w:val="lowerLetter"/>
      <w:start w:val="1"/>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
      <w:numFmt w:val="bullet"/>
      <w:start w:val="1"/>
    </w:lvl>
    <w:lvl w:ilvl="1">
      <w:lvlJc w:val="left"/>
      <w:lvlText w:val="%2"/>
      <w:numFmt w:val="decimal"/>
      <w:start w:val="104"/>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lowerLetter"/>
      <w:start w:val="1"/>
    </w:lvl>
    <w:lvl w:ilvl="1">
      <w:lvlJc w:val="left"/>
      <w:lvlText w:val="(%2)"/>
      <w:numFmt w:val="lowerLetter"/>
      <w:start w:val="3"/>
    </w:lvl>
  </w:abstractNum>
  <w:abstractNum w:abstractNumId="55">
    <w:nsid w:val="94211F2"/>
    <w:multiLevelType w:val="hybridMultilevel"/>
    <w:lvl w:ilvl="0">
      <w:lvlJc w:val="left"/>
      <w:lvlText w:val="(%1)"/>
      <w:numFmt w:val="lowerLetter"/>
      <w:start w:val="1"/>
    </w:lvl>
  </w:abstractNum>
  <w:abstractNum w:abstractNumId="56">
    <w:nsid w:val="885E1B"/>
    <w:multiLevelType w:val="hybridMultilevel"/>
    <w:lvl w:ilvl="0">
      <w:lvlJc w:val="left"/>
      <w:lvlText w:val="(%1)"/>
      <w:numFmt w:val="lowerLetter"/>
      <w:start w:val="4"/>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1)"/>
      <w:numFmt w:val="lowerLetter"/>
      <w:start w:val="2"/>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lowerLetter"/>
      <w:start w:val="4"/>
    </w:lvl>
  </w:abstractNum>
  <w:abstractNum w:abstractNumId="61">
    <w:nsid w:val="3222E7CD"/>
    <w:multiLevelType w:val="hybridMultilevel"/>
    <w:lvl w:ilvl="0">
      <w:lvlJc w:val="left"/>
      <w:lvlText w:val="(%1)"/>
      <w:numFmt w:val="lowerLetter"/>
      <w:start w:val="1"/>
    </w:lvl>
    <w:lvl w:ilvl="1">
      <w:lvlJc w:val="left"/>
      <w:lvlText w:val="(%2)"/>
      <w:numFmt w:val="lowerLetter"/>
      <w:start w:val="3"/>
    </w:lvl>
  </w:abstractNum>
  <w:abstractNum w:abstractNumId="62">
    <w:nsid w:val="74DE0EE3"/>
    <w:multiLevelType w:val="hybridMultilevel"/>
    <w:lvl w:ilvl="0">
      <w:lvlJc w:val="left"/>
      <w:lvlText w:val="(%1)"/>
      <w:numFmt w:val="lowerLetter"/>
      <w:start w:val="5"/>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upperLetter"/>
      <w:start w:val="35"/>
    </w:lvl>
  </w:abstractNum>
  <w:abstractNum w:abstractNumId="66">
    <w:nsid w:val="4A2AC315"/>
    <w:multiLevelType w:val="hybridMultilevel"/>
    <w:lvl w:ilvl="0">
      <w:lvlJc w:val="left"/>
      <w:lvlText w:val="(%1)"/>
      <w:numFmt w:val="upperLetter"/>
      <w:start w:val="61"/>
    </w:lvl>
  </w:abstractNum>
  <w:abstractNum w:abstractNumId="67">
    <w:nsid w:val="39EE015C"/>
    <w:multiLevelType w:val="hybridMultilevel"/>
    <w:lvl w:ilvl="0">
      <w:lvlJc w:val="left"/>
      <w:lvlText w:val="(%1)"/>
      <w:numFmt w:val="lowerRoman"/>
      <w:start w:val="2"/>
    </w:lvl>
  </w:abstractNum>
  <w:abstractNum w:abstractNumId="68">
    <w:nsid w:val="57FC4FBB"/>
    <w:multiLevelType w:val="hybridMultilevel"/>
    <w:lvl w:ilvl="0">
      <w:lvlJc w:val="left"/>
      <w:lvlText w:val="(%1)"/>
      <w:numFmt w:val="lowerLetter"/>
      <w:start w:val="1"/>
    </w:lvl>
  </w:abstractNum>
  <w:abstractNum w:abstractNumId="69">
    <w:nsid w:val="CC1016F"/>
    <w:multiLevelType w:val="hybridMultilevel"/>
    <w:lvl w:ilvl="0">
      <w:lvlJc w:val="left"/>
      <w:lvlText w:val="(%1)"/>
      <w:numFmt w:val="lowerLetter"/>
      <w:start w:val="9"/>
    </w:lvl>
  </w:abstractNum>
  <w:abstractNum w:abstractNumId="70">
    <w:nsid w:val="43F18422"/>
    <w:multiLevelType w:val="hybridMultilevel"/>
    <w:lvl w:ilvl="0">
      <w:lvlJc w:val="left"/>
      <w:lvlText w:val="(%1)"/>
      <w:numFmt w:val="lowerLetter"/>
      <w:start w:val="2"/>
    </w:lvl>
  </w:abstractNum>
  <w:abstractNum w:abstractNumId="71">
    <w:nsid w:val="60EF0119"/>
    <w:multiLevelType w:val="hybridMultilevel"/>
    <w:lvl w:ilvl="0">
      <w:lvlJc w:val="left"/>
      <w:lvlText w:val="(%1)"/>
      <w:numFmt w:val="lowerLetter"/>
      <w:start w:val="4"/>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lowerLetter"/>
      <w:start w:val="3"/>
    </w:lvl>
  </w:abstractNum>
  <w:abstractNum w:abstractNumId="74">
    <w:nsid w:val="49DA307D"/>
    <w:multiLevelType w:val="hybridMultilevel"/>
    <w:lvl w:ilvl="0">
      <w:lvlJc w:val="left"/>
      <w:lvlText w:val="%1."/>
      <w:numFmt w:val="decimal"/>
      <w:start w:val="2"/>
    </w:lvl>
  </w:abstractNum>
  <w:abstractNum w:abstractNumId="75">
    <w:nsid w:val="7055A5F5"/>
    <w:multiLevelType w:val="hybridMultilevel"/>
    <w:lvl w:ilvl="0">
      <w:lvlJc w:val="left"/>
      <w:lvlText w:val="%1."/>
      <w:numFmt w:val="decimal"/>
      <w:start w:val="8"/>
    </w:lvl>
    <w:lvl w:ilvl="1">
      <w:lvlJc w:val="left"/>
      <w:lvlText w:val="[***]"/>
      <w:numFmt w:val="bullet"/>
      <w:start w:val="1"/>
    </w:lvl>
    <w:lvl w:ilvl="2">
      <w:lvlJc w:val="left"/>
      <w:lvlText w:val="%3."/>
      <w:numFmt w:val="lowerLetter"/>
      <w:start w:val="1"/>
    </w:lvl>
  </w:abstractNum>
  <w:abstractNum w:abstractNumId="76">
    <w:nsid w:val="5FB8370B"/>
    <w:multiLevelType w:val="hybridMultilevel"/>
    <w:lvl w:ilvl="0">
      <w:lvlJc w:val="left"/>
      <w:lvlText w:val="%1"/>
      <w:numFmt w:val="decimal"/>
      <w:start w:val="1"/>
    </w:lvl>
    <w:lvl w:ilvl="1">
      <w:lvlJc w:val="left"/>
      <w:lvlText w:val="%2."/>
      <w:numFmt w:val="lowerLetter"/>
      <w:start w:val="7"/>
    </w:lvl>
  </w:abstractNum>
  <w:abstractNum w:abstractNumId="77">
    <w:nsid w:val="50801EE1"/>
    <w:multiLevelType w:val="hybridMultilevel"/>
    <w:lvl w:ilvl="0">
      <w:lvlJc w:val="left"/>
      <w:lvlText w:val="%1."/>
      <w:numFmt w:val="decimal"/>
      <w:start w:val="13"/>
    </w:lvl>
    <w:lvl w:ilvl="1">
      <w:lvlJc w:val="left"/>
      <w:lvlText w:val="%2."/>
      <w:numFmt w:val="lowerLetter"/>
      <w:start w:val="1"/>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1."/>
      <w:numFmt w:val="decimal"/>
      <w:start w:val="4"/>
    </w:lvl>
  </w:abstractNum>
  <w:abstractNum w:abstractNumId="80">
    <w:nsid w:val="6AA78F7F"/>
    <w:multiLevelType w:val="hybridMultilevel"/>
    <w:lvl w:ilvl="0">
      <w:lvlJc w:val="left"/>
      <w:lvlText w:val="%1."/>
      <w:numFmt w:val="decimal"/>
      <w:start w:val="5"/>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lowerLetter"/>
      <w:start w:val="1"/>
    </w:lvl>
    <w:lvl w:ilvl="1">
      <w:lvlJc w:val="left"/>
      <w:lvlText w:val="(%2)"/>
      <w:numFmt w:val="lowerRoman"/>
      <w:start w:val="1"/>
    </w:lvl>
  </w:abstractNum>
  <w:abstractNum w:abstractNumId="83">
    <w:nsid w:val="6A5F7029"/>
    <w:multiLevelType w:val="hybridMultilevel"/>
    <w:lvl w:ilvl="0">
      <w:lvlJc w:val="left"/>
      <w:lvlText w:val="(%1)"/>
      <w:numFmt w:val="lowerLetter"/>
      <w:start w:val="1"/>
    </w:lvl>
    <w:lvl w:ilvl="1">
      <w:lvlJc w:val="left"/>
      <w:lvlText w:val="%2"/>
      <w:numFmt w:val="lowerRoman"/>
      <w:start w:val="1"/>
    </w:lvl>
  </w:abstractNum>
  <w:abstractNum w:abstractNumId="84">
    <w:nsid w:val="7D5E18F8"/>
    <w:multiLevelType w:val="hybridMultilevel"/>
    <w:lvl w:ilvl="0">
      <w:lvlJc w:val="left"/>
      <w:lvlText w:val="%1"/>
      <w:numFmt w:val="lowerLetter"/>
      <w:start w:val="1"/>
    </w:lvl>
    <w:lvl w:ilvl="1">
      <w:lvlJc w:val="left"/>
      <w:lvlText w:val="(%2)"/>
      <w:numFmt w:val="lowerLetter"/>
      <w:start w:val="1"/>
    </w:lvl>
  </w:abstractNum>
  <w:abstractNum w:abstractNumId="85">
    <w:nsid w:val="5F3534A4"/>
    <w:multiLevelType w:val="hybridMultilevel"/>
    <w:lvl w:ilvl="0">
      <w:lvlJc w:val="left"/>
      <w:lvlText w:val="(%1)"/>
      <w:numFmt w:val="lowerLetter"/>
      <w:start w:val="9"/>
    </w:lvl>
    <w:lvl w:ilvl="1">
      <w:lvlJc w:val="left"/>
      <w:lvlText w:val="(%2)"/>
      <w:numFmt w:val="lowerLetter"/>
      <w:start w:val="2"/>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88">
    <w:nsid w:val="555C55B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9">
    <w:nsid w:val="3FA62AC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0">
    <w:nsid w:val="14FCE74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91">
    <w:nsid w:val="6A3DD3E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2"/>
    </w:lvl>
  </w:abstractNum>
  <w:abstractNum w:abstractNumId="92">
    <w:nsid w:val="71C91298"/>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93">
    <w:nsid w:val="9DAF632"/>
    <w:multiLevelType w:val="hybridMultilevel"/>
    <w:lvl w:ilvl="0">
      <w:lvlJc w:val="left"/>
      <w:lvlText w:val="(%1)"/>
      <w:numFmt w:val="lowerRoman"/>
      <w:start w:val="1"/>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5"/>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decimal"/>
      <w:start w:val="7"/>
    </w:lvl>
    <w:lvl w:ilvl="1">
      <w:lvlJc w:val="left"/>
      <w:lvlText w:val="(%2)"/>
      <w:numFmt w:val="lowerLetter"/>
      <w:start w:val="1"/>
    </w:lvl>
  </w:abstractNum>
  <w:abstractNum w:abstractNumId="98">
    <w:nsid w:val="59ADEA3D"/>
    <w:multiLevelType w:val="hybridMultilevel"/>
    <w:lvl w:ilvl="0">
      <w:lvlJc w:val="left"/>
      <w:lvlText w:val="%1."/>
      <w:numFmt w:val="decimal"/>
      <w:start w:val="1"/>
    </w:lvl>
  </w:abstractNum>
  <w:abstractNum w:abstractNumId="99">
    <w:nsid w:val="288F1A34"/>
    <w:multiLevelType w:val="hybridMultilevel"/>
    <w:lvl w:ilvl="0">
      <w:lvlJc w:val="left"/>
      <w:lvlText w:val="%1."/>
      <w:numFmt w:val="decimal"/>
      <w:start w:val="3"/>
    </w:lvl>
  </w:abstractNum>
  <w:abstractNum w:abstractNumId="100">
    <w:nsid w:val="2A155DBC"/>
    <w:multiLevelType w:val="hybridMultilevel"/>
    <w:lvl w:ilvl="0">
      <w:lvlJc w:val="left"/>
      <w:lvlText w:val="%1."/>
      <w:numFmt w:val="decimal"/>
      <w:start w:val="6"/>
    </w:lvl>
  </w:abstractNum>
  <w:abstractNum w:abstractNumId="101">
    <w:nsid w:val="1D9F6E5F"/>
    <w:multiLevelType w:val="hybridMultilevel"/>
    <w:lvl w:ilvl="0">
      <w:lvlJc w:val="left"/>
      <w:lvlText w:val="%1."/>
      <w:numFmt w:val="decimal"/>
      <w:start w:val="9"/>
    </w:lvl>
  </w:abstractNum>
  <w:abstractNum w:abstractNumId="102">
    <w:nsid w:val="97E1B4E"/>
    <w:multiLevelType w:val="hybridMultilevel"/>
    <w:lvl w:ilvl="0">
      <w:lvlJc w:val="left"/>
      <w:lvlText w:val="%1."/>
      <w:numFmt w:val="decimal"/>
      <w:start w:val="11"/>
    </w:lvl>
  </w:abstractNum>
  <w:abstractNum w:abstractNumId="103">
    <w:nsid w:val="51088277"/>
    <w:multiLevelType w:val="hybridMultilevel"/>
    <w:lvl w:ilvl="0">
      <w:lvlJc w:val="left"/>
      <w:lvlText w:val="%1."/>
      <w:numFmt w:val="decimal"/>
      <w:start w:val="1"/>
    </w:lvl>
    <w:lvl w:ilvl="1">
      <w:lvlJc w:val="left"/>
      <w:lvlText w:val="%2."/>
      <w:numFmt w:val="lowerLetter"/>
      <w:start w:val="1"/>
    </w:lvl>
  </w:abstractNum>
  <w:abstractNum w:abstractNumId="104">
    <w:nsid w:val="1CA0C5FA"/>
    <w:multiLevelType w:val="hybridMultilevel"/>
    <w:lvl w:ilvl="0">
      <w:lvlJc w:val="left"/>
      <w:lvlText w:val="%1"/>
      <w:numFmt w:val="decimal"/>
      <w:start w:val="1"/>
    </w:lvl>
    <w:lvl w:ilvl="1">
      <w:lvlJc w:val="left"/>
      <w:lvlText w:val="%2."/>
      <w:numFmt w:val="lowerLetter"/>
      <w:start w:val="1"/>
    </w:lvl>
  </w:abstractNum>
  <w:abstractNum w:abstractNumId="105">
    <w:nsid w:val="53584BCB"/>
    <w:multiLevelType w:val="hybridMultilevel"/>
    <w:lvl w:ilvl="0">
      <w:lvlJc w:val="left"/>
      <w:lvlText w:val="%1."/>
      <w:numFmt w:val="decimal"/>
      <w:start w:val="5"/>
    </w:lvl>
    <w:lvl w:ilvl="1">
      <w:lvlJc w:val="left"/>
      <w:lvlText w:val="%2"/>
      <w:numFmt w:val="lowerLetter"/>
      <w:start w:val="1"/>
    </w:lvl>
  </w:abstractNum>
  <w:abstractNum w:abstractNumId="106">
    <w:nsid w:val="415E286C"/>
    <w:multiLevelType w:val="hybridMultilevel"/>
    <w:lvl w:ilvl="0">
      <w:lvlJc w:val="left"/>
      <w:lvlText w:val="%1."/>
      <w:numFmt w:val="decimal"/>
      <w:start w:val="7"/>
    </w:lvl>
  </w:abstractNum>
  <w:abstractNum w:abstractNumId="107">
    <w:nsid w:val="7C58FD05"/>
    <w:multiLevelType w:val="hybridMultilevel"/>
    <w:lvl w:ilvl="0">
      <w:lvlJc w:val="left"/>
      <w:lvlText w:val="%1"/>
      <w:numFmt w:val="decimal"/>
      <w:start w:val="1"/>
    </w:lvl>
    <w:lvl w:ilvl="1">
      <w:lvlJc w:val="left"/>
      <w:lvlText w:val="%2."/>
      <w:numFmt w:val="lowerLetter"/>
      <w:start w:val="1"/>
    </w:lvl>
  </w:abstractNum>
  <w:abstractNum w:abstractNumId="108">
    <w:nsid w:val="23D86AAC"/>
    <w:multiLevelType w:val="hybridMultilevel"/>
    <w:lvl w:ilvl="0">
      <w:lvlJc w:val="left"/>
      <w:lvlText w:val="%1."/>
      <w:numFmt w:val="decimal"/>
      <w:start w:val="8"/>
    </w:lvl>
    <w:lvl w:ilvl="1">
      <w:lvlJc w:val="left"/>
      <w:lvlText w:val="%2"/>
      <w:numFmt w:val="lowerLetter"/>
      <w:start w:val="1"/>
    </w:lvl>
  </w:abstractNum>
  <w:abstractNum w:abstractNumId="109">
    <w:nsid w:val="45E6D486"/>
    <w:multiLevelType w:val="hybridMultilevel"/>
    <w:lvl w:ilvl="0">
      <w:lvlJc w:val="left"/>
      <w:lvlText w:val="%1."/>
      <w:numFmt w:val="decimal"/>
      <w:start w:val="11"/>
    </w:lvl>
  </w:abstractNum>
  <w:abstractNum w:abstractNumId="110">
    <w:nsid w:val="5C10FE21"/>
    <w:multiLevelType w:val="hybridMultilevel"/>
    <w:lvl w:ilvl="0">
      <w:lvlJc w:val="left"/>
      <w:lvlText w:val="%1."/>
      <w:numFmt w:val="decimal"/>
      <w:start w:val="17"/>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24" Type="http://schemas.openxmlformats.org/officeDocument/2006/relationships/hyperlink" Target="http://www.sec.gov/Archives/edgar/data/1125345/000119312513402831/d613759dex31.htm" TargetMode="External"/><Relationship Id="rId125" Type="http://schemas.openxmlformats.org/officeDocument/2006/relationships/hyperlink" Target="http://www.sec.gov/Archives/edgar/data/1125345/000119312513402831/d613759dex33.htm" TargetMode="External"/><Relationship Id="rId126" Type="http://schemas.openxmlformats.org/officeDocument/2006/relationships/hyperlink" Target="https://www.sec.gov/Archives/edgar/data/0001125345/000112534521000052/a8-k_bylawxamendmentxexx3x1.htm" TargetMode="External"/><Relationship Id="rId127" Type="http://schemas.openxmlformats.org/officeDocument/2006/relationships/hyperlink" Target="http://www.sec.gov/Archives/edgar/data/1125345/000119312513394786/d575431dex42.htm" TargetMode="External"/><Relationship Id="rId128" Type="http://schemas.openxmlformats.org/officeDocument/2006/relationships/hyperlink" Target="https://www.sec.gov/Archives/edgar/data/1125345/000112534521000035/mgnxexhibit4-2202010xk.htm" TargetMode="External"/><Relationship Id="rId129" Type="http://schemas.openxmlformats.org/officeDocument/2006/relationships/hyperlink" Target="http://www.sec.gov/Archives/edgar/data/1125345/000112534518000022/exhibit10-3201710xkfinal.htm" TargetMode="External"/><Relationship Id="rId130" Type="http://schemas.openxmlformats.org/officeDocument/2006/relationships/hyperlink" Target="http://www.sec.gov/Archives/edgar/data/1125345/000119312513386872/d575431dex105.htm" TargetMode="External"/><Relationship Id="rId131" Type="http://schemas.openxmlformats.org/officeDocument/2006/relationships/hyperlink" Target="http://www.sec.gov/Archives/edgar/data/1125345/000119312513386872/d575431dex106.htm" TargetMode="External"/><Relationship Id="rId132" Type="http://schemas.openxmlformats.org/officeDocument/2006/relationships/hyperlink" Target="http://www.sec.gov/Archives/edgar/data/1125345/000119312513386872/d575431dex107.htm" TargetMode="External"/><Relationship Id="rId133" Type="http://schemas.openxmlformats.org/officeDocument/2006/relationships/hyperlink" Target="http://www.sec.gov/Archives/edgar/data/1125345/000112534515000013/exhibit10-2.htm" TargetMode="External"/><Relationship Id="rId134" Type="http://schemas.openxmlformats.org/officeDocument/2006/relationships/hyperlink" Target="https://www.sec.gov/Archives/edgar/data/1125345/000112534523000102/form_s-8x2023eipxex991.htm" TargetMode="External"/><Relationship Id="rId135" Type="http://schemas.openxmlformats.org/officeDocument/2006/relationships/hyperlink" Target="https://www.sec.gov/Archives/edgar/data/1125345/000112534524000060/exhibit108employeestockopt.htm" TargetMode="External"/><Relationship Id="rId136" Type="http://schemas.openxmlformats.org/officeDocument/2006/relationships/hyperlink" Target="http://www.sec.gov/Archives/edgar/data/1125345/000112534516000046/exhibit1014.htm" TargetMode="External"/><Relationship Id="rId137" Type="http://schemas.openxmlformats.org/officeDocument/2006/relationships/hyperlink" Target="https://www.sec.gov/Archives/edgar/data/1125345/000112534524000060/exhibit1011bodrsuawardgran.htm" TargetMode="External"/><Relationship Id="rId138" Type="http://schemas.openxmlformats.org/officeDocument/2006/relationships/hyperlink" Target="http://www.sec.gov/Archives/edgar/data/1125345/000155278116002035/e00576_ex4-1.htm" TargetMode="External"/><Relationship Id="rId139" Type="http://schemas.openxmlformats.org/officeDocument/2006/relationships/hyperlink" Target="http://www.sec.gov/Archives/edgar/data/1125345/000112534516000046/exhibit1015.htm" TargetMode="External"/><Relationship Id="rId140" Type="http://schemas.openxmlformats.org/officeDocument/2006/relationships/hyperlink" Target="https://www.sec.gov/Archives/edgar/data/1125345/000112534525000042/mgnxex1033separationandcon.htm" TargetMode="External"/><Relationship Id="rId141" Type="http://schemas.openxmlformats.org/officeDocument/2006/relationships/hyperlink" Target="https://www.sec.gov/Archives/edgar/data/1125345/000112534525000042/mgnxex1034amendment1jkempl.htm" TargetMode="External"/><Relationship Id="rId144" Type="http://schemas.openxmlformats.org/officeDocument/2006/relationships/hyperlink" Target="https://www.sec.gov/Archives/edgar/data/1125345/000112534525000042/mgnxex1036amendment_toxkoe.htm" TargetMode="External"/><Relationship Id="rId145" Type="http://schemas.openxmlformats.org/officeDocument/2006/relationships/hyperlink" Target="http://www.sec.gov/Archives/edgar/data/1125345/000112534518000058/exhibit101incyteamendment.htm" TargetMode="External"/><Relationship Id="rId146" Type="http://schemas.openxmlformats.org/officeDocument/2006/relationships/hyperlink" Target="https://www.sec.gov/Archives/edgar/data/1125345/000112534522000090/exhibit101-incyte2ndamend.htm" TargetMode="External"/><Relationship Id="rId147" Type="http://schemas.openxmlformats.org/officeDocument/2006/relationships/hyperlink" Target="https://www.sec.gov/Archives/edgar/data/1125345/000112534522000104/exhibit101-incyte3rdamend.htm" TargetMode="External"/><Relationship Id="rId148" Type="http://schemas.openxmlformats.org/officeDocument/2006/relationships/hyperlink" Target="https://www.sec.gov/Archives/edgar/data/1125345/000112534524000160/exhibit101fourthamendmentt.htm" TargetMode="External"/><Relationship Id="rId149" Type="http://schemas.openxmlformats.org/officeDocument/2006/relationships/hyperlink" Target="https://www.sec.gov/Archives/edgar/data/0001125345/000112534521000035/exhibit1016incytecommercia.htm" TargetMode="External"/><Relationship Id="rId150" Type="http://schemas.openxmlformats.org/officeDocument/2006/relationships/hyperlink" Target="https://www.sec.gov/Archives/edgar/data/1125345/000112534523000059/a1022_gileadcollab.htm" TargetMode="External"/><Relationship Id="rId151" Type="http://schemas.openxmlformats.org/officeDocument/2006/relationships/hyperlink" Target="https://www.sec.gov/Archives/edgar/data/1125345/000112534524000088/mgnxexhibit10-1.htm" TargetMode="External"/><Relationship Id="rId152" Type="http://schemas.openxmlformats.org/officeDocument/2006/relationships/hyperlink" Target="https://www.sec.gov/Archives/edgar/data/1125345/000112534524000160/exhibit102secondletteragre.htm" TargetMode="External"/><Relationship Id="rId153" Type="http://schemas.openxmlformats.org/officeDocument/2006/relationships/hyperlink" Target="https://www.sec.gov/Archives/edgar/data/1125345/000112534523000059/a1023_proventionapa.htm" TargetMode="External"/><Relationship Id="rId154" Type="http://schemas.openxmlformats.org/officeDocument/2006/relationships/hyperlink" Target="https://www.sec.gov/Archives/edgar/data/1125345/000112534523000059/a1024_proventionapaamendme.htm" TargetMode="External"/><Relationship Id="rId155" Type="http://schemas.openxmlformats.org/officeDocument/2006/relationships/hyperlink" Target="https://www.sec.gov/Archives/edgar/data/1125345/000112534523000124/exhibit101q32023.htm" TargetMode="External"/><Relationship Id="rId156" Type="http://schemas.openxmlformats.org/officeDocument/2006/relationships/hyperlink" Target="https://www.sec.gov/Archives/edgar/data/1125345/000112534523000059/a1025_hqlease.htm" TargetMode="External"/><Relationship Id="rId157" Type="http://schemas.openxmlformats.org/officeDocument/2006/relationships/hyperlink" Target="https://www.sec.gov/Archives/edgar/data/1125345/000112534523000059/a1026_firstamendmenttohqle.htm" TargetMode="External"/><Relationship Id="rId158" Type="http://schemas.openxmlformats.org/officeDocument/2006/relationships/hyperlink" Target="https://www.sec.gov/Archives/edgar/data/1125345/000112534523000059/a1027_secondamendmenttohql.htm" TargetMode="External"/><Relationship Id="rId159" Type="http://schemas.openxmlformats.org/officeDocument/2006/relationships/hyperlink" Target="https://www.sec.gov/Archives/edgar/data/1125345/000112534523000059/a1028_thirdamendmenttohqle.htm" TargetMode="External"/><Relationship Id="rId160" Type="http://schemas.openxmlformats.org/officeDocument/2006/relationships/hyperlink" Target="https://www.sec.gov/Archives/edgar/data/1125345/000112534523000059/a1029_fourthamendmenttolea.htm" TargetMode="External"/><Relationship Id="rId161" Type="http://schemas.openxmlformats.org/officeDocument/2006/relationships/hyperlink" Target="https://www.sec.gov/Archives/edgar/data/1125345/000112534523000059/a1030_fifthamendmenttohqle.htm" TargetMode="External"/><Relationship Id="rId164" Type="http://schemas.openxmlformats.org/officeDocument/2006/relationships/hyperlink" Target="https://www.sec.gov/Archives/edgar/data/1125345/000112534525000101/exhibit10-1royaltypurchase.htm" TargetMode="External"/><Relationship Id="rId165" Type="http://schemas.openxmlformats.org/officeDocument/2006/relationships/hyperlink" Target="https://www.sec.gov/Archives/edgar/data/1125345/000112534525000042/mgnxex19insidertradingpoli.htm" TargetMode="External"/><Relationship Id="rId166" Type="http://schemas.openxmlformats.org/officeDocument/2006/relationships/hyperlink" Target="https://www.sec.gov/Archives/edgar/data/1125345/000112534524000060/mgnx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2026-03-09T15:34:08Z</dcterms:created>
  <dcterms:modified xsi:type="dcterms:W3CDTF">2026-03-09T15:34:08Z</dcterms:modified>
</cp:coreProperties>
</file>