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-7620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001-36112</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MACROGENICS, INC.</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1"/>
              </w:rPr>
              <w:t>Delaware</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right"/>
              <w:ind w:right="2010"/>
              <w:spacing w:after="0"/>
              <w:rPr>
                <w:sz w:val="20"/>
                <w:szCs w:val="20"/>
                <w:color w:val="auto"/>
              </w:rPr>
            </w:pPr>
            <w:r>
              <w:rPr>
                <w:rFonts w:ascii="Arial" w:cs="Arial" w:eastAsia="Arial" w:hAnsi="Arial"/>
                <w:sz w:val="18"/>
                <w:szCs w:val="18"/>
                <w:b w:val="1"/>
                <w:bCs w:val="1"/>
                <w:color w:val="auto"/>
              </w:rPr>
              <w:t>06-1591613</w:t>
            </w:r>
          </w:p>
        </w:tc>
      </w:tr>
      <w:tr>
        <w:trPr>
          <w:trHeight w:val="180"/>
        </w:trPr>
        <w:tc>
          <w:tcPr>
            <w:tcW w:w="4420" w:type="dxa"/>
            <w:vAlign w:val="bottom"/>
            <w:gridSpan w:val="2"/>
          </w:tcPr>
          <w:p>
            <w:pPr>
              <w:jc w:val="center"/>
              <w:ind w:left="1330"/>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20" w:type="dxa"/>
            <w:vAlign w:val="bottom"/>
          </w:tcPr>
          <w:p>
            <w:pPr>
              <w:jc w:val="center"/>
              <w:ind w:right="470"/>
              <w:spacing w:after="0" w:line="181" w:lineRule="exact"/>
              <w:rPr>
                <w:sz w:val="20"/>
                <w:szCs w:val="20"/>
                <w:color w:val="auto"/>
              </w:rPr>
            </w:pPr>
            <w:r>
              <w:rPr>
                <w:rFonts w:ascii="Arial" w:cs="Arial" w:eastAsia="Arial" w:hAnsi="Arial"/>
                <w:sz w:val="18"/>
                <w:szCs w:val="18"/>
                <w:b w:val="1"/>
                <w:bCs w:val="1"/>
                <w:color w:val="auto"/>
                <w:w w:val="92"/>
              </w:rPr>
              <w:t>(I.R.S. Employer</w:t>
            </w:r>
          </w:p>
        </w:tc>
      </w:tr>
      <w:tr>
        <w:trPr>
          <w:trHeight w:val="234"/>
        </w:trPr>
        <w:tc>
          <w:tcPr>
            <w:tcW w:w="44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1"/>
              </w:rPr>
              <w:t>incorporation or organization)</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Identification No.)</w:t>
            </w:r>
          </w:p>
        </w:tc>
      </w:tr>
      <w:tr>
        <w:trPr>
          <w:trHeight w:val="238"/>
        </w:trPr>
        <w:tc>
          <w:tcPr>
            <w:tcW w:w="44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3"/>
              </w:rPr>
              <w:t>9704 Medical Center Drive</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238"/>
        </w:trPr>
        <w:tc>
          <w:tcPr>
            <w:tcW w:w="44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3"/>
              </w:rPr>
              <w:t>Rockville, Maryland</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right"/>
              <w:ind w:right="2230"/>
              <w:spacing w:after="0"/>
              <w:rPr>
                <w:sz w:val="20"/>
                <w:szCs w:val="20"/>
                <w:color w:val="auto"/>
              </w:rPr>
            </w:pPr>
            <w:r>
              <w:rPr>
                <w:rFonts w:ascii="Arial" w:cs="Arial" w:eastAsia="Arial" w:hAnsi="Arial"/>
                <w:sz w:val="18"/>
                <w:szCs w:val="18"/>
                <w:b w:val="1"/>
                <w:bCs w:val="1"/>
                <w:color w:val="auto"/>
              </w:rPr>
              <w:t>20850</w:t>
            </w:r>
          </w:p>
        </w:tc>
      </w:tr>
      <w:tr>
        <w:trPr>
          <w:trHeight w:val="234"/>
        </w:trPr>
        <w:tc>
          <w:tcPr>
            <w:tcW w:w="44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(Zip code)</w:t>
            </w:r>
          </w:p>
        </w:tc>
      </w:tr>
      <w:tr>
        <w:trPr>
          <w:trHeight w:val="41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301-251-5172</w:t>
            </w:r>
          </w:p>
        </w:tc>
        <w:tc>
          <w:tcPr>
            <w:tcW w:w="4520" w:type="dxa"/>
            <w:vAlign w:val="bottom"/>
          </w:tcPr>
          <w:p>
            <w:pPr>
              <w:spacing w:after="0"/>
              <w:rPr>
                <w:sz w:val="24"/>
                <w:szCs w:val="24"/>
                <w:color w:val="auto"/>
              </w:rPr>
            </w:pPr>
          </w:p>
        </w:tc>
      </w:tr>
      <w:tr>
        <w:trPr>
          <w:trHeight w:val="324"/>
        </w:trPr>
        <w:tc>
          <w:tcPr>
            <w:tcW w:w="1106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324"/>
        </w:trPr>
        <w:tc>
          <w:tcPr>
            <w:tcW w:w="6540" w:type="dxa"/>
            <w:vAlign w:val="bottom"/>
            <w:gridSpan w:val="4"/>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4520" w:type="dxa"/>
            <w:vAlign w:val="bottom"/>
          </w:tcPr>
          <w:p>
            <w:pPr>
              <w:spacing w:after="0"/>
              <w:rPr>
                <w:sz w:val="24"/>
                <w:szCs w:val="24"/>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Trading Symbol(s)</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MGNX</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32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64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8"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080" w:firstLine="648"/>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31, 2022, 61,475,221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2"/>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216"/>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FINANCIAL INFORMATION</w:t>
            </w:r>
          </w:p>
        </w:tc>
        <w:tc>
          <w:tcPr>
            <w:tcW w:w="6100" w:type="dxa"/>
            <w:vAlign w:val="bottom"/>
            <w:gridSpan w:val="9"/>
          </w:tcPr>
          <w:p>
            <w:pPr>
              <w:spacing w:after="0"/>
              <w:rPr>
                <w:sz w:val="18"/>
                <w:szCs w:val="18"/>
                <w:color w:val="auto"/>
              </w:rPr>
            </w:pPr>
          </w:p>
        </w:tc>
      </w:tr>
      <w:tr>
        <w:trPr>
          <w:trHeight w:val="479"/>
        </w:trPr>
        <w:tc>
          <w:tcPr>
            <w:tcW w:w="2740" w:type="dxa"/>
            <w:vAlign w:val="bottom"/>
          </w:tcPr>
          <w:p>
            <w:pPr>
              <w:ind w:left="26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Financial Statements</w:t>
            </w:r>
          </w:p>
        </w:tc>
        <w:tc>
          <w:tcPr>
            <w:tcW w:w="6980" w:type="dxa"/>
            <w:vAlign w:val="bottom"/>
            <w:gridSpan w:val="13"/>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64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Consolidated Balance Sheets at September 30, 2022 (unaudited) and December 31, 2021</w:t>
            </w:r>
          </w:p>
        </w:tc>
        <w:tc>
          <w:tcPr>
            <w:tcW w:w="2100" w:type="dxa"/>
            <w:vAlign w:val="bottom"/>
            <w:gridSpan w:val="5"/>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Arial" w:cs="Arial" w:eastAsia="Arial" w:hAnsi="Arial"/>
                <w:sz w:val="18"/>
                <w:szCs w:val="18"/>
                <w:color w:val="0000FF"/>
                <w:w w:val="90"/>
              </w:rPr>
              <w:t>Consolidated Statements of Operations and Comprehensive Loss for the three and nine months ended September 30,</w:t>
            </w:r>
          </w:p>
        </w:tc>
      </w:tr>
      <w:tr>
        <w:trPr>
          <w:trHeight w:val="156"/>
        </w:trPr>
        <w:tc>
          <w:tcPr>
            <w:tcW w:w="274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89"/>
              </w:rPr>
              <w:t>2022 and September 30, 2021 (unaudited)</w:t>
            </w:r>
          </w:p>
        </w:tc>
        <w:tc>
          <w:tcPr>
            <w:tcW w:w="536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Arial" w:cs="Arial" w:eastAsia="Arial" w:hAnsi="Arial"/>
                <w:sz w:val="18"/>
                <w:szCs w:val="18"/>
                <w:color w:val="0000FF"/>
                <w:w w:val="95"/>
              </w:rPr>
              <w:t>Consolidated Statements of Stockholders' Equity for the three and nine months ended September 30, 2022 and</w:t>
            </w:r>
          </w:p>
        </w:tc>
      </w:tr>
      <w:tr>
        <w:trPr>
          <w:trHeight w:val="155"/>
        </w:trPr>
        <w:tc>
          <w:tcPr>
            <w:tcW w:w="2740" w:type="dxa"/>
            <w:vAlign w:val="bottom"/>
          </w:tcPr>
          <w:p>
            <w:pPr>
              <w:spacing w:after="0"/>
              <w:rPr>
                <w:sz w:val="13"/>
                <w:szCs w:val="13"/>
                <w:color w:val="auto"/>
              </w:rPr>
            </w:pPr>
          </w:p>
        </w:tc>
        <w:tc>
          <w:tcPr>
            <w:tcW w:w="796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September 30, 2021 (unaudited)</w:t>
            </w:r>
          </w:p>
        </w:tc>
        <w:tc>
          <w:tcPr>
            <w:tcW w:w="1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Arial" w:cs="Arial" w:eastAsia="Arial" w:hAnsi="Arial"/>
                <w:sz w:val="18"/>
                <w:szCs w:val="18"/>
                <w:color w:val="0000FF"/>
                <w:w w:val="93"/>
              </w:rPr>
              <w:t>Consolidated Statements of Cash Flows for the nine months ended September 30, 2022 and September 30, 2021</w:t>
            </w:r>
          </w:p>
        </w:tc>
      </w:tr>
      <w:tr>
        <w:trPr>
          <w:trHeight w:val="156"/>
        </w:trPr>
        <w:tc>
          <w:tcPr>
            <w:tcW w:w="274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(unaudited)</w:t>
            </w:r>
          </w:p>
        </w:tc>
        <w:tc>
          <w:tcPr>
            <w:tcW w:w="7240" w:type="dxa"/>
            <w:vAlign w:val="bottom"/>
            <w:tcBorders>
              <w:top w:val="single" w:sz="8" w:color="0000FF"/>
            </w:tcBorders>
            <w:gridSpan w:val="14"/>
          </w:tcPr>
          <w:p>
            <w:pPr>
              <w:spacing w:after="0"/>
              <w:rPr>
                <w:sz w:val="13"/>
                <w:szCs w:val="13"/>
                <w:color w:val="auto"/>
              </w:rPr>
            </w:pPr>
          </w:p>
        </w:tc>
        <w:tc>
          <w:tcPr>
            <w:tcW w:w="420" w:type="dxa"/>
            <w:vAlign w:val="bottom"/>
            <w:gridSpan w:val="2"/>
          </w:tcPr>
          <w:p>
            <w:pPr>
              <w:spacing w:after="0"/>
              <w:rPr>
                <w:sz w:val="13"/>
                <w:szCs w:val="13"/>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Arial" w:cs="Arial" w:eastAsia="Arial" w:hAnsi="Arial"/>
                <w:sz w:val="18"/>
                <w:szCs w:val="18"/>
                <w:color w:val="0000FF"/>
              </w:rPr>
              <w:t>Notes to Consolidated Financial Statements (unaudited)</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479"/>
        </w:trPr>
        <w:tc>
          <w:tcPr>
            <w:tcW w:w="2740" w:type="dxa"/>
            <w:vAlign w:val="bottom"/>
          </w:tcPr>
          <w:p>
            <w:pPr>
              <w:ind w:left="260"/>
              <w:spacing w:after="0"/>
              <w:rPr>
                <w:sz w:val="20"/>
                <w:szCs w:val="20"/>
                <w:color w:val="auto"/>
              </w:rPr>
            </w:pPr>
            <w:r>
              <w:rPr>
                <w:rFonts w:ascii="Arial" w:cs="Arial" w:eastAsia="Arial" w:hAnsi="Arial"/>
                <w:sz w:val="18"/>
                <w:szCs w:val="18"/>
                <w:color w:val="auto"/>
              </w:rPr>
              <w:t>Item 2.</w:t>
            </w:r>
          </w:p>
        </w:tc>
        <w:tc>
          <w:tcPr>
            <w:tcW w:w="850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r>
      <w:tr>
        <w:trPr>
          <w:trHeight w:val="479"/>
        </w:trPr>
        <w:tc>
          <w:tcPr>
            <w:tcW w:w="2740" w:type="dxa"/>
            <w:vAlign w:val="bottom"/>
          </w:tcPr>
          <w:p>
            <w:pPr>
              <w:ind w:left="26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4"/>
          </w:tcPr>
          <w:p>
            <w:pPr>
              <w:spacing w:after="0"/>
              <w:rPr>
                <w:sz w:val="24"/>
                <w:szCs w:val="24"/>
                <w:color w:val="auto"/>
              </w:rPr>
            </w:pPr>
          </w:p>
        </w:tc>
      </w:tr>
      <w:tr>
        <w:trPr>
          <w:trHeight w:val="480"/>
        </w:trPr>
        <w:tc>
          <w:tcPr>
            <w:tcW w:w="2740" w:type="dxa"/>
            <w:vAlign w:val="bottom"/>
          </w:tcPr>
          <w:p>
            <w:pPr>
              <w:ind w:left="2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6720" w:type="dxa"/>
            <w:vAlign w:val="bottom"/>
            <w:gridSpan w:val="12"/>
          </w:tcPr>
          <w:p>
            <w:pPr>
              <w:spacing w:after="0"/>
              <w:rPr>
                <w:sz w:val="24"/>
                <w:szCs w:val="24"/>
                <w:color w:val="auto"/>
              </w:rPr>
            </w:pPr>
          </w:p>
        </w:tc>
      </w:tr>
      <w:tr>
        <w:trPr>
          <w:trHeight w:val="480"/>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8500" w:type="dxa"/>
            <w:vAlign w:val="bottom"/>
            <w:gridSpan w:val="19"/>
          </w:tcPr>
          <w:p>
            <w:pPr>
              <w:spacing w:after="0"/>
              <w:rPr>
                <w:sz w:val="20"/>
                <w:szCs w:val="20"/>
                <w:color w:val="auto"/>
              </w:rPr>
            </w:pPr>
            <w:r>
              <w:rPr>
                <w:rFonts w:ascii="Arial" w:cs="Arial" w:eastAsia="Arial" w:hAnsi="Arial"/>
                <w:sz w:val="18"/>
                <w:szCs w:val="18"/>
                <w:b w:val="1"/>
                <w:bCs w:val="1"/>
                <w:color w:val="0000FF"/>
              </w:rPr>
              <w:t>OTHER INFORMATION</w:t>
            </w:r>
          </w:p>
        </w:tc>
      </w:tr>
      <w:tr>
        <w:trPr>
          <w:trHeight w:val="480"/>
        </w:trPr>
        <w:tc>
          <w:tcPr>
            <w:tcW w:w="2740" w:type="dxa"/>
            <w:vAlign w:val="bottom"/>
          </w:tcPr>
          <w:p>
            <w:pPr>
              <w:ind w:left="260"/>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Legal Proceedings</w:t>
            </w:r>
          </w:p>
        </w:tc>
        <w:tc>
          <w:tcPr>
            <w:tcW w:w="6480" w:type="dxa"/>
            <w:vAlign w:val="bottom"/>
            <w:gridSpan w:val="11"/>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tcPr>
          <w:p>
            <w:pPr>
              <w:spacing w:after="0"/>
              <w:rPr>
                <w:sz w:val="24"/>
                <w:szCs w:val="24"/>
                <w:color w:val="auto"/>
              </w:rPr>
            </w:pPr>
          </w:p>
        </w:tc>
        <w:tc>
          <w:tcPr>
            <w:tcW w:w="7160" w:type="dxa"/>
            <w:vAlign w:val="bottom"/>
            <w:gridSpan w:val="14"/>
          </w:tcPr>
          <w:p>
            <w:pPr>
              <w:spacing w:after="0"/>
              <w:rPr>
                <w:sz w:val="24"/>
                <w:szCs w:val="24"/>
                <w:color w:val="auto"/>
              </w:rPr>
            </w:pPr>
          </w:p>
        </w:tc>
      </w:tr>
      <w:tr>
        <w:trPr>
          <w:trHeight w:val="480"/>
        </w:trPr>
        <w:tc>
          <w:tcPr>
            <w:tcW w:w="2740" w:type="dxa"/>
            <w:vAlign w:val="bottom"/>
          </w:tcPr>
          <w:p>
            <w:pPr>
              <w:ind w:left="260"/>
              <w:spacing w:after="0"/>
              <w:rPr>
                <w:sz w:val="20"/>
                <w:szCs w:val="20"/>
                <w:color w:val="auto"/>
              </w:rPr>
            </w:pPr>
            <w:r>
              <w:rPr>
                <w:rFonts w:ascii="Arial" w:cs="Arial" w:eastAsia="Arial" w:hAnsi="Arial"/>
                <w:sz w:val="18"/>
                <w:szCs w:val="18"/>
                <w:color w:val="auto"/>
              </w:rPr>
              <w:t>Item 6.</w:t>
            </w:r>
          </w:p>
        </w:tc>
        <w:tc>
          <w:tcPr>
            <w:tcW w:w="8500" w:type="dxa"/>
            <w:vAlign w:val="bottom"/>
            <w:gridSpan w:val="19"/>
          </w:tcPr>
          <w:p>
            <w:pPr>
              <w:spacing w:after="0"/>
              <w:rPr>
                <w:sz w:val="20"/>
                <w:szCs w:val="20"/>
                <w:color w:val="auto"/>
              </w:rPr>
            </w:pPr>
            <w:r>
              <w:rPr>
                <w:rFonts w:ascii="Arial" w:cs="Arial" w:eastAsia="Arial" w:hAnsi="Arial"/>
                <w:sz w:val="18"/>
                <w:szCs w:val="18"/>
                <w:color w:val="0000FF"/>
              </w:rPr>
              <w:t>Exhibits</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r>
      <w:tr>
        <w:trPr>
          <w:trHeight w:val="480"/>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Arial" w:cs="Arial" w:eastAsia="Arial" w:hAnsi="Arial"/>
                <w:sz w:val="18"/>
                <w:szCs w:val="18"/>
                <w:color w:val="0000FF"/>
              </w:rPr>
              <w:t>Signatures</w:t>
            </w:r>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4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2021 and "Part II, Item 1A. Risk Factors" of this Quarterly Report on Form 10-Q), could affect future performance and cause actual results to differ materially from those matters expressed in or implied by forward-looking statements:</w:t>
      </w:r>
    </w:p>
    <w:p>
      <w:pPr>
        <w:spacing w:after="0" w:line="110" w:lineRule="exact"/>
        <w:rPr>
          <w:sz w:val="20"/>
          <w:szCs w:val="20"/>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520" w:right="280" w:hanging="332"/>
        <w:spacing w:after="0" w:line="342" w:lineRule="auto"/>
        <w:tabs>
          <w:tab w:leader="none" w:pos="5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additional capital through the capital markets or through one or more corporate partnerships, equity offerings, debt financings, collaborations, licensing arrangements or asset sales and the availability of financing to fund the development of our product candidates;</w:t>
      </w:r>
    </w:p>
    <w:p>
      <w:pPr>
        <w:spacing w:after="0" w:line="15" w:lineRule="exact"/>
        <w:rPr>
          <w:rFonts w:ascii="Arial" w:cs="Arial" w:eastAsia="Arial" w:hAnsi="Arial"/>
          <w:sz w:val="16"/>
          <w:szCs w:val="16"/>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117" w:lineRule="exact"/>
        <w:rPr>
          <w:rFonts w:ascii="Arial" w:cs="Arial" w:eastAsia="Arial" w:hAnsi="Arial"/>
          <w:sz w:val="18"/>
          <w:szCs w:val="18"/>
          <w:color w:val="auto"/>
        </w:rPr>
      </w:pPr>
    </w:p>
    <w:p>
      <w:pPr>
        <w:ind w:left="520" w:right="7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outcomes of our ongoing and planned clinical trials and the timing of those outcomes, including when clinical trials will be initiated or completed, and when data will be reported or regulatory filings will be made;</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 and the labeling for any approved products;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cost savings from our restructuring plan;</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commercial prospects of or product revenues from MARGENZA and our product candidates if approved;</w:t>
      </w:r>
    </w:p>
    <w:p>
      <w:pPr>
        <w:spacing w:after="0" w:line="117" w:lineRule="exact"/>
        <w:rPr>
          <w:rFonts w:ascii="Arial" w:cs="Arial" w:eastAsia="Arial" w:hAnsi="Arial"/>
          <w:sz w:val="18"/>
          <w:szCs w:val="18"/>
          <w:color w:val="auto"/>
        </w:rPr>
      </w:pPr>
    </w:p>
    <w:p>
      <w:pPr>
        <w:ind w:left="520" w:right="2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severity and duration of the impact of the COVID-19 global pandemic, geopolitical tensions, and macroeconomic conditions on our business, operations, clinical programs, manufacturing, financial results and other aspects of our business;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product candidates currently being developed by our collaborators;</w:t>
      </w:r>
    </w:p>
    <w:p>
      <w:pPr>
        <w:spacing w:after="0" w:line="117" w:lineRule="exact"/>
        <w:rPr>
          <w:rFonts w:ascii="Arial" w:cs="Arial" w:eastAsia="Arial" w:hAnsi="Arial"/>
          <w:sz w:val="18"/>
          <w:szCs w:val="18"/>
          <w:color w:val="auto"/>
        </w:rPr>
      </w:pPr>
    </w:p>
    <w:p>
      <w:pPr>
        <w:ind w:left="520" w:right="34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 or to identify additional products or product candidates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future operation of our existing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investment in our manufacturing capabilities;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117" w:lineRule="exact"/>
        <w:rPr>
          <w:rFonts w:ascii="Arial" w:cs="Arial" w:eastAsia="Arial" w:hAnsi="Arial"/>
          <w:sz w:val="18"/>
          <w:szCs w:val="18"/>
          <w:color w:val="auto"/>
        </w:rPr>
      </w:pPr>
    </w:p>
    <w:p>
      <w:pPr>
        <w:ind w:left="520" w:right="42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litigation and the failure to successfully defend lawsuits and other claims against us and our expectations regarding the outcome of any regulatory or legal proceedings;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other risks associated with our international operations;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research funding and achieve anticipated milestones under our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500" w:hanging="312"/>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of compliance and our failure to comply with new and existing governmental regulations including, but not limited to, tax regulations;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 and</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5" w:right="51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123,469</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120,147</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147,812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279,560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 current assets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33,321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33,755</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Lease liabilities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 current liabilities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95,627</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76"/>
        </w:trPr>
        <w:tc>
          <w:tcPr>
            <w:tcW w:w="6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Common stock, $0.01 par value -- 125,000,000 shares authorized, 61,462,189 and</w:t>
            </w:r>
          </w:p>
        </w:tc>
        <w:tc>
          <w:tcPr>
            <w:tcW w:w="2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61,307,428 shares outstanding at September 30, 2022 and December 31, 2021, respectively</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1,228,952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1,213,002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(973,936)</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335,245</w:t>
            </w:r>
          </w:p>
        </w:tc>
      </w:tr>
      <w:tr>
        <w:trPr>
          <w:trHeight w:val="21"/>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80" w:type="dxa"/>
            <w:vAlign w:val="bottom"/>
          </w:tcPr>
          <w:p>
            <w:pPr>
              <w:ind w:left="120"/>
              <w:spacing w:after="0"/>
              <w:rPr>
                <w:sz w:val="20"/>
                <w:szCs w:val="20"/>
                <w:color w:val="auto"/>
              </w:rPr>
            </w:pPr>
            <w:r>
              <w:rPr>
                <w:rFonts w:ascii="Arial" w:cs="Arial" w:eastAsia="Arial" w:hAnsi="Arial"/>
                <w:sz w:val="18"/>
                <w:szCs w:val="18"/>
                <w:color w:val="auto"/>
              </w:rPr>
              <w:t>Collaborative and other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35,674</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11,986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59,630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54,338</w:t>
            </w: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r>
      <w:tr>
        <w:trPr>
          <w:trHeight w:val="229"/>
        </w:trPr>
        <w:tc>
          <w:tcPr>
            <w:tcW w:w="478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Government agreements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23"/>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63,300</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Cost of product sales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1,704</w:t>
            </w:r>
          </w:p>
        </w:tc>
      </w:tr>
      <w:tr>
        <w:trPr>
          <w:trHeight w:val="229"/>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manufacturing services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48,191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161,373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158,724</w:t>
            </w:r>
          </w:p>
        </w:tc>
      </w:tr>
      <w:tr>
        <w:trPr>
          <w:trHeight w:val="229"/>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47,431</w:t>
            </w:r>
          </w:p>
        </w:tc>
      </w:tr>
      <w:tr>
        <w:trPr>
          <w:trHeight w:val="223"/>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207,859</w:t>
            </w:r>
          </w:p>
        </w:tc>
      </w:tr>
      <w:tr>
        <w:trPr>
          <w:trHeight w:val="22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(144,559)</w:t>
            </w:r>
          </w:p>
        </w:tc>
      </w:tr>
      <w:tr>
        <w:trPr>
          <w:trHeight w:val="230"/>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2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(144,093)</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(loss) on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(144,089)</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weighted average common shares outstanding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61,459,831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61,169,754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61,390,143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59,494,836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20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5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9"/>
                <w:szCs w:val="9"/>
                <w:color w:val="auto"/>
              </w:rPr>
            </w:pPr>
          </w:p>
        </w:tc>
        <w:tc>
          <w:tcPr>
            <w:tcW w:w="1280" w:type="dxa"/>
            <w:vAlign w:val="bottom"/>
            <w:gridSpan w:val="2"/>
            <w:vMerge w:val="restart"/>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1140" w:type="dxa"/>
            <w:vAlign w:val="bottom"/>
            <w:vMerge w:val="restart"/>
          </w:tcPr>
          <w:p>
            <w:pPr>
              <w:jc w:val="center"/>
              <w:ind w:right="93"/>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61,307,428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239,618</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Stock plan related activity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Unrealized loss on investments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(66,443)</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March 31, 2022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61,333,074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1,218,263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(1,040,379)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178,214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Stock plan related activity</w:t>
            </w:r>
          </w:p>
        </w:tc>
        <w:tc>
          <w:tcPr>
            <w:tcW w:w="1160" w:type="dxa"/>
            <w:vAlign w:val="bottom"/>
          </w:tcPr>
          <w:p>
            <w:pPr>
              <w:jc w:val="right"/>
              <w:spacing w:after="0"/>
              <w:rPr>
                <w:sz w:val="20"/>
                <w:szCs w:val="20"/>
                <w:color w:val="auto"/>
              </w:rPr>
            </w:pPr>
            <w:r>
              <w:rPr>
                <w:rFonts w:ascii="Arial" w:cs="Arial" w:eastAsia="Arial" w:hAnsi="Arial"/>
                <w:sz w:val="18"/>
                <w:szCs w:val="18"/>
                <w:color w:val="auto"/>
              </w:rPr>
              <w:t>125,716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(41,304)</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61,458,790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142,481</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Stock plan related activity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September 30, 2022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61,462,189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1,228,952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(1,106,496)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122,958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17" w:right="399" w:bottom="1440" w:gutter="0" w:footer="0" w:header="0"/>
        </w:sectPr>
      </w:pPr>
    </w:p>
    <w:bookmarkStart w:id="7" w:name="page8"/>
    <w:bookmarkEnd w:id="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3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24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3"/>
                <w:szCs w:val="3"/>
                <w:color w:val="auto"/>
              </w:rPr>
            </w:pPr>
          </w:p>
        </w:tc>
        <w:tc>
          <w:tcPr>
            <w:tcW w:w="10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3"/>
                <w:szCs w:val="3"/>
                <w:color w:val="auto"/>
              </w:rPr>
            </w:pPr>
          </w:p>
        </w:tc>
        <w:tc>
          <w:tcPr>
            <w:tcW w:w="1240" w:type="dxa"/>
            <w:vAlign w:val="bottom"/>
            <w:vMerge w:val="restart"/>
          </w:tcPr>
          <w:p>
            <w:pPr>
              <w:jc w:val="center"/>
              <w:ind w:right="113"/>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88"/>
        </w:trPr>
        <w:tc>
          <w:tcPr>
            <w:tcW w:w="3680" w:type="dxa"/>
            <w:vAlign w:val="bottom"/>
          </w:tcPr>
          <w:p>
            <w:pPr>
              <w:spacing w:after="0"/>
              <w:rPr>
                <w:sz w:val="7"/>
                <w:szCs w:val="7"/>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0"/>
                <w:szCs w:val="10"/>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0"/>
                <w:szCs w:val="10"/>
                <w:color w:val="auto"/>
              </w:rPr>
            </w:pPr>
          </w:p>
        </w:tc>
        <w:tc>
          <w:tcPr>
            <w:tcW w:w="124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74"/>
        </w:trPr>
        <w:tc>
          <w:tcPr>
            <w:tcW w:w="36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56,244,771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net of offering costs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98,200</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280" w:type="dxa"/>
            <w:vAlign w:val="bottom"/>
          </w:tcPr>
          <w:p>
            <w:pPr>
              <w:jc w:val="right"/>
              <w:spacing w:after="0"/>
              <w:rPr>
                <w:sz w:val="20"/>
                <w:szCs w:val="20"/>
                <w:color w:val="auto"/>
              </w:rPr>
            </w:pPr>
            <w:r>
              <w:rPr>
                <w:rFonts w:ascii="Arial" w:cs="Arial" w:eastAsia="Arial" w:hAnsi="Arial"/>
                <w:sz w:val="18"/>
                <w:szCs w:val="18"/>
                <w:color w:val="auto"/>
              </w:rPr>
              <w:t>144,249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(51,272)</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60,011,206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350,531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 related activity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Unrealized loss on investments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1280" w:type="dxa"/>
            <w:vAlign w:val="bottom"/>
          </w:tcPr>
          <w:p>
            <w:pPr>
              <w:jc w:val="right"/>
              <w:spacing w:after="0"/>
              <w:rPr>
                <w:sz w:val="20"/>
                <w:szCs w:val="20"/>
                <w:color w:val="auto"/>
              </w:rPr>
            </w:pPr>
            <w:r>
              <w:rPr>
                <w:rFonts w:ascii="Arial" w:cs="Arial" w:eastAsia="Arial" w:hAnsi="Arial"/>
                <w:sz w:val="18"/>
                <w:szCs w:val="18"/>
                <w:color w:val="auto"/>
              </w:rPr>
              <w:t>60,133,447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1,181,471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(863,028)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319,045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w w:val="95"/>
              </w:rPr>
              <w:t>Issuance of common stock, net of offering costs</w:t>
            </w:r>
          </w:p>
        </w:tc>
        <w:tc>
          <w:tcPr>
            <w:tcW w:w="1280" w:type="dxa"/>
            <w:vAlign w:val="bottom"/>
          </w:tcPr>
          <w:p>
            <w:pPr>
              <w:jc w:val="right"/>
              <w:spacing w:after="0"/>
              <w:rPr>
                <w:sz w:val="20"/>
                <w:szCs w:val="20"/>
                <w:color w:val="auto"/>
              </w:rPr>
            </w:pPr>
            <w:r>
              <w:rPr>
                <w:rFonts w:ascii="Arial" w:cs="Arial" w:eastAsia="Arial" w:hAnsi="Arial"/>
                <w:sz w:val="18"/>
                <w:szCs w:val="18"/>
                <w:color w:val="auto"/>
              </w:rPr>
              <w:t>958,467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19,640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 related activity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Unrealized loss on investments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(52,886)</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61,254,693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1,206,742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291,438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7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(132,560)</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(144,093)</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8,634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8,306</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discounts on marketable securities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15,697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17,714</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items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(5,582)</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Other non current assets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5,146</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7,744</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(8,477)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14,507</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 current liabilities</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(116,279)</w:t>
            </w:r>
          </w:p>
        </w:tc>
        <w:tc>
          <w:tcPr>
            <w:tcW w:w="1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(75,457)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(164,780)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maturities of marketable securities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146,550</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equipment and software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76,503</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(23,056)</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net of offering costs</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117,818</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Proceeds from stock option exercises and ESPP Purchases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5,722</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121,977</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190,531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Property, equipment and software included in accounts payable or accruals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71" w:lineRule="exact"/>
        <w:rPr>
          <w:sz w:val="20"/>
          <w:szCs w:val="20"/>
          <w:color w:val="auto"/>
        </w:rPr>
      </w:pPr>
    </w:p>
    <w:p>
      <w:pPr>
        <w:ind w:right="80" w:firstLine="648"/>
        <w:spacing w:after="0" w:line="260" w:lineRule="auto"/>
        <w:rPr>
          <w:sz w:val="20"/>
          <w:szCs w:val="20"/>
          <w:color w:val="auto"/>
        </w:rPr>
      </w:pPr>
      <w:r>
        <w:rPr>
          <w:rFonts w:ascii="Arial" w:cs="Arial" w:eastAsia="Arial" w:hAnsi="Arial"/>
          <w:sz w:val="17"/>
          <w:szCs w:val="17"/>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The Company has a pipeline of product candidates being evaluated in clinical trials sponsored by the Company or its collaborators. These product candidates include multiple immuno-oncology programs, some of which were created primarily using the Company’s proprietary, antibody-based technology platforms. The Company believes its product candidates have the potential, if approved for marketing by regulatory authorities, to have a meaningful effect on treating patients' unmet medical needs as monotherapy or, in some cases, in combination with other therapeutic agents. In March 2021, the Company and its commercialization partner commenced U.S. marketing of MARGENZA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17"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As a biotechnology company, the Company has primarily funded its operations with proceeds from the sale of its common stock in equity offerings, revenue from its multiple collaboration agreements, and contracts from the National Institute of Allergy and Infectious Diseases (NIAID).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arrangements, and product sales.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It is considered probable that the Company can successfully implement efforts to manage uncommitted spending and carry out necessary cost saving measures, including from the Company's corporate restructuring plan announced in August 2022. Therefore, based on the Company’s most recent cash flow forecast, the Company believes its current resources are sufficient to fund its operating plans for a minimum of twelve months from the date that this Quarterly Report on Form 10-Q was filed.</w:t>
      </w:r>
    </w:p>
    <w:p>
      <w:pPr>
        <w:spacing w:after="0" w:line="13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Similar to the other risk factors pertinent to the Company's business, the COVID-19 pandemic and geopolitical tensions, including the ongoing military conflict between Russia and Ukraine and the related sanctions imposed against Russia, and related global slowdown of economic activity, decades-high inflation, rising interest rates and a potential recession in the United States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right="420" w:firstLine="648"/>
        <w:spacing w:after="0" w:line="301" w:lineRule="auto"/>
        <w:rPr>
          <w:sz w:val="20"/>
          <w:szCs w:val="20"/>
          <w:color w:val="auto"/>
        </w:rPr>
      </w:pPr>
      <w:r>
        <w:rPr>
          <w:rFonts w:ascii="Arial" w:cs="Arial" w:eastAsia="Arial" w:hAnsi="Arial"/>
          <w:sz w:val="16"/>
          <w:szCs w:val="16"/>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2021 Annual Report on Form 10-K filed with the Securities and Exchange Commission (SEC) on February 24,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nine months ended September 30, 2022, there have been no material changes to the significant accounting policies previously disclosed in the Company’s Annual Report on Form 10-K for the year ended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There were no new accounting pronouncements that were issued or became effective since the issuance of the Company’s 2021 Annual Report on Form 10-K that had, or are expected to have, a material impact on its consolidated financial position,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6"/>
          <w:szCs w:val="16"/>
          <w:color w:val="000000"/>
        </w:rPr>
        <w:t>The Company accounts for recurring and non-recurring fair value measurements in</w:t>
      </w:r>
      <w:r>
        <w:rPr>
          <w:rFonts w:ascii="Arial" w:cs="Arial" w:eastAsia="Arial" w:hAnsi="Arial"/>
          <w:sz w:val="16"/>
          <w:szCs w:val="16"/>
          <w:color w:val="252525"/>
        </w:rPr>
        <w:t xml:space="preserve"> </w:t>
      </w:r>
      <w:r>
        <w:rPr>
          <w:rFonts w:ascii="Arial" w:cs="Arial" w:eastAsia="Arial" w:hAnsi="Arial"/>
          <w:sz w:val="16"/>
          <w:szCs w:val="16"/>
          <w:color w:val="000000"/>
        </w:rPr>
        <w:t xml:space="preserve">accordance with the Financial Accounting Standards Board (FASB) Accounting Standards Codification (ASC) 820, </w:t>
      </w:r>
      <w:r>
        <w:rPr>
          <w:rFonts w:ascii="Arial" w:cs="Arial" w:eastAsia="Arial" w:hAnsi="Arial"/>
          <w:sz w:val="16"/>
          <w:szCs w:val="16"/>
          <w:i w:val="1"/>
          <w:iCs w:val="1"/>
          <w:color w:val="000000"/>
        </w:rPr>
        <w:t>Fair Value Measurements and</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Disclosures </w:t>
      </w:r>
      <w:r>
        <w:rPr>
          <w:rFonts w:ascii="Arial" w:cs="Arial" w:eastAsia="Arial" w:hAnsi="Arial"/>
          <w:sz w:val="16"/>
          <w:szCs w:val="16"/>
          <w:color w:val="000000"/>
        </w:rPr>
        <w:t>(ASC 820). ASC 820 defines fair value, establishes a fair value hierarchy for assets and liabilities measured at fair value, and requires</w:t>
      </w:r>
      <w:r>
        <w:rPr>
          <w:rFonts w:ascii="Arial" w:cs="Arial" w:eastAsia="Arial" w:hAnsi="Arial"/>
          <w:sz w:val="16"/>
          <w:szCs w:val="16"/>
          <w:i w:val="1"/>
          <w:iCs w:val="1"/>
          <w:color w:val="000000"/>
        </w:rPr>
        <w:t xml:space="preserve"> </w:t>
      </w:r>
      <w:r>
        <w:rPr>
          <w:rFonts w:ascii="Arial" w:cs="Arial" w:eastAsia="Arial" w:hAnsi="Arial"/>
          <w:sz w:val="16"/>
          <w:szCs w:val="16"/>
          <w:color w:val="000000"/>
        </w:rPr>
        <w:t>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 Fair value is determined by using unadjusted quoted prices that are available in active markets for identical assets and liabilities.</w:t>
      </w:r>
    </w:p>
    <w:p>
      <w:pPr>
        <w:spacing w:after="0" w:line="140"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8"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7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Arial" w:cs="Arial" w:eastAsia="Arial" w:hAnsi="Arial"/>
          <w:sz w:val="16"/>
          <w:szCs w:val="16"/>
          <w:color w:val="252525"/>
        </w:rPr>
        <w:t>There were no transfers between levels during the periods presented.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Financial assets measured at fair value on a recurring basis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7"/>
          </w:tcPr>
          <w:p>
            <w:pPr>
              <w:jc w:val="right"/>
              <w:ind w:right="1130"/>
              <w:spacing w:after="0"/>
              <w:rPr>
                <w:sz w:val="20"/>
                <w:szCs w:val="20"/>
                <w:color w:val="auto"/>
              </w:rPr>
            </w:pPr>
            <w:r>
              <w:rPr>
                <w:rFonts w:ascii="Arial" w:cs="Arial" w:eastAsia="Arial" w:hAnsi="Arial"/>
                <w:sz w:val="18"/>
                <w:szCs w:val="18"/>
                <w:b w:val="1"/>
                <w:bCs w:val="1"/>
                <w:color w:val="auto"/>
                <w:w w:val="94"/>
              </w:rPr>
              <w:t>Fair Value Measurements at September 30, 2022</w:t>
            </w:r>
          </w:p>
        </w:tc>
      </w:tr>
      <w:tr>
        <w:trPr>
          <w:trHeight w:val="223"/>
        </w:trPr>
        <w:tc>
          <w:tcPr>
            <w:tcW w:w="5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71,398</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71,398</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33,163</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6,460</w:t>
            </w:r>
          </w:p>
        </w:tc>
      </w:tr>
      <w:tr>
        <w:trPr>
          <w:trHeight w:val="248"/>
        </w:trPr>
        <w:tc>
          <w:tcPr>
            <w:tcW w:w="50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assets measured at fair value</w:t>
            </w:r>
            <w:r>
              <w:rPr>
                <w:rFonts w:ascii="Arial" w:cs="Arial" w:eastAsia="Arial" w:hAnsi="Arial"/>
                <w:sz w:val="23"/>
                <w:szCs w:val="23"/>
                <w:color w:val="auto"/>
                <w:vertAlign w:val="superscript"/>
              </w:rPr>
              <w:t>(a)</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111,021</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104,561</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Arial" w:cs="Arial" w:eastAsia="Arial" w:hAnsi="Arial"/>
                <w:sz w:val="18"/>
                <w:szCs w:val="18"/>
                <w:b w:val="1"/>
                <w:bCs w:val="1"/>
                <w:color w:val="auto"/>
              </w:rPr>
              <w:t>Fair Value Measurements at December 31, 2021</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Level 2</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17,202</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17,202</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7,734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r>
      <w:tr>
        <w:trPr>
          <w:trHeight w:val="223"/>
        </w:trPr>
        <w:tc>
          <w:tcPr>
            <w:tcW w:w="5080" w:type="dxa"/>
            <w:vAlign w:val="bottom"/>
          </w:tcPr>
          <w:p>
            <w:pPr>
              <w:ind w:left="20"/>
              <w:spacing w:after="0" w:line="223" w:lineRule="exact"/>
              <w:rPr>
                <w:sz w:val="20"/>
                <w:szCs w:val="20"/>
                <w:color w:val="auto"/>
              </w:rPr>
            </w:pPr>
            <w:r>
              <w:rPr>
                <w:rFonts w:ascii="Arial" w:cs="Arial" w:eastAsia="Arial" w:hAnsi="Arial"/>
                <w:sz w:val="18"/>
                <w:szCs w:val="18"/>
                <w:color w:val="auto"/>
              </w:rPr>
              <w:t>Total assets measured at fair value</w:t>
            </w:r>
            <w:r>
              <w:rPr>
                <w:rFonts w:ascii="Arial" w:cs="Arial" w:eastAsia="Arial" w:hAnsi="Arial"/>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143,348</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98,334</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45,014</w:t>
            </w: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60" w:right="900" w:hanging="252"/>
        <w:spacing w:after="0" w:line="277"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measured at fair value at September 30, 2022 includes approximately $71.4 million reported in cash and cash equivalents on the consolidated balance sheet.</w:t>
      </w:r>
    </w:p>
    <w:p>
      <w:pPr>
        <w:spacing w:after="0" w:line="170" w:lineRule="exact"/>
        <w:rPr>
          <w:rFonts w:ascii="Arial" w:cs="Arial" w:eastAsia="Arial" w:hAnsi="Arial"/>
          <w:sz w:val="18"/>
          <w:szCs w:val="18"/>
          <w:color w:val="auto"/>
        </w:rPr>
      </w:pPr>
    </w:p>
    <w:p>
      <w:pPr>
        <w:ind w:left="260" w:right="920" w:hanging="252"/>
        <w:spacing w:after="0" w:line="277"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2021 includes approximately $23.2 million reported in cash and cash equivalents on the consolidated balance sheet.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Company's marketable debt securities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September 30, 2022</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5"/>
                <w:szCs w:val="15"/>
                <w:color w:val="auto"/>
              </w:rPr>
            </w:pPr>
          </w:p>
        </w:tc>
        <w:tc>
          <w:tcPr>
            <w:tcW w:w="9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80"/>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19"/>
                <w:szCs w:val="19"/>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4"/>
                <w:szCs w:val="14"/>
                <w:color w:val="auto"/>
              </w:rPr>
            </w:pPr>
          </w:p>
        </w:tc>
        <w:tc>
          <w:tcPr>
            <w:tcW w:w="9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1"/>
                <w:szCs w:val="21"/>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120,208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All available-for-sale marketable debt securities held as of September 30, 2022 and December 31, 2021 had contractual maturities of less than one year. All of the Company's available-for-sale marketable debt securities in an unrealized loss position as of September 30, 2022 and December 31, 2021 were in a loss position for less than twelve months. Unrealized losses on available-for-sale debt securities as of September 30, 2022 and December 31, 2021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12" w:name="page13"/>
    <w:bookmarkEnd w:id="12"/>
    <w:p>
      <w:pPr>
        <w:ind w:right="420"/>
        <w:spacing w:after="0" w:line="277" w:lineRule="auto"/>
        <w:rPr>
          <w:sz w:val="20"/>
          <w:szCs w:val="20"/>
          <w:color w:val="auto"/>
        </w:rPr>
      </w:pPr>
      <w:r>
        <w:rPr>
          <w:rFonts w:ascii="Arial" w:cs="Arial" w:eastAsia="Arial" w:hAnsi="Arial"/>
          <w:sz w:val="18"/>
          <w:szCs w:val="18"/>
          <w:color w:val="auto"/>
        </w:rPr>
        <w:t>recorded for any periods presented. The Company does not intend to sell these investments and it is not more likely than not that the Company will be required to sell the investments before recovery of their amortized cost bases, which may be at maturity.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 Net</w:t>
      </w:r>
    </w:p>
    <w:p>
      <w:pPr>
        <w:spacing w:after="0" w:line="175"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All of the Company's inventory relates to the manufacturing of MARGENZA. The following table sets forth the Company's net inventory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Prior to U.S. Food and Drug Administration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September 30, 2022 and December 31, 2021 is net of a reserve of $4.9 million and $2.0 million, respectively, for unsaleable inventory. These reserves are reflected in cost of product sales during the period they are recorded.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shares that were sold under the Sales Agreement were issued and sold pursuant to the Company's shelf registration statement on Form S-3 that was filed with the SEC on November 4, 2020. During the nine months ended September 30, 2021, the Company sold 3,622,186 shares of common stock at a weighted average price per share of $27.60, resulting in net proceeds of approximately $98.2 million, net of underwriting discounts and commissions and other offering expenses.</w:t>
      </w:r>
    </w:p>
    <w:p>
      <w:pPr>
        <w:spacing w:after="0" w:line="13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April 2021, the Company entered into Amendment No. 1 to the Sales Agreement which increased the amount of the Company’s common stock that can be sold by the Company through its agent under the ATM Offering, from an aggregate offering price of up to $100.0 million to an aggregate offering price of up to $300.0 million. The Company has not sold any shares of common stock related to Amendment No. 1 to the Sales Agreement as of September 30, 2022.</w:t>
      </w:r>
    </w:p>
    <w:p>
      <w:pPr>
        <w:spacing w:after="0" w:line="13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part of the consideration for the rights granted to Zai Lab US LLC under the collaboration and license agreement described more fully in Note 7, Revenue, the Company and Zai Lab US LLC entered into a separate stock purchase agreement (Stock Purchase Agreement) in June 2021. Under this Stock Purchase Agreement, Zai Lab US LLC paid the Company approximately $30.0 million to purchase 958,467 newly issued shares of the Company's common stock, par value $0.01, at a fixed price of $31.30 which represented a $10.4 million premium over the share price on the Stock Purchase Agreement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and Other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 Corporation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Incyte License Agreement</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2017, the Company entered into an exclusive global collaboration and license agreement with Incyte Corporation (Incyte), which was amended in March 2018, April 2022 and July 2022, for retifanlimab,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In July 2021, Incyte announced that the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are needed to demonstrate the clinical benefit of retifanlimab for the submitted indication, and that Incyte was reviewing the CRL and would discuss next steps with the FDA. Incyte subsequently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ind w:right="100"/>
        <w:spacing w:after="0" w:line="308" w:lineRule="auto"/>
        <w:rPr>
          <w:sz w:val="20"/>
          <w:szCs w:val="20"/>
          <w:color w:val="auto"/>
        </w:rPr>
      </w:pPr>
      <w:r>
        <w:rPr>
          <w:rFonts w:ascii="Arial" w:cs="Arial" w:eastAsia="Arial" w:hAnsi="Arial"/>
          <w:sz w:val="16"/>
          <w:szCs w:val="16"/>
          <w:color w:val="auto"/>
        </w:rPr>
        <w:t>withdrew its European application for marketing authorization of retifanlimab for the treatment of squamous carcinoma of the anal canal. Incyte has stated it is pursuing development of retifanlimab in potentially registration-enabling studies beyond squamous cell carcinoma of the anal canal, including in</w:t>
      </w:r>
    </w:p>
    <w:p>
      <w:pPr>
        <w:ind w:right="140"/>
        <w:spacing w:after="0" w:line="293" w:lineRule="auto"/>
        <w:rPr>
          <w:sz w:val="20"/>
          <w:szCs w:val="20"/>
          <w:color w:val="auto"/>
        </w:rPr>
      </w:pPr>
      <w:r>
        <w:rPr>
          <w:rFonts w:ascii="Arial" w:cs="Arial" w:eastAsia="Arial" w:hAnsi="Arial"/>
          <w:sz w:val="16"/>
          <w:szCs w:val="16"/>
          <w:color w:val="auto"/>
        </w:rPr>
        <w:t>patients with MSI-high endometrial cancer, Merkel cell carcinoma and non-small cell lung cancer. Incyte is also pursuing development of retifanlimab in combination with multiple product candidates from its pipeline. In April 2022, the Company and Incyte executed an amendment to the Incyte License Agreement to add a milestone for U.S. approval of retifanlimab in a specific indication and to exclude certain other regulatory and development achievements with retifanlimab in this same indication from the milestone events of the Incyte License Agreement. In July 2022, the Company and Incyte further amended the Incyte License Agreement to reflect changes related to the payment of certain milestones and Incyte paid the Company $30.0 million in milestone payments, which the Company recognized as revenue during the three months ended September 30, 2022.</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terms of the Incyte License Agreement, as amended, Incyte will lead global development of retifanlimab. Assuming successful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commercialization by Incyte, the Company could receive up to $435.0 million in development and regulatory milestones and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$330.0 million in commercial milestones. From the inception of the Incyte License Agreement through </w:t>
      </w:r>
      <w:r>
        <w:rPr>
          <w:rFonts w:ascii="Arial" w:cs="Arial" w:eastAsia="Arial" w:hAnsi="Arial"/>
          <w:sz w:val="16"/>
          <w:szCs w:val="16"/>
          <w:color w:val="252525"/>
        </w:rPr>
        <w:t>September 30, 2022</w:t>
      </w:r>
      <w:r>
        <w:rPr>
          <w:rFonts w:ascii="Arial" w:cs="Arial" w:eastAsia="Arial" w:hAnsi="Arial"/>
          <w:sz w:val="16"/>
          <w:szCs w:val="16"/>
          <w:color w:val="auto"/>
        </w:rPr>
        <w:t>, the Company has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in development milestones under the Incyte License Agreement. If retifanlimab is approved and commercialized, the Company would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eligible to receive tiered royalties of 15% to 24% on any global net sales. The Company retains the right to develop its pipeline assets in combination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retifanlimab, with Incyte commercializing retifanlimab and the Company commercializing its asset(s), if any such potential combinations are approved.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Company retains the right to manufacture a portion of both companies' global commercial supply needs of retifanlimab, subject to the separate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 supply agreement.</w:t>
      </w:r>
    </w:p>
    <w:p>
      <w:pPr>
        <w:spacing w:after="0" w:line="157"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 xml:space="preserve">The Company evaluated the Incyte License Agreement under the provisions of Accounting Standards Codification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(ASC 606) at inception and identified the following two performance obligations under the agreement: (i) the license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Arial" w:cs="Arial" w:eastAsia="Arial" w:hAnsi="Arial"/>
          <w:sz w:val="16"/>
          <w:szCs w:val="16"/>
          <w:color w:val="252525"/>
        </w:rPr>
        <w:t>September 30, 2022</w:t>
      </w:r>
      <w:r>
        <w:rPr>
          <w:rFonts w:ascii="Arial" w:cs="Arial" w:eastAsia="Arial" w:hAnsi="Arial"/>
          <w:sz w:val="16"/>
          <w:szCs w:val="16"/>
          <w:color w:val="auto"/>
        </w:rPr>
        <w:t xml:space="preserve">, it became probable that a significant reversal of cumulative revenue would not occur for development milestones totaling $100.0 million related to </w:t>
      </w:r>
      <w:r>
        <w:rPr>
          <w:rFonts w:ascii="Arial" w:cs="Arial" w:eastAsia="Arial" w:hAnsi="Arial"/>
          <w:sz w:val="16"/>
          <w:szCs w:val="16"/>
          <w:color w:val="252525"/>
        </w:rPr>
        <w:t>clinical and regulatory activities related to the further advancement of retifanlimab, including Incyte’s initiation of a Phase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252525"/>
        </w:rPr>
        <w:t>3 clinical trial</w:t>
      </w:r>
      <w:r>
        <w:rPr>
          <w:rFonts w:ascii="Arial" w:cs="Arial" w:eastAsia="Arial" w:hAnsi="Arial"/>
          <w:sz w:val="18"/>
          <w:szCs w:val="18"/>
          <w:color w:val="000000"/>
        </w:rPr>
        <w:t>. Therefore, the associated consideration was added to the estimated transaction price and was recognized as revenue</w:t>
      </w:r>
      <w:r>
        <w:rPr>
          <w:rFonts w:ascii="Arial" w:cs="Arial" w:eastAsia="Arial" w:hAnsi="Arial"/>
          <w:sz w:val="21"/>
          <w:szCs w:val="21"/>
          <w:color w:val="252525"/>
        </w:rPr>
        <w:t>.</w:t>
      </w:r>
    </w:p>
    <w:p>
      <w:pPr>
        <w:spacing w:after="0" w:line="24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$30.0 million in revenue under the Incyte License Agreement during the three and nine months ended September 30, 2022. No revenue was recognized under the Incyte License Agreement during the three months ended September 30, 2021. During the nine months ended September 30, 2021, $15.0 million in milestone revenue was recognized under the Incyte License Agreement.</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Incyte Clinical Supply Agreement</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8"/>
          <w:szCs w:val="18"/>
          <w:color w:val="auto"/>
        </w:rPr>
        <w:t>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three months ended September 30, 2022 and 2021, the Company recognized revenue of $0.1 million and $0.2 million, respectively, for services performed under the Incyte Clinical Supply Agreement. During the nine months ended September 30, 2022 and 2021, the Company recognized revenue of $0.6 million and $1.0 million, respectively, for services performed under the Incyte Clinical Supply Agreement.</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Incyte Commercial Supply Agreement</w:t>
      </w:r>
    </w:p>
    <w:p>
      <w:pPr>
        <w:spacing w:after="0" w:line="171" w:lineRule="exact"/>
        <w:rPr>
          <w:sz w:val="20"/>
          <w:szCs w:val="20"/>
          <w:color w:val="auto"/>
        </w:rPr>
      </w:pPr>
    </w:p>
    <w:p>
      <w:pPr>
        <w:ind w:right="80" w:firstLine="756"/>
        <w:spacing w:after="0" w:line="287" w:lineRule="auto"/>
        <w:rPr>
          <w:sz w:val="20"/>
          <w:szCs w:val="20"/>
          <w:color w:val="auto"/>
        </w:rPr>
      </w:pPr>
      <w:r>
        <w:rPr>
          <w:rFonts w:ascii="Arial" w:cs="Arial" w:eastAsia="Arial" w:hAnsi="Arial"/>
          <w:sz w:val="16"/>
          <w:szCs w:val="16"/>
          <w:color w:val="auto"/>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the Incyte Commercial Supply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During the three months ended September 30, 2022 and 2021, the Company recognized de minimis revenue and $1.4 million, respectively, for services performed under the Incyte Commercial Supply Agreement. During the nine months ended September 30, 2022 and 2021, the Company recognized $0.3 million and $7.4 million, respectively, for services performed under the Incyte Commercial Supply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 Limited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Zai Lab Agreement</w:t>
      </w:r>
    </w:p>
    <w:p>
      <w:pPr>
        <w:spacing w:after="0" w:line="17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 Zai Lab has informed the Company that they have decided to discontinue development of tebotelimab for indications they were enrolling in their territory and is evaluating future development plans in other indications.</w:t>
      </w:r>
    </w:p>
    <w:p>
      <w:pPr>
        <w:spacing w:after="0" w:line="14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of which the Company has earned $9.0 million through September 30, 2022.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5" w:name="page16"/>
    <w:bookmarkEnd w:id="15"/>
    <w:p>
      <w:pPr>
        <w:ind w:right="40"/>
        <w:spacing w:after="0" w:line="259" w:lineRule="auto"/>
        <w:rPr>
          <w:sz w:val="20"/>
          <w:szCs w:val="20"/>
          <w:color w:val="auto"/>
        </w:rPr>
      </w:pPr>
      <w:r>
        <w:rPr>
          <w:rFonts w:ascii="Arial" w:cs="Arial" w:eastAsia="Arial" w:hAnsi="Arial"/>
          <w:sz w:val="18"/>
          <w:szCs w:val="18"/>
          <w:color w:val="auto"/>
        </w:rPr>
        <w:t>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w:t>
      </w:r>
    </w:p>
    <w:p>
      <w:pPr>
        <w:spacing w:after="0" w:line="13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The Company re-assesses the transaction price in each reporting period and when events whose outcomes are resolved or other changes in circumstances occur. From 2020 through </w:t>
      </w:r>
      <w:r>
        <w:rPr>
          <w:rFonts w:ascii="Arial" w:cs="Arial" w:eastAsia="Arial" w:hAnsi="Arial"/>
          <w:sz w:val="17"/>
          <w:szCs w:val="17"/>
          <w:color w:val="252525"/>
        </w:rPr>
        <w:t>September 30, 2022</w:t>
      </w:r>
      <w:r>
        <w:rPr>
          <w:rFonts w:ascii="Arial" w:cs="Arial" w:eastAsia="Arial" w:hAnsi="Arial"/>
          <w:sz w:val="17"/>
          <w:szCs w:val="17"/>
          <w:color w:val="auto"/>
        </w:rPr>
        <w:t>, it became probable that a significant reversal of cumulative revenue would not occur for development and regulatory milestones totaling $9.0 million. Therefore, the associated consideration, $8.1 million net of value-added tax withholdings, was added to the estimated transaction price and was recognized as revenue</w:t>
      </w:r>
      <w:r>
        <w:rPr>
          <w:rFonts w:ascii="Arial" w:cs="Arial" w:eastAsia="Arial" w:hAnsi="Arial"/>
          <w:sz w:val="17"/>
          <w:szCs w:val="17"/>
          <w:color w:val="252525"/>
        </w:rPr>
        <w:t>.</w:t>
      </w:r>
      <w:r>
        <w:rPr>
          <w:rFonts w:ascii="Arial" w:cs="Arial" w:eastAsia="Arial" w:hAnsi="Arial"/>
          <w:sz w:val="17"/>
          <w:szCs w:val="17"/>
          <w:color w:val="auto"/>
        </w:rPr>
        <w:t xml:space="preserve"> During the three months ended September 30, 2022, no revenue was recognized, and during the nine months ended September 30, 2022, the Company recognized $4.9 million under the 2018 Zai Lab Agreement. No revenue was recognized during the three and nine months ended September 30, 2021 under the 2018 Zai Lab Agreement.</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Zai Lab Clinical Supply Agreements</w:t>
      </w:r>
    </w:p>
    <w:p>
      <w:pPr>
        <w:spacing w:after="0" w:line="171" w:lineRule="exact"/>
        <w:rPr>
          <w:sz w:val="20"/>
          <w:szCs w:val="20"/>
          <w:color w:val="auto"/>
        </w:rPr>
      </w:pPr>
    </w:p>
    <w:p>
      <w:pPr>
        <w:ind w:right="160" w:firstLine="567"/>
        <w:spacing w:after="0" w:line="288" w:lineRule="auto"/>
        <w:rPr>
          <w:sz w:val="20"/>
          <w:szCs w:val="20"/>
          <w:color w:val="auto"/>
        </w:rPr>
      </w:pPr>
      <w:r>
        <w:rPr>
          <w:rFonts w:ascii="Arial" w:cs="Arial" w:eastAsia="Arial" w:hAnsi="Arial"/>
          <w:sz w:val="16"/>
          <w:szCs w:val="16"/>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that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 No revenue was recognized during the three months ended September 30, 2022, and $0.6 million was recognized related to the Zai Lab Clinical Supply Agreements during the three months ended September 30, 2021. During the nine months ended September 30, 2022 and 2021, the Company recognized revenue of $0.3 million and $2.3 million, respectively, related to the Zai Lab Clinical Supply Agreements.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Zai Lab Agreement</w:t>
      </w:r>
    </w:p>
    <w:p>
      <w:pPr>
        <w:spacing w:after="0" w:line="25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Zai Lab also obtained exclusive, global licenses from the Company to develop, manufacture and commercialize two additional molecules. Zai Lab granted the Company a worldwide, royalty-free, co-exclusive license to conduct the development activities allocated to the Company. In August 2022, the Company and Zai Lab agreed to discontinue research and development of the Lead Program.</w:t>
      </w:r>
    </w:p>
    <w:p>
      <w:pPr>
        <w:spacing w:after="0" w:line="11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Under the terms of the 2021 Zai Lab Agreement, the Lead Program included joint research and development services by both the Company and Zai Lab. For the other programs, Zai Lab can separately negotiate and agree with the Company to perform research and development services in the future.</w:t>
      </w:r>
    </w:p>
    <w:p>
      <w:pPr>
        <w:spacing w:after="0" w:line="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connection with the execution of the 2021 Zai Lab Agreement, Zai Lab paid the Company an upfront payment of $25.0 million. Additionally, as part of the consideration for the rights granted to Zai Lab under the 2021 Zai Lab Agreement, the Company and Zai Lab entered into the Stock Purchase Agreement whereby Zai Lab paid the Company approximately $30.0 million to purchase shares of the Company’s common stock, par value $0.01, at a fixed price of $31.30 which represented a $10.4 million premium over the share price on the Stock Purchase Agreement date.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Assuming successful development and commercialization of the remaining Programs, the Company could receive up to approximately</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$680.0 million in development and regulatory milestones and $600.0 million in commercial milestones. In addition, Zai Lab would pay the Company tiered royalties at percentage rates of mid-single digits to low double digit teens on annual net sales of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16" w:name="page17"/>
    <w:bookmarkEnd w:id="16"/>
    <w:p>
      <w:pPr>
        <w:ind w:firstLine="648"/>
        <w:spacing w:after="0" w:line="271" w:lineRule="auto"/>
        <w:rPr>
          <w:sz w:val="20"/>
          <w:szCs w:val="20"/>
          <w:color w:val="auto"/>
        </w:rPr>
      </w:pPr>
      <w:r>
        <w:rPr>
          <w:rFonts w:ascii="Arial" w:cs="Arial" w:eastAsia="Arial" w:hAnsi="Arial"/>
          <w:sz w:val="17"/>
          <w:szCs w:val="17"/>
          <w:color w:val="auto"/>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concluded that the estimated transaction price is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spacing w:after="0" w:line="13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a market participant is willing to pay for the product or service. The estimate was based on consideration of observable inputs, such as values of other preclinical collaboration arrangements adjusted for the Company’s estimate of the probability of success for each Program.</w:t>
      </w:r>
    </w:p>
    <w:p>
      <w:pPr>
        <w:spacing w:after="0" w:line="13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Revenue related to the Lead Program license and related research and development services performance obligation was recognized over time as the research and development activities were performed. The Company utilized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June 2021. During the three months ended September 30, 2022 and 2021, the Company recognized revenue of $1.8 million and $3.7 million, respectively, under the 2021 Zai Lab Agreement. During the nine months ended September 30, 2022 and 2021, the Company recognized revenue of $16.8 million and $18.1 million, respectively, under the 2021 Zai Lab Agreement. As of </w:t>
      </w:r>
      <w:r>
        <w:rPr>
          <w:rFonts w:ascii="Arial" w:cs="Arial" w:eastAsia="Arial" w:hAnsi="Arial"/>
          <w:sz w:val="16"/>
          <w:szCs w:val="16"/>
          <w:color w:val="252525"/>
        </w:rPr>
        <w:t>December 31, 2021, $16.1 million in revenue was deferred, all of which</w:t>
      </w:r>
      <w:r>
        <w:rPr>
          <w:rFonts w:ascii="Arial" w:cs="Arial" w:eastAsia="Arial" w:hAnsi="Arial"/>
          <w:sz w:val="16"/>
          <w:szCs w:val="16"/>
          <w:color w:val="auto"/>
        </w:rPr>
        <w:t xml:space="preserve"> </w:t>
      </w:r>
      <w:r>
        <w:rPr>
          <w:rFonts w:ascii="Arial" w:cs="Arial" w:eastAsia="Arial" w:hAnsi="Arial"/>
          <w:sz w:val="16"/>
          <w:szCs w:val="16"/>
          <w:color w:val="252525"/>
        </w:rPr>
        <w:t xml:space="preserve">was current. </w:t>
      </w:r>
      <w:r>
        <w:rPr>
          <w:rFonts w:ascii="Arial" w:cs="Arial" w:eastAsia="Arial" w:hAnsi="Arial"/>
          <w:sz w:val="16"/>
          <w:szCs w:val="16"/>
          <w:color w:val="000000"/>
        </w:rPr>
        <w:t>As of</w:t>
      </w:r>
      <w:r>
        <w:rPr>
          <w:rFonts w:ascii="Arial" w:cs="Arial" w:eastAsia="Arial" w:hAnsi="Arial"/>
          <w:sz w:val="16"/>
          <w:szCs w:val="16"/>
          <w:color w:val="252525"/>
        </w:rPr>
        <w:t xml:space="preserve"> September 30, 2022 there is no revenue deferred under the 2021 Zai Lab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Biotech, Inc.</w:t>
      </w:r>
    </w:p>
    <w:p>
      <w:pPr>
        <w:spacing w:after="0" w:line="171"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In December 2020, the Company entered into a research collaboration and license agreement with Janssen Biotech, Inc.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10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17" w:name="page18"/>
    <w:bookmarkEnd w:id="17"/>
    <w:p>
      <w:pPr>
        <w:ind w:right="160"/>
        <w:spacing w:after="0" w:line="290" w:lineRule="auto"/>
        <w:rPr>
          <w:sz w:val="20"/>
          <w:szCs w:val="20"/>
          <w:color w:val="auto"/>
        </w:rPr>
      </w:pPr>
      <w:r>
        <w:rPr>
          <w:rFonts w:ascii="Arial" w:cs="Arial" w:eastAsia="Arial" w:hAnsi="Arial"/>
          <w:sz w:val="16"/>
          <w:szCs w:val="16"/>
          <w:color w:val="auto"/>
        </w:rPr>
        <w:t xml:space="preserve">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Arial" w:cs="Arial" w:eastAsia="Arial" w:hAnsi="Arial"/>
          <w:sz w:val="16"/>
          <w:szCs w:val="16"/>
          <w:color w:val="252525"/>
        </w:rPr>
        <w:t>fully constrained until the Company concludes that achievement of the milestone is probable and that recognition of revenue related to the</w:t>
      </w:r>
      <w:r>
        <w:rPr>
          <w:rFonts w:ascii="Arial" w:cs="Arial" w:eastAsia="Arial" w:hAnsi="Arial"/>
          <w:sz w:val="16"/>
          <w:szCs w:val="16"/>
          <w:color w:val="auto"/>
        </w:rPr>
        <w:t xml:space="preserve"> </w:t>
      </w:r>
      <w:r>
        <w:rPr>
          <w:rFonts w:ascii="Arial" w:cs="Arial" w:eastAsia="Arial" w:hAnsi="Arial"/>
          <w:sz w:val="16"/>
          <w:szCs w:val="16"/>
          <w:color w:val="252525"/>
        </w:rPr>
        <w:t xml:space="preserve">milestone will not result in a significant reversal in amounts recognized in future periods, </w:t>
      </w:r>
      <w:r>
        <w:rPr>
          <w:rFonts w:ascii="Arial" w:cs="Arial" w:eastAsia="Arial" w:hAnsi="Arial"/>
          <w:sz w:val="16"/>
          <w:szCs w:val="16"/>
          <w:color w:val="000000"/>
        </w:rPr>
        <w:t>and as such have been excluded from the transaction price. Any</w:t>
      </w:r>
      <w:r>
        <w:rPr>
          <w:rFonts w:ascii="Arial" w:cs="Arial" w:eastAsia="Arial" w:hAnsi="Arial"/>
          <w:sz w:val="16"/>
          <w:szCs w:val="16"/>
          <w:color w:val="252525"/>
        </w:rPr>
        <w:t xml:space="preserve"> </w:t>
      </w:r>
      <w:r>
        <w:rPr>
          <w:rFonts w:ascii="Arial" w:cs="Arial" w:eastAsia="Arial" w:hAnsi="Arial"/>
          <w:sz w:val="16"/>
          <w:szCs w:val="16"/>
          <w:color w:val="000000"/>
        </w:rPr>
        <w:t>consideration related to sales-based 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111" w:lineRule="exact"/>
        <w:rPr>
          <w:sz w:val="20"/>
          <w:szCs w:val="20"/>
          <w:color w:val="auto"/>
        </w:rPr>
      </w:pPr>
    </w:p>
    <w:p>
      <w:pPr>
        <w:ind w:firstLine="756"/>
        <w:spacing w:after="0" w:line="255" w:lineRule="auto"/>
        <w:rPr>
          <w:sz w:val="20"/>
          <w:szCs w:val="20"/>
          <w:color w:val="auto"/>
        </w:rPr>
      </w:pPr>
      <w:r>
        <w:rPr>
          <w:rFonts w:ascii="Arial" w:cs="Arial" w:eastAsia="Arial" w:hAnsi="Arial"/>
          <w:sz w:val="18"/>
          <w:szCs w:val="18"/>
          <w:color w:val="252525"/>
        </w:rPr>
        <w:t xml:space="preserve">The Company recognized the $20.0 million allocated to the </w:t>
      </w:r>
      <w:r>
        <w:rPr>
          <w:rFonts w:ascii="Arial" w:cs="Arial" w:eastAsia="Arial" w:hAnsi="Arial"/>
          <w:sz w:val="18"/>
          <w:szCs w:val="18"/>
          <w:color w:val="000000"/>
        </w:rPr>
        <w:t>license when it satisfied its performance obligation and transferred the license to</w:t>
      </w:r>
      <w:r>
        <w:rPr>
          <w:rFonts w:ascii="Arial" w:cs="Arial" w:eastAsia="Arial" w:hAnsi="Arial"/>
          <w:sz w:val="18"/>
          <w:szCs w:val="18"/>
          <w:color w:val="252525"/>
        </w:rPr>
        <w:t xml:space="preserve"> </w:t>
      </w:r>
      <w:r>
        <w:rPr>
          <w:rFonts w:ascii="Arial" w:cs="Arial" w:eastAsia="Arial" w:hAnsi="Arial"/>
          <w:sz w:val="18"/>
          <w:szCs w:val="18"/>
          <w:color w:val="000000"/>
        </w:rPr>
        <w:t>Janssen in December 2020. The $2.2 million allocated to the research and development activities is being recognized over the Company’s involvement in the research term, which is estimated to be less than two years. During the three months ended September 30, 2022 and 2021, the Company recognized revenue of $0.1 million and $0.2 million, respectively, for research and development activities performed under the Janssen Agreement. During the nine months ended September 30, 2022, and 2021 the Company recognized revenue of $0.7 million and $1.1 million, respectively, for research and development activities performed under the Janssen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I-Mab Biopharma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I-Mab License Agreement</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the Company. In August 2022, I-Mab notified the Company of its intention to terminate the I-Mab License Agreement effective February 25, 2023.</w:t>
      </w:r>
    </w:p>
    <w:p>
      <w:pPr>
        <w:spacing w:after="0" w:line="12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Under the terms of the I-Mab License Agreement, I-Mab paid the Company an upfront payment of $15.0 million, and $5.0 million of milestone revenue has been earned from the inception of the I-Mab License Agreement through </w:t>
      </w:r>
      <w:r>
        <w:rPr>
          <w:rFonts w:ascii="Arial" w:cs="Arial" w:eastAsia="Arial" w:hAnsi="Arial"/>
          <w:sz w:val="18"/>
          <w:szCs w:val="18"/>
          <w:color w:val="252525"/>
        </w:rPr>
        <w:t>September 30, 2022.</w:t>
      </w:r>
    </w:p>
    <w:p>
      <w:pPr>
        <w:spacing w:after="0" w:line="11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Company evaluated the I-Mab License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and I-Mab received a one-time credit of eighty percent of the total amount of such costs against the milestone achieved during 2021.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during 2021.</w:t>
      </w:r>
    </w:p>
    <w:p>
      <w:pPr>
        <w:spacing w:after="0" w:line="114" w:lineRule="exact"/>
        <w:rPr>
          <w:sz w:val="20"/>
          <w:szCs w:val="20"/>
          <w:color w:val="auto"/>
        </w:rPr>
      </w:pPr>
    </w:p>
    <w:p>
      <w:pPr>
        <w:ind w:right="40" w:firstLine="180"/>
        <w:spacing w:after="0" w:line="293" w:lineRule="auto"/>
        <w:rPr>
          <w:sz w:val="20"/>
          <w:szCs w:val="20"/>
          <w:color w:val="auto"/>
        </w:rPr>
      </w:pPr>
      <w:r>
        <w:rPr>
          <w:rFonts w:ascii="Arial" w:cs="Arial" w:eastAsia="Arial" w:hAnsi="Arial"/>
          <w:sz w:val="16"/>
          <w:szCs w:val="16"/>
          <w:color w:val="auto"/>
        </w:rPr>
        <w:t xml:space="preserve">Revenue under the I-Mab License Agreement was recognized using a cost-based input method according to costs incurred to date compared to estimated total costs. The transfer of control occurs over this time period and, in management’s judgment, was the best measure of progress towards satisfying the performance obligations. During the three months ended September 30, 2022 and 2021, the Company recognized revenue of $3.8 million and $5.5 million, respectively, under the I-Mab License Agreement. During the nine months ended September 30, 2022 and 2021, the Company recognized revenue of $4.5 million and $7.9 million, respectively, under the I-Mab License Agreement. As of December 31, 2021, $4.5 million in revenue was deferred under the I-Mab License Agreement, all of which was current. As of </w:t>
      </w:r>
      <w:r>
        <w:rPr>
          <w:rFonts w:ascii="Arial" w:cs="Arial" w:eastAsia="Arial" w:hAnsi="Arial"/>
          <w:sz w:val="16"/>
          <w:szCs w:val="16"/>
          <w:color w:val="252525"/>
        </w:rPr>
        <w:t>September 30, 2022 there is no revenue deferred under the I-Mab Agreement.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I-Mab Clinical Supply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ind w:right="80" w:firstLine="648"/>
        <w:spacing w:after="0" w:line="253" w:lineRule="auto"/>
        <w:rPr>
          <w:sz w:val="20"/>
          <w:szCs w:val="20"/>
          <w:color w:val="auto"/>
        </w:rPr>
      </w:pPr>
      <w:r>
        <w:rPr>
          <w:rFonts w:ascii="Arial" w:cs="Arial" w:eastAsia="Arial" w:hAnsi="Arial"/>
          <w:sz w:val="18"/>
          <w:szCs w:val="18"/>
          <w:color w:val="auto"/>
        </w:rPr>
        <w:t>In October 2021, the Company entered into an agreement under which the Company is to perform development and manufacturing services for I-Mab’s clinical needs of enoblituzumab (I-Mab Clinical Supply Agreement). The Company evaluated this agreement under ASC 606 and identified one performance obligation under the agreement: to perform services related to the development and manufacturing of the clinical supply of enoblituzumab.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and nine months ended September 30, 2022, the Company recognized revenue of $0.3 million and $1.5 million, respectively, for research and development activities performed under the I-Mab Clinical Supply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Services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2022, the Company entered into a Manufacturing and Clinical Supply Agreement with Incyte (Incyte Manufacturing and Clinical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Supply Agreement) to provide manufacturing services to produce certain Incyte bulk drug substance over a three-year period at one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facilities. Under the terms of the Incyte Manufacturing and Clinical Supply Agreement, the Company received an upfront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and is eligible to receive annual fixed payments paid quarterly over the term of the contract totaling $14.4 million. The Company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reimbursed for materials used to manufacture product as well as other costs incurred to provide manufacturing services. In July 2022,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Incyte executed an amendment to the Incyte Manufacturing and Clinical Supply Agreement which extended the term for one year and provided for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annual fixed payment of $5.1 million (July 2022 Incyte Amendment).</w:t>
      </w:r>
    </w:p>
    <w:p>
      <w:pPr>
        <w:spacing w:after="0" w:line="10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received of $10.0 million and the annual fixed payments 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spacing w:after="0" w:line="58"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 xml:space="preserve">The Company recognized revenue of $1.1 million and $5.1 million under the Incyte Manufacturing and Clinical Supply Agreement during the three and nine months ended </w:t>
      </w:r>
      <w:r>
        <w:rPr>
          <w:rFonts w:ascii="Arial" w:cs="Arial" w:eastAsia="Arial" w:hAnsi="Arial"/>
          <w:sz w:val="18"/>
          <w:szCs w:val="18"/>
          <w:color w:val="252525"/>
        </w:rPr>
        <w:t>September 30, 2022, respectively</w:t>
      </w:r>
      <w:r>
        <w:rPr>
          <w:rFonts w:ascii="Arial" w:cs="Arial" w:eastAsia="Arial" w:hAnsi="Arial"/>
          <w:sz w:val="18"/>
          <w:szCs w:val="18"/>
          <w:color w:val="auto"/>
        </w:rPr>
        <w:t xml:space="preserve">. As of </w:t>
      </w:r>
      <w:r>
        <w:rPr>
          <w:rFonts w:ascii="Arial" w:cs="Arial" w:eastAsia="Arial" w:hAnsi="Arial"/>
          <w:sz w:val="18"/>
          <w:szCs w:val="18"/>
          <w:color w:val="252525"/>
        </w:rPr>
        <w:t>September 30, 2022,</w:t>
      </w:r>
      <w:r>
        <w:rPr>
          <w:rFonts w:ascii="Arial" w:cs="Arial" w:eastAsia="Arial" w:hAnsi="Arial"/>
          <w:sz w:val="18"/>
          <w:szCs w:val="18"/>
          <w:color w:val="auto"/>
        </w:rPr>
        <w:t xml:space="preserve"> $9.5 million </w:t>
      </w:r>
      <w:r>
        <w:rPr>
          <w:rFonts w:ascii="Arial" w:cs="Arial" w:eastAsia="Arial" w:hAnsi="Arial"/>
          <w:sz w:val="18"/>
          <w:szCs w:val="18"/>
          <w:color w:val="252525"/>
        </w:rPr>
        <w:t>in revenue was deferred under this agreement,</w:t>
      </w:r>
      <w:r>
        <w:rPr>
          <w:rFonts w:ascii="Arial" w:cs="Arial" w:eastAsia="Arial" w:hAnsi="Arial"/>
          <w:sz w:val="18"/>
          <w:szCs w:val="18"/>
          <w:color w:val="auto"/>
        </w:rPr>
        <w:t xml:space="preserve"> $4.4 million </w:t>
      </w:r>
      <w:r>
        <w:rPr>
          <w:rFonts w:ascii="Arial" w:cs="Arial" w:eastAsia="Arial" w:hAnsi="Arial"/>
          <w:sz w:val="18"/>
          <w:szCs w:val="18"/>
          <w:color w:val="252525"/>
        </w:rPr>
        <w:t>of which was current and</w:t>
      </w:r>
      <w:r>
        <w:rPr>
          <w:rFonts w:ascii="Arial" w:cs="Arial" w:eastAsia="Arial" w:hAnsi="Arial"/>
          <w:sz w:val="18"/>
          <w:szCs w:val="18"/>
          <w:color w:val="auto"/>
        </w:rPr>
        <w:t xml:space="preserve"> $5.1 million </w:t>
      </w:r>
      <w:r>
        <w:rPr>
          <w:rFonts w:ascii="Arial" w:cs="Arial" w:eastAsia="Arial" w:hAnsi="Arial"/>
          <w:sz w:val="18"/>
          <w:szCs w:val="18"/>
          <w:color w:val="252525"/>
        </w:rPr>
        <w:t>of which was non-current.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Government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71"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 Company entered into a contract with National Institute of Allergy and Infectious Diseases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10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Since the inception of the NIAID Contract, NIAID has exercised the two options contemplated in the original contract and executed modifications such that the total funded contract value as of September 30, 2022 is $25.1 million. In addition, the most recent modification changed the period of performance under the NIAID Contract to end in July 2023. During the three months ended September 30, 2022 and 2021, the Company recognized revenue under the NIAID Contract of $0.5 million and $0.1 million, respectively. During the nine months ended September 30, 2022 and 2021, the Company recognized revenue under the NIAID Contract of $1.5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8.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nine months ended September 30, 2022, 65,125 shares of common stock were purchased under the 2016 ESPP.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September 30, 2022, under the 2003 Plan, there were options to purchase an aggregate of 103,040 shares of common stock outstanding.</w:t>
      </w:r>
    </w:p>
    <w:p>
      <w:pPr>
        <w:spacing w:after="0" w:line="11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October 2013, the Company implemented the 2013 Plan. The 2013 Plan provides for the grant of stock options and other stock-based awards, as well as cash-based performance awards. The number of shares of common stock reserved for issuance under the 2013 Plan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Company's Board of Directors. During the nine months ended September 30, 2022, the maximum number of shares of common stock authorized to be issued by the Company under the 2013 Plan was increased to 15,816,949.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September 30, 2022, there were options to purchase an aggregate of 10,224,203 shares of common stock outstanding.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08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0"/>
                <w:szCs w:val="20"/>
                <w:color w:val="auto"/>
              </w:rPr>
            </w:pPr>
          </w:p>
        </w:tc>
        <w:tc>
          <w:tcPr>
            <w:tcW w:w="32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36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w:t>
            </w: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15,697</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430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94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87.8% -90.8%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w:t>
            </w:r>
          </w:p>
        </w:tc>
        <w:tc>
          <w:tcPr>
            <w:tcW w:w="960" w:type="dxa"/>
            <w:vAlign w:val="bottom"/>
          </w:tcPr>
          <w:p>
            <w:pPr>
              <w:ind w:left="40"/>
              <w:spacing w:after="0"/>
              <w:rPr>
                <w:sz w:val="20"/>
                <w:szCs w:val="20"/>
                <w:color w:val="auto"/>
              </w:rPr>
            </w:pPr>
            <w:r>
              <w:rPr>
                <w:rFonts w:ascii="Arial" w:cs="Arial" w:eastAsia="Arial" w:hAnsi="Arial"/>
                <w:sz w:val="18"/>
                <w:szCs w:val="18"/>
                <w:color w:val="auto"/>
              </w:rPr>
              <w:t>- 87.4%</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 - 3.6%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- 1.4%</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500" w:type="dxa"/>
            <w:vAlign w:val="bottom"/>
            <w:gridSpan w:val="2"/>
          </w:tcPr>
          <w:p>
            <w:pPr>
              <w:ind w:left="820"/>
              <w:spacing w:after="0"/>
              <w:rPr>
                <w:sz w:val="20"/>
                <w:szCs w:val="20"/>
                <w:color w:val="auto"/>
              </w:rPr>
            </w:pPr>
            <w:r>
              <w:rPr>
                <w:rFonts w:ascii="Arial" w:cs="Arial" w:eastAsia="Arial" w:hAnsi="Arial"/>
                <w:sz w:val="18"/>
                <w:szCs w:val="18"/>
                <w:color w:val="auto"/>
              </w:rPr>
              <w:t>5.95 years</w:t>
            </w:r>
          </w:p>
        </w:tc>
        <w:tc>
          <w:tcPr>
            <w:tcW w:w="1800" w:type="dxa"/>
            <w:vAlign w:val="bottom"/>
            <w:gridSpan w:val="2"/>
          </w:tcPr>
          <w:p>
            <w:pPr>
              <w:ind w:left="540"/>
              <w:spacing w:after="0"/>
              <w:rPr>
                <w:sz w:val="20"/>
                <w:szCs w:val="20"/>
                <w:color w:val="auto"/>
              </w:rPr>
            </w:pPr>
            <w:r>
              <w:rPr>
                <w:rFonts w:ascii="Arial" w:cs="Arial" w:eastAsia="Arial" w:hAnsi="Arial"/>
                <w:sz w:val="18"/>
                <w:szCs w:val="18"/>
                <w:color w:val="auto"/>
              </w:rPr>
              <w:t>6.25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89"/>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Weighted-Average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92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6"/>
                <w:szCs w:val="16"/>
                <w:color w:val="auto"/>
              </w:rPr>
            </w:pPr>
          </w:p>
        </w:tc>
        <w:tc>
          <w:tcPr>
            <w:tcW w:w="1380" w:type="dxa"/>
            <w:vAlign w:val="bottom"/>
          </w:tcPr>
          <w:p>
            <w:pPr>
              <w:jc w:val="center"/>
              <w:ind w:left="430"/>
              <w:spacing w:after="0" w:line="189" w:lineRule="exact"/>
              <w:rPr>
                <w:sz w:val="20"/>
                <w:szCs w:val="20"/>
                <w:color w:val="auto"/>
              </w:rPr>
            </w:pPr>
            <w:r>
              <w:rPr>
                <w:rFonts w:ascii="Arial" w:cs="Arial" w:eastAsia="Arial" w:hAnsi="Arial"/>
                <w:sz w:val="18"/>
                <w:szCs w:val="18"/>
                <w:b w:val="1"/>
                <w:bCs w:val="1"/>
                <w:color w:val="auto"/>
                <w:w w:val="87"/>
              </w:rPr>
              <w:t>Average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left="170"/>
              <w:spacing w:after="0" w:line="189" w:lineRule="exact"/>
              <w:rPr>
                <w:sz w:val="20"/>
                <w:szCs w:val="20"/>
                <w:color w:val="auto"/>
              </w:rPr>
            </w:pPr>
            <w:r>
              <w:rPr>
                <w:rFonts w:ascii="Arial" w:cs="Arial" w:eastAsia="Arial" w:hAnsi="Arial"/>
                <w:sz w:val="18"/>
                <w:szCs w:val="18"/>
                <w:b w:val="1"/>
                <w:bCs w:val="1"/>
                <w:color w:val="auto"/>
                <w:w w:val="93"/>
              </w:rPr>
              <w:t>Contractual Term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Exercise Price</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8,373,921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21.47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2,730,597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920" w:type="dxa"/>
            <w:vAlign w:val="bottom"/>
          </w:tcPr>
          <w:p>
            <w:pPr>
              <w:jc w:val="right"/>
              <w:spacing w:after="0"/>
              <w:rPr>
                <w:sz w:val="20"/>
                <w:szCs w:val="20"/>
                <w:color w:val="auto"/>
              </w:rPr>
            </w:pPr>
            <w:r>
              <w:rPr>
                <w:rFonts w:ascii="Arial" w:cs="Arial" w:eastAsia="Arial" w:hAnsi="Arial"/>
                <w:sz w:val="18"/>
                <w:szCs w:val="18"/>
                <w:color w:val="auto"/>
              </w:rPr>
              <w:t>(427,074)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16.05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(267,238)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Arial" w:cs="Arial" w:eastAsia="Arial" w:hAnsi="Arial"/>
                <w:sz w:val="18"/>
                <w:szCs w:val="18"/>
                <w:color w:val="auto"/>
              </w:rPr>
              <w:t>Outstanding, September 30, 2022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10,327,243</w:t>
            </w:r>
          </w:p>
        </w:tc>
        <w:tc>
          <w:tcPr>
            <w:tcW w:w="150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18.63</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 of September 30, 2022:</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Exercisable</w:t>
            </w:r>
          </w:p>
        </w:tc>
        <w:tc>
          <w:tcPr>
            <w:tcW w:w="1920" w:type="dxa"/>
            <w:vAlign w:val="bottom"/>
          </w:tcPr>
          <w:p>
            <w:pPr>
              <w:jc w:val="right"/>
              <w:spacing w:after="0"/>
              <w:rPr>
                <w:sz w:val="20"/>
                <w:szCs w:val="20"/>
                <w:color w:val="auto"/>
              </w:rPr>
            </w:pPr>
            <w:r>
              <w:rPr>
                <w:rFonts w:ascii="Arial" w:cs="Arial" w:eastAsia="Arial" w:hAnsi="Arial"/>
                <w:sz w:val="18"/>
                <w:szCs w:val="18"/>
                <w:color w:val="auto"/>
              </w:rPr>
              <w:t>6,455,853</w:t>
            </w:r>
          </w:p>
        </w:tc>
        <w:tc>
          <w:tcPr>
            <w:tcW w:w="150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21.77</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9,622,594</w:t>
            </w:r>
          </w:p>
        </w:tc>
        <w:tc>
          <w:tcPr>
            <w:tcW w:w="15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weighted-average grant-date fair value of options granted during the nine months ended September 30, 2022 and 2021 was $6.89 and $15.21, respectively. The total intrinsic value of options exercised during the nine months ended September 30, 2022 and 2021 was approximately $0.5 million and $3.2 million, respectively. The total cash received for options exercised during the nine months ended September 30, 2022 and 2021 was $0.3 million and $5.4 million, respectively. The total fair value of shares vested in the nine months ended September 30, 2022 and 2021 was approximately $15.1 million and $14.8 million, respectively. As of September 30, 2022, the total unrecognized compensation expense related to unvested stock options, net of related forfeiture estimates, was approximately $28.6 million, which the Company expects to recognize over a weighted-average period of approximately 1.4 years.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grants restricted stock units (RSUs) under the 2013 Plan to employees from time to time as a component of their compensation. During the nine months ended September 30, 2022, the Company awarded RSUs to employees in conjunction with the annual performance review process. Each RSU vests over a two-year period and entitles the holder to receive one share of the Company's common stock when the RSU vests. Compensation expense is recognized on a straight-line basis over the vesting period.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w w:val="93"/>
              </w:rPr>
              <w:t>The following table summarizes RSU activity during the nine months ended September 30, 2022:</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56"/>
        </w:trPr>
        <w:tc>
          <w:tcPr>
            <w:tcW w:w="6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Weighted-Average</w:t>
            </w:r>
          </w:p>
        </w:tc>
      </w:tr>
      <w:tr>
        <w:trPr>
          <w:trHeight w:val="243"/>
        </w:trPr>
        <w:tc>
          <w:tcPr>
            <w:tcW w:w="61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Grant Date Fair Value</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230"/>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476,772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30"/>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(41,000)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2022</w:t>
            </w:r>
          </w:p>
        </w:tc>
        <w:tc>
          <w:tcPr>
            <w:tcW w:w="16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446,827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At September 30, 2022, there was $2.6 million of total unrecognized compensation cost related to unvested RSUs, which the Company expects to recognize over a remaining weighted-average period of approximately 1.2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September 13, 2019, a securities class action complaint was filed in the U.S. District Court for the District of Maryland (District Court)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On September 29, 2021, the District Court issued an Order dismissing the case, with prejudice. On October 28, 2021 the Lead Plaintiff filed a Notice of Appeal. The appeal is now pending in the Fourth Circuit.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right="60"/>
        <w:spacing w:after="0" w:line="308" w:lineRule="auto"/>
        <w:rPr>
          <w:sz w:val="20"/>
          <w:szCs w:val="20"/>
          <w:color w:val="auto"/>
        </w:rPr>
      </w:pPr>
      <w:r>
        <w:rPr>
          <w:rFonts w:ascii="Arial" w:cs="Arial" w:eastAsia="Arial" w:hAnsi="Arial"/>
          <w:sz w:val="17"/>
          <w:szCs w:val="17"/>
          <w:color w:val="auto"/>
        </w:rPr>
        <w:t>Company intends to vigorously defend against this action. However, the outcome of this legal proceeding is uncertain at this time and the Company cannot reasonably estimate a range of loss, if any. Accordingly, the Company has not accrued any liability associated with this action.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Subsequent Events</w:t>
      </w:r>
    </w:p>
    <w:p>
      <w:pPr>
        <w:spacing w:after="0" w:line="17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October 14, 2022, the Company and Gilead Sciences, Inc. (Gilead) entered into an exclusive option and collaboration agreement (Gilead Agreement) to develop MGD024, an investigational, bispecific antibody that binds CD123 and CD3 using the Company’s DART platform, and up to two additional bispecific research programs. The agreement grants Gilead the option to license MGD024, a potential treatment for certain blood cancers, including acute myeloid leukemia (AML) and myelodysplastic syndromes (MDS).</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part of the Gilead Agreement, Gilead paid the Company an upfront payment of $60.0 million and the Company will be eligible to receive up to $1.7 billion in target nomination, option fees, and development, regulatory and commercial milestones. The Company will also be eligible to receive tiered, low double-digit royalties on worldwide net sales of MGD024 and a flat royalty on worldwide net sales of products resulting from two research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2" w:name="page23"/>
    <w:bookmarkEnd w:id="22"/>
    <w:p>
      <w:pPr>
        <w:ind w:left="20"/>
        <w:spacing w:after="0"/>
        <w:tabs>
          <w:tab w:leader="none" w:pos="9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08" w:lineRule="exact"/>
        <w:rPr>
          <w:sz w:val="20"/>
          <w:szCs w:val="20"/>
          <w:color w:val="auto"/>
        </w:rPr>
      </w:pPr>
    </w:p>
    <w:p>
      <w:pPr>
        <w:ind w:right="220" w:firstLine="810"/>
        <w:spacing w:after="0" w:line="29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biopharmaceutical company focused on developing and commercializing innovative antibody-based therapeutics for the treatment of cancer. We have a pipeline of product candidates being evaluated in clinical trials sponsored by us or our collaborators. These product candidates include multiple immuno-oncology programs, some of which were created primarily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2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commenced active operations in 2000, and have since devoted substantially all of our resources to staffing our company, developing our technology platforms, identifying potential product candidates, undertaking preclinical studies, conducting clinical trials, developing collaborations, business planning and raising capital. We only began generating revenues from the sale of products in 2021.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September 30, 2022, combined with the $60.0 million received from Gilead Sciences, Inc. (Gilead) under the option and collaboration agreement executed in October 2022, anticipated and potential collaboration payments, product revenues and savings from the execution of our corporate restructuring plan announced in August 2022, should enable us to fund our operations into mid-2024. Our expected funding requirements reflect anticipated expenditures related to the planned Phase 2 portion of the MGC018 clinical trial in metastatic castration-resistant prostate cancer (TAMARACK study), as well as our other clinical and preclinical studies currently ongoing.</w:t>
      </w:r>
    </w:p>
    <w:p>
      <w:pPr>
        <w:spacing w:after="0" w:line="21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Through September 30, 2022, we had an accumulated deficit of $1.1 billion. We expect that over the next several years this deficit will increase as we continue to incur research and development expense in connection with our ongoing preclinical and clinical studies.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COVID-19 pandemic, including the resulting adverse macroeconomic conditions, has negatively impacted the global economy, created significant financial market volatility, disrupted global supply chains, and resulted in a significant number of infections and deaths worldwide. In addition, several national, state and local governments have placed restrictions on people from gathering in groups or interacting within a certain physical distance.</w:t>
      </w:r>
    </w:p>
    <w:p>
      <w:pPr>
        <w:spacing w:after="0" w:line="9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and its variants continue to evolve and we continue to monitor our business very closely to try and mitigate any potential impacts. We expect the pandemic to continue to have some near-term impact on the initiation of new studies and on clinical trial enrollment. Significant delays in the timing of our clinical trials and in regulatory reviews could adversely affect our ability to commercialize the product candidates in our pipeline. We are classified as a government contractor and were required to comply with Executive Order 14042, which the federal government has indicated it is not currently enforcing. Should the federal government reinstate a vaccination requirement for contractors, we may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23" w:name="page24"/>
    <w:bookmarkEnd w:id="23"/>
    <w:p>
      <w:pPr>
        <w:ind w:right="20"/>
        <w:spacing w:after="0" w:line="286" w:lineRule="auto"/>
        <w:rPr>
          <w:sz w:val="20"/>
          <w:szCs w:val="20"/>
          <w:color w:val="auto"/>
        </w:rPr>
      </w:pPr>
      <w:r>
        <w:rPr>
          <w:rFonts w:ascii="Arial" w:cs="Arial" w:eastAsia="Arial" w:hAnsi="Arial"/>
          <w:sz w:val="17"/>
          <w:szCs w:val="17"/>
          <w:color w:val="auto"/>
        </w:rPr>
        <w:t>required to implement an additional company-wide vaccination requirement for all employees, with certain exceptions. To date, we do not believe our 2021 vaccination requirement resulted in other than minimal workforce attrition nor did it result in material difficulty securing labor needs. If we reinstitute a vaccination or vaccination booster requirement, and associated attrition is significant, our business could be adversely affected.</w:t>
      </w:r>
    </w:p>
    <w:p>
      <w:pPr>
        <w:spacing w:after="0" w:line="5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the foregoing, we cannot precisely predict the impact that the COVID-19 pandemic will have in the future due to numerous uncertainties, including the severity, duration and resurgences of the disease and new variants, actions that may be taken by governmental authorities, the impact to the business of potential variations or disruptions in our supply chain, and other factors identified in Part I, Item 1A. “Risk Factors” in our Annual Report on Form 10-K for the year ended December 31, 2021. Given these uncertainties, the COVID-19 pandemic could disrupt the business of certain of our collaborators and impact our business operations and our ability to execute on our associated business strategies and initiatives, and adversely impact our consolidated results of operations and/or our financial condition in the future. We will continue to closely monitor and evaluate the nature and extent of the impact of the COVID-19 pandemic to our business, consolidated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approach is to develop product candidates either by ourselves or in collaboration with partners.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08" w:lineRule="exact"/>
        <w:rPr>
          <w:sz w:val="20"/>
          <w:szCs w:val="20"/>
          <w:color w:val="auto"/>
        </w:rPr>
      </w:pPr>
    </w:p>
    <w:p>
      <w:pPr>
        <w:ind w:left="980" w:hanging="324"/>
        <w:spacing w:after="0" w:line="284" w:lineRule="auto"/>
        <w:tabs>
          <w:tab w:leader="none" w:pos="941" w:val="left"/>
        </w:tabs>
        <w:numPr>
          <w:ilvl w:val="0"/>
          <w:numId w:val="7"/>
        </w:numPr>
        <w:rPr>
          <w:rFonts w:ascii="Arial" w:cs="Arial" w:eastAsia="Arial" w:hAnsi="Arial"/>
          <w:sz w:val="18"/>
          <w:szCs w:val="18"/>
          <w:b w:val="1"/>
          <w:bCs w:val="1"/>
          <w:i w:val="1"/>
          <w:iCs w:val="1"/>
          <w:color w:val="252525"/>
        </w:rPr>
      </w:pPr>
      <w:r>
        <w:rPr>
          <w:rFonts w:ascii="Arial" w:cs="Arial" w:eastAsia="Arial" w:hAnsi="Arial"/>
          <w:sz w:val="16"/>
          <w:szCs w:val="16"/>
          <w:i w:val="1"/>
          <w:iCs w:val="1"/>
          <w:color w:val="auto"/>
        </w:rPr>
        <w:t xml:space="preserve">Incyte. </w:t>
      </w:r>
      <w:r>
        <w:rPr>
          <w:rFonts w:ascii="Arial" w:cs="Arial" w:eastAsia="Arial" w:hAnsi="Arial"/>
          <w:sz w:val="16"/>
          <w:szCs w:val="16"/>
          <w:color w:val="auto"/>
        </w:rPr>
        <w:t>In 2017, we entered into an exclusive global collaboration and license agreement with Incyte Corporation (Incyte) for retifanlimab,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investigational monoclonal antibody that 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 In July 2021, Incyte announced that the U.S. Food and Drug Administration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were needed to demonstrate the clinical benefit of retifanlimab for the submitted indication, and that Incyte was reviewing the CRL and would discuss next steps with the FDA. Incyte subsequently withdrew its European application for marketing authorization of retifanlimab for the treatment of squamous carcinoma of the anal canal. Incyte has stated it is pursuing development of retifanlimab in potentially registration-enabling studies beyond squamous cell carcinoma of the anal canal, including in patients with MSI-high endometrial cancer, Merkel cell carcinoma and non-small cell lung cancer. Incyte is also pursuing development of retifanlimab in combination with multiple product candidates from its pipeline. In April 2022, we and Incyte executed an amendment to the Incyte License Agreement to add a milestone for U.S. approval of retifanlimab in a specific indication and to exclude certain other regulatory and development achievements with retifanlimab in this same indication from the milestone events of the Incyte License Agreement. In July 2022, we and Incyte further amended the Incyte License Agreement to reflect changes related to the payment of certain milestones and we received $30.0 million in milestone payments from Incyte.</w:t>
      </w:r>
    </w:p>
    <w:p>
      <w:pPr>
        <w:spacing w:after="0" w:line="202" w:lineRule="exact"/>
        <w:rPr>
          <w:sz w:val="20"/>
          <w:szCs w:val="20"/>
          <w:color w:val="auto"/>
        </w:rPr>
      </w:pPr>
    </w:p>
    <w:p>
      <w:pPr>
        <w:ind w:left="980" w:right="80"/>
        <w:spacing w:after="0" w:line="289" w:lineRule="auto"/>
        <w:rPr>
          <w:sz w:val="20"/>
          <w:szCs w:val="20"/>
          <w:color w:val="auto"/>
        </w:rPr>
      </w:pPr>
      <w:r>
        <w:rPr>
          <w:rFonts w:ascii="Arial" w:cs="Arial" w:eastAsia="Arial" w:hAnsi="Arial"/>
          <w:sz w:val="16"/>
          <w:szCs w:val="16"/>
          <w:color w:val="auto"/>
        </w:rPr>
        <w:t>Under the terms of the Incyte License Agreement, as amended, Incyte leads global development of retifanlimab. Assuming successful development and commercialization of retifanlimab by Incyte, we could receive total development and regulatory milestones of up to approximately $435.0 million and up to $330.0 million in commercial milestones. We received $100.0 million of the total development milestones through September 30, 2022.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ind w:left="324" w:right="60"/>
        <w:spacing w:after="0" w:line="254" w:lineRule="auto"/>
        <w:rPr>
          <w:sz w:val="20"/>
          <w:szCs w:val="20"/>
          <w:color w:val="auto"/>
        </w:rPr>
      </w:pPr>
      <w:r>
        <w:rPr>
          <w:rFonts w:ascii="Arial" w:cs="Arial" w:eastAsia="Arial" w:hAnsi="Arial"/>
          <w:sz w:val="18"/>
          <w:szCs w:val="18"/>
          <w:color w:val="auto"/>
        </w:rPr>
        <w:t>In January 2022, we entered into a Manufacturing and Clinical Supply Agreement with Incyte (Incyte Manufacturing and Clinical Supply Agreement) to provide manufacturing services to produce certain Incyte bulk drug substance over a three-year period at one of our manufacturing facilities. Under the terms of the Incyte Manufacturing and Clinical Supply Agreement, we received an upfront payment of $10.0 million and are eligible to receive annual fixed payments paid quarterly over the term of the contract totaling $14.4 million. We will also be reimbursed for materials used to manufacture product as well as other costs incurred to provide manufacturing services. In July 2022, we and Incyte executed an amendment to the Incyte Manufacturing and Clinical Supply Agreement which extended the term for one year and provided for an additional annual fixed payment of $5.1 million.</w:t>
      </w:r>
    </w:p>
    <w:p>
      <w:pPr>
        <w:spacing w:after="0" w:line="141" w:lineRule="exact"/>
        <w:rPr>
          <w:sz w:val="20"/>
          <w:szCs w:val="20"/>
          <w:color w:val="auto"/>
        </w:rPr>
      </w:pPr>
    </w:p>
    <w:p>
      <w:pPr>
        <w:ind w:left="324" w:right="40" w:hanging="324"/>
        <w:spacing w:after="0" w:line="272"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Zai Lab</w:t>
      </w:r>
      <w:r>
        <w:rPr>
          <w:rFonts w:ascii="Arial" w:cs="Arial" w:eastAsia="Arial" w:hAnsi="Arial"/>
          <w:sz w:val="17"/>
          <w:szCs w:val="17"/>
          <w:color w:val="auto"/>
        </w:rPr>
        <w:t>. In 2018, we entered into a collaboration and license agreement with Zai Lab Limited (Zai Lab) under which Zai Lab obtained</w:t>
      </w:r>
      <w:r>
        <w:rPr>
          <w:rFonts w:ascii="Arial" w:cs="Arial" w:eastAsia="Arial" w:hAnsi="Arial"/>
          <w:sz w:val="17"/>
          <w:szCs w:val="17"/>
          <w:i w:val="1"/>
          <w:iCs w:val="1"/>
          <w:color w:val="auto"/>
        </w:rPr>
        <w:t xml:space="preserve"> </w:t>
      </w:r>
      <w:r>
        <w:rPr>
          <w:rFonts w:ascii="Arial" w:cs="Arial" w:eastAsia="Arial" w:hAnsi="Arial"/>
          <w:sz w:val="17"/>
          <w:szCs w:val="17"/>
          <w:color w:val="auto"/>
        </w:rPr>
        <w:t>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 Zai Lab has informed us that they have decided to discontinue development of tebotelimab for indications they were enrolling in their territory and is evaluating future development plans in other indications.</w:t>
      </w:r>
    </w:p>
    <w:p>
      <w:pPr>
        <w:spacing w:after="0" w:line="123" w:lineRule="exact"/>
        <w:rPr>
          <w:rFonts w:ascii="Arial" w:cs="Arial" w:eastAsia="Arial" w:hAnsi="Arial"/>
          <w:sz w:val="17"/>
          <w:szCs w:val="17"/>
          <w:color w:val="auto"/>
        </w:rPr>
      </w:pPr>
    </w:p>
    <w:p>
      <w:pPr>
        <w:ind w:left="324" w:right="240"/>
        <w:spacing w:after="0" w:line="255" w:lineRule="auto"/>
        <w:rPr>
          <w:rFonts w:ascii="Arial" w:cs="Arial" w:eastAsia="Arial" w:hAnsi="Arial"/>
          <w:sz w:val="17"/>
          <w:szCs w:val="17"/>
          <w:color w:val="auto"/>
        </w:rPr>
      </w:pPr>
      <w:r>
        <w:rPr>
          <w:rFonts w:ascii="Arial" w:cs="Arial" w:eastAsia="Arial" w:hAnsi="Arial"/>
          <w:sz w:val="18"/>
          <w:szCs w:val="18"/>
          <w:color w:val="auto"/>
        </w:rPr>
        <w:t>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already earned $9.0 million.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38" w:lineRule="exact"/>
        <w:rPr>
          <w:rFonts w:ascii="Arial" w:cs="Arial" w:eastAsia="Arial" w:hAnsi="Arial"/>
          <w:sz w:val="17"/>
          <w:szCs w:val="17"/>
          <w:color w:val="auto"/>
        </w:rPr>
      </w:pPr>
    </w:p>
    <w:p>
      <w:pPr>
        <w:ind w:left="324" w:right="60"/>
        <w:spacing w:after="0" w:line="277" w:lineRule="auto"/>
        <w:rPr>
          <w:rFonts w:ascii="Arial" w:cs="Arial" w:eastAsia="Arial" w:hAnsi="Arial"/>
          <w:sz w:val="17"/>
          <w:szCs w:val="17"/>
          <w:color w:val="auto"/>
        </w:rPr>
      </w:pPr>
      <w:r>
        <w:rPr>
          <w:rFonts w:ascii="Arial" w:cs="Arial" w:eastAsia="Arial" w:hAnsi="Arial"/>
          <w:sz w:val="18"/>
          <w:szCs w:val="18"/>
          <w:color w:val="auto"/>
        </w:rPr>
        <w:t>In 2019, we entered into two agreements under which we are to perform manufacturing services for Zai Lab’s clinical needs of margetuximab and tebotelimab (Zai Lab Clinical Supply Agreements).</w:t>
      </w:r>
    </w:p>
    <w:p>
      <w:pPr>
        <w:spacing w:after="0" w:line="116" w:lineRule="exact"/>
        <w:rPr>
          <w:rFonts w:ascii="Arial" w:cs="Arial" w:eastAsia="Arial" w:hAnsi="Arial"/>
          <w:sz w:val="17"/>
          <w:szCs w:val="17"/>
          <w:color w:val="auto"/>
        </w:rPr>
      </w:pPr>
    </w:p>
    <w:p>
      <w:pPr>
        <w:ind w:left="324" w:right="100"/>
        <w:spacing w:after="0" w:line="290" w:lineRule="auto"/>
        <w:rPr>
          <w:rFonts w:ascii="Arial" w:cs="Arial" w:eastAsia="Arial" w:hAnsi="Arial"/>
          <w:sz w:val="17"/>
          <w:szCs w:val="17"/>
          <w:color w:val="auto"/>
        </w:rPr>
      </w:pPr>
      <w:r>
        <w:rPr>
          <w:rFonts w:ascii="Arial" w:cs="Arial" w:eastAsia="Arial" w:hAnsi="Arial"/>
          <w:sz w:val="16"/>
          <w:szCs w:val="16"/>
          <w:color w:val="auto"/>
        </w:rPr>
        <w:t>In June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Zai Lab also obtained exclusive, global licenses from us to develop, manufacture and commercialize two additional molecules (license-only programs). Zai Lab granted us a worldwide, royalty-free, co-exclusive license to conduct the development activities allocated to us. In August 2022, we and Zai Lab agreed to discontinue research and development of the Lead Program.</w:t>
      </w:r>
    </w:p>
    <w:p>
      <w:pPr>
        <w:spacing w:after="0" w:line="192" w:lineRule="exact"/>
        <w:rPr>
          <w:rFonts w:ascii="Arial" w:cs="Arial" w:eastAsia="Arial" w:hAnsi="Arial"/>
          <w:sz w:val="17"/>
          <w:szCs w:val="17"/>
          <w:color w:val="auto"/>
        </w:rPr>
      </w:pPr>
    </w:p>
    <w:p>
      <w:pPr>
        <w:ind w:left="324" w:right="60"/>
        <w:spacing w:after="0" w:line="342" w:lineRule="auto"/>
        <w:rPr>
          <w:rFonts w:ascii="Arial" w:cs="Arial" w:eastAsia="Arial" w:hAnsi="Arial"/>
          <w:sz w:val="17"/>
          <w:szCs w:val="17"/>
          <w:color w:val="auto"/>
        </w:rPr>
      </w:pPr>
      <w:r>
        <w:rPr>
          <w:rFonts w:ascii="Arial" w:cs="Arial" w:eastAsia="Arial" w:hAnsi="Arial"/>
          <w:sz w:val="16"/>
          <w:szCs w:val="16"/>
          <w:color w:val="auto"/>
        </w:rPr>
        <w:t>Under the terms of the 2021 Zai Lab Agreement, the Lead Program included joint research and development services by both us and Zai Lab. For the other programs, Zai Lab can separately negotiate and agree with us to perform research and development services in the future.</w:t>
      </w:r>
    </w:p>
    <w:p>
      <w:pPr>
        <w:spacing w:after="0" w:line="69" w:lineRule="exact"/>
        <w:rPr>
          <w:rFonts w:ascii="Arial" w:cs="Arial" w:eastAsia="Arial" w:hAnsi="Arial"/>
          <w:sz w:val="17"/>
          <w:szCs w:val="17"/>
          <w:color w:val="auto"/>
        </w:rPr>
      </w:pPr>
    </w:p>
    <w:p>
      <w:pPr>
        <w:ind w:left="324" w:right="160"/>
        <w:spacing w:after="0" w:line="257" w:lineRule="auto"/>
        <w:rPr>
          <w:rFonts w:ascii="Arial" w:cs="Arial" w:eastAsia="Arial" w:hAnsi="Arial"/>
          <w:sz w:val="17"/>
          <w:szCs w:val="17"/>
          <w:color w:val="auto"/>
        </w:rPr>
      </w:pPr>
      <w:r>
        <w:rPr>
          <w:rFonts w:ascii="Arial" w:cs="Arial" w:eastAsia="Arial" w:hAnsi="Arial"/>
          <w:sz w:val="18"/>
          <w:szCs w:val="18"/>
          <w:color w:val="auto"/>
        </w:rPr>
        <w:t>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which represented a $10.4 million premium over the share price on the Stock Purchase Agreement date.</w:t>
      </w:r>
    </w:p>
    <w:p>
      <w:pPr>
        <w:spacing w:after="0" w:line="133" w:lineRule="exact"/>
        <w:rPr>
          <w:rFonts w:ascii="Arial" w:cs="Arial" w:eastAsia="Arial" w:hAnsi="Arial"/>
          <w:sz w:val="17"/>
          <w:szCs w:val="17"/>
          <w:color w:val="auto"/>
        </w:rPr>
      </w:pPr>
    </w:p>
    <w:p>
      <w:pPr>
        <w:ind w:left="324"/>
        <w:spacing w:after="0" w:line="257" w:lineRule="auto"/>
        <w:rPr>
          <w:rFonts w:ascii="Arial" w:cs="Arial" w:eastAsia="Arial" w:hAnsi="Arial"/>
          <w:sz w:val="17"/>
          <w:szCs w:val="17"/>
          <w:color w:val="auto"/>
        </w:rPr>
      </w:pPr>
      <w:r>
        <w:rPr>
          <w:rFonts w:ascii="Arial" w:cs="Arial" w:eastAsia="Arial" w:hAnsi="Arial"/>
          <w:sz w:val="18"/>
          <w:szCs w:val="18"/>
          <w:color w:val="auto"/>
        </w:rPr>
        <w:t>Assuming successful development and commercialization of the remaining Programs under the 2021 Zai Lab Agreement, we could receive up to $1.3 billion in development, regulatory and commercial milestones. In addition, Zai Lab would pay us tiered royalties at percentage rates of mid-single digits to low double digit teens on annual net sales of products in Zai Lab's territory, subject to specified royalty reduction pursuant to the 2021 Zai Lab Agreement. Per the terms of the 2021 Zai Lab Agreement, we may also receive reimbursements from Zai Lab for certain research and development costs incurred by 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935" w:right="339" w:bottom="1440" w:gutter="0" w:footer="0" w:header="0"/>
        </w:sectPr>
      </w:pPr>
    </w:p>
    <w:bookmarkStart w:id="25" w:name="page26"/>
    <w:bookmarkEnd w:id="25"/>
    <w:p>
      <w:pPr>
        <w:ind w:left="980" w:right="200" w:hanging="324"/>
        <w:spacing w:after="0" w:line="255" w:lineRule="auto"/>
        <w:tabs>
          <w:tab w:leader="none" w:pos="975" w:val="left"/>
        </w:tabs>
        <w:numPr>
          <w:ilvl w:val="0"/>
          <w:numId w:val="9"/>
        </w:numPr>
        <w:rPr>
          <w:rFonts w:ascii="Arial" w:cs="Arial" w:eastAsia="Arial" w:hAnsi="Arial"/>
          <w:sz w:val="18"/>
          <w:szCs w:val="18"/>
          <w:b w:val="1"/>
          <w:bCs w:val="1"/>
          <w:i w:val="1"/>
          <w:iCs w:val="1"/>
          <w:color w:val="252525"/>
        </w:rPr>
      </w:pPr>
      <w:r>
        <w:rPr>
          <w:rFonts w:ascii="Arial" w:cs="Arial" w:eastAsia="Arial" w:hAnsi="Arial"/>
          <w:sz w:val="18"/>
          <w:szCs w:val="18"/>
          <w:i w:val="1"/>
          <w:iCs w:val="1"/>
          <w:color w:val="auto"/>
        </w:rPr>
        <w:t xml:space="preserve">I-Mab Biopharma. </w:t>
      </w:r>
      <w:r>
        <w:rPr>
          <w:rFonts w:ascii="Arial" w:cs="Arial" w:eastAsia="Arial" w:hAnsi="Arial"/>
          <w:sz w:val="18"/>
          <w:szCs w:val="18"/>
          <w:color w:val="auto"/>
        </w:rPr>
        <w:t>In 2019, we entered into a collaboration and license agreement with I-Mab Biopharma (I-Mab)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enoblituzumab, an immune-optimized, anti-B7-H3 monoclonal antibody that incorporates our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us. In August 2022, I-Mab notified us of its intention to terminate the I-Mab License Agreement effective February 25, 2023.</w:t>
      </w:r>
    </w:p>
    <w:p>
      <w:pPr>
        <w:spacing w:after="0" w:line="192" w:lineRule="exact"/>
        <w:rPr>
          <w:sz w:val="20"/>
          <w:szCs w:val="20"/>
          <w:color w:val="auto"/>
        </w:rPr>
      </w:pPr>
    </w:p>
    <w:p>
      <w:pPr>
        <w:ind w:left="980" w:right="100"/>
        <w:spacing w:after="0" w:line="277" w:lineRule="auto"/>
        <w:rPr>
          <w:sz w:val="20"/>
          <w:szCs w:val="20"/>
          <w:color w:val="auto"/>
        </w:rPr>
      </w:pPr>
      <w:r>
        <w:rPr>
          <w:rFonts w:ascii="Arial" w:cs="Arial" w:eastAsia="Arial" w:hAnsi="Arial"/>
          <w:sz w:val="18"/>
          <w:szCs w:val="18"/>
          <w:color w:val="auto"/>
        </w:rPr>
        <w:t xml:space="preserve">Under the terms of the agreement, I-Mab paid us an upfront payment of $15.0 million and $5.0 million in milestone revenue has been earned from the inception of the I-Mab License Agreement through </w:t>
      </w:r>
      <w:r>
        <w:rPr>
          <w:rFonts w:ascii="Arial" w:cs="Arial" w:eastAsia="Arial" w:hAnsi="Arial"/>
          <w:sz w:val="18"/>
          <w:szCs w:val="18"/>
          <w:color w:val="252525"/>
        </w:rPr>
        <w:t>September 30, 2022</w:t>
      </w:r>
      <w:r>
        <w:rPr>
          <w:rFonts w:ascii="Arial" w:cs="Arial" w:eastAsia="Arial" w:hAnsi="Arial"/>
          <w:sz w:val="18"/>
          <w:szCs w:val="18"/>
          <w:color w:val="auto"/>
        </w:rPr>
        <w:t>.</w:t>
      </w:r>
    </w:p>
    <w:p>
      <w:pPr>
        <w:spacing w:after="0" w:line="116" w:lineRule="exact"/>
        <w:rPr>
          <w:sz w:val="20"/>
          <w:szCs w:val="20"/>
          <w:color w:val="auto"/>
        </w:rPr>
      </w:pPr>
    </w:p>
    <w:p>
      <w:pPr>
        <w:ind w:left="980" w:right="20" w:hanging="323"/>
        <w:spacing w:after="0" w:line="277" w:lineRule="auto"/>
        <w:rPr>
          <w:sz w:val="20"/>
          <w:szCs w:val="20"/>
          <w:color w:val="auto"/>
        </w:rPr>
      </w:pPr>
      <w:r>
        <w:rPr>
          <w:rFonts w:ascii="Arial" w:cs="Arial" w:eastAsia="Arial" w:hAnsi="Arial"/>
          <w:sz w:val="18"/>
          <w:szCs w:val="18"/>
          <w:color w:val="auto"/>
        </w:rPr>
        <w:t>In October 2021, we entered into an agreement under which we are to perform development and manufacturing services for I-Mab’s clinical needs of enoblituzumab</w:t>
      </w:r>
      <w:r>
        <w:rPr>
          <w:rFonts w:ascii="Arial" w:cs="Arial" w:eastAsia="Arial" w:hAnsi="Arial"/>
          <w:sz w:val="18"/>
          <w:szCs w:val="18"/>
          <w:color w:val="008080"/>
        </w:rPr>
        <w:t>.</w:t>
      </w:r>
    </w:p>
    <w:p>
      <w:pPr>
        <w:spacing w:after="0" w:line="116" w:lineRule="exact"/>
        <w:rPr>
          <w:sz w:val="20"/>
          <w:szCs w:val="20"/>
          <w:color w:val="auto"/>
        </w:rPr>
      </w:pPr>
    </w:p>
    <w:p>
      <w:pPr>
        <w:ind w:left="980" w:hanging="324"/>
        <w:spacing w:after="0" w:line="275"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Janssen. </w:t>
      </w:r>
      <w:r>
        <w:rPr>
          <w:rFonts w:ascii="Arial" w:cs="Arial" w:eastAsia="Arial" w:hAnsi="Arial"/>
          <w:sz w:val="17"/>
          <w:szCs w:val="17"/>
          <w:color w:val="auto"/>
        </w:rPr>
        <w:t>In December 2020, we entered into a research collaboration and global license agreement to develop a preclinical bispecific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 with Janssen Biotech, Inc. (Janssen). The research collaboration will 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122" w:lineRule="exact"/>
        <w:rPr>
          <w:rFonts w:ascii="Arial" w:cs="Arial" w:eastAsia="Arial" w:hAnsi="Arial"/>
          <w:sz w:val="17"/>
          <w:szCs w:val="17"/>
          <w:color w:val="auto"/>
        </w:rPr>
      </w:pPr>
    </w:p>
    <w:p>
      <w:pPr>
        <w:ind w:left="980" w:right="40" w:hanging="324"/>
        <w:spacing w:after="0" w:line="291" w:lineRule="auto"/>
        <w:tabs>
          <w:tab w:leader="none" w:pos="97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Gilead</w:t>
      </w:r>
      <w:r>
        <w:rPr>
          <w:rFonts w:ascii="Arial" w:cs="Arial" w:eastAsia="Arial" w:hAnsi="Arial"/>
          <w:sz w:val="16"/>
          <w:szCs w:val="16"/>
          <w:color w:val="auto"/>
        </w:rPr>
        <w:t>. On October 14, 2022, we and Gilead Sciences, Inc. (Gilead) entered into an exclusive option and collaboration agreement (Gilead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develop MGD024, an investigational, bispecific antibody that binds CD123 and CD3 using our DART platform, and up to two additional bispecific research programs. The agreement grants Gilead the option to license MGD024, a potential treatment for certain blood cancers, including acute myeloid leukemia (AML) and myelodysplastic syndromes (MDS). As part of the Gilead Agreement, Gilead paid us an upfront payment of $60.0 million and we will be eligible to receive up to $1.7 billion in target nomination, option fees, and development, regulatory and commercial milestones. We will also be eligible to receive tiered, low double-digit royalties on worldwide net sales of MGD024 and a flat royalty on worldwide net sales of products resulting from two research programs.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right="200" w:firstLine="702"/>
        <w:spacing w:after="0" w:line="279" w:lineRule="auto"/>
        <w:rPr>
          <w:sz w:val="20"/>
          <w:szCs w:val="20"/>
          <w:color w:val="auto"/>
        </w:rPr>
      </w:pPr>
      <w:r>
        <w:rPr>
          <w:rFonts w:ascii="Arial" w:cs="Arial" w:eastAsia="Arial" w:hAnsi="Arial"/>
          <w:sz w:val="17"/>
          <w:szCs w:val="17"/>
          <w:color w:val="auto"/>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year ended December 31, 2021. There have been no material changes with respect to our critical accounting estimates during the nine months ended September 30, 2022.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represents a comparison of our revenue for the three and nine months ended September 30, 2022 and 2021 (dollars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9"/>
          </w:tcPr>
          <w:p>
            <w:pPr>
              <w:ind w:left="520"/>
              <w:spacing w:after="0"/>
              <w:rPr>
                <w:sz w:val="20"/>
                <w:szCs w:val="20"/>
                <w:color w:val="auto"/>
              </w:rPr>
            </w:pPr>
            <w:r>
              <w:rPr>
                <w:rFonts w:ascii="Arial" w:cs="Arial" w:eastAsia="Arial" w:hAnsi="Arial"/>
                <w:sz w:val="16"/>
                <w:szCs w:val="16"/>
                <w:b w:val="1"/>
                <w:bCs w:val="1"/>
                <w:color w:val="auto"/>
                <w:w w:val="94"/>
              </w:rPr>
              <w:t>Three Months Ended September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ind w:left="580"/>
              <w:spacing w:after="0"/>
              <w:rPr>
                <w:sz w:val="20"/>
                <w:szCs w:val="20"/>
                <w:color w:val="auto"/>
              </w:rPr>
            </w:pPr>
            <w:r>
              <w:rPr>
                <w:rFonts w:ascii="Arial" w:cs="Arial" w:eastAsia="Arial" w:hAnsi="Arial"/>
                <w:sz w:val="16"/>
                <w:szCs w:val="16"/>
                <w:b w:val="1"/>
                <w:bCs w:val="1"/>
                <w:color w:val="auto"/>
                <w:w w:val="94"/>
              </w:rPr>
              <w:t>Nine Months Ended September 30,</w:t>
            </w:r>
          </w:p>
        </w:tc>
        <w:tc>
          <w:tcPr>
            <w:tcW w:w="660" w:type="dxa"/>
            <w:vAlign w:val="bottom"/>
            <w:tcBorders>
              <w:bottom w:val="single" w:sz="8" w:color="auto"/>
            </w:tcBorders>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Collaborative and other agreements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Product sales,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manufacturing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3"/>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Government agreements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r>
      <w:tr>
        <w:trPr>
          <w:trHeight w:val="23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6" w:name="page27"/>
    <w:bookmarkEnd w:id="26"/>
    <w:p>
      <w:pPr>
        <w:ind w:right="40" w:firstLine="648"/>
        <w:spacing w:after="0" w:line="277" w:lineRule="auto"/>
        <w:rPr>
          <w:sz w:val="20"/>
          <w:szCs w:val="20"/>
          <w:color w:val="auto"/>
        </w:rPr>
      </w:pPr>
      <w:r>
        <w:rPr>
          <w:rFonts w:ascii="Arial" w:cs="Arial" w:eastAsia="Arial" w:hAnsi="Arial"/>
          <w:sz w:val="18"/>
          <w:szCs w:val="18"/>
          <w:color w:val="auto"/>
        </w:rPr>
        <w:t>The increase in revenue of $26.0 million for the three months ended September 30, 2022 compared to the three months ended September 30, 2021 was primarily due to:</w:t>
      </w:r>
    </w:p>
    <w:p>
      <w:pPr>
        <w:spacing w:after="0" w:line="62" w:lineRule="exact"/>
        <w:rPr>
          <w:sz w:val="20"/>
          <w:szCs w:val="20"/>
          <w:color w:val="auto"/>
        </w:rPr>
      </w:pPr>
    </w:p>
    <w:p>
      <w:pPr>
        <w:ind w:left="980" w:right="120" w:hanging="324"/>
        <w:spacing w:after="0" w:line="277" w:lineRule="auto"/>
        <w:tabs>
          <w:tab w:leader="none" w:pos="975" w:val="left"/>
        </w:tabs>
        <w:numPr>
          <w:ilvl w:val="0"/>
          <w:numId w:val="11"/>
        </w:numPr>
        <w:rPr>
          <w:rFonts w:ascii="Arial" w:cs="Arial" w:eastAsia="Arial" w:hAnsi="Arial"/>
          <w:sz w:val="18"/>
          <w:szCs w:val="18"/>
          <w:b w:val="1"/>
          <w:bCs w:val="1"/>
          <w:i w:val="1"/>
          <w:iCs w:val="1"/>
          <w:color w:val="252525"/>
        </w:rPr>
      </w:pPr>
      <w:r>
        <w:rPr>
          <w:rFonts w:ascii="Arial" w:cs="Arial" w:eastAsia="Arial" w:hAnsi="Arial"/>
          <w:sz w:val="18"/>
          <w:szCs w:val="18"/>
          <w:color w:val="252525"/>
        </w:rPr>
        <w:t xml:space="preserve">recognition of $30.0 million in milestone payments under the </w:t>
      </w:r>
      <w:r>
        <w:rPr>
          <w:rFonts w:ascii="Arial" w:cs="Arial" w:eastAsia="Arial" w:hAnsi="Arial"/>
          <w:sz w:val="18"/>
          <w:szCs w:val="18"/>
          <w:color w:val="000000"/>
        </w:rPr>
        <w:t>Incyte License Agreement during the three months ended September 30, 2022;</w:t>
      </w:r>
      <w:r>
        <w:rPr>
          <w:rFonts w:ascii="Arial" w:cs="Arial" w:eastAsia="Arial" w:hAnsi="Arial"/>
          <w:sz w:val="18"/>
          <w:szCs w:val="18"/>
          <w:color w:val="252525"/>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b w:val="1"/>
          <w:bCs w:val="1"/>
          <w:i w:val="1"/>
          <w:iCs w:val="1"/>
          <w:color w:val="252525"/>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 million recognized under the Incyte Manufacturing and Clinical Supply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252525"/>
        </w:rPr>
      </w:pPr>
      <w:r>
        <w:rPr>
          <w:rFonts w:ascii="Arial" w:cs="Arial" w:eastAsia="Arial" w:hAnsi="Arial"/>
          <w:sz w:val="18"/>
          <w:szCs w:val="18"/>
          <w:color w:val="auto"/>
        </w:rPr>
        <w:t>a decrease of $1.6 million in revenue recognized under the I-Mab License Agreement;</w:t>
      </w:r>
    </w:p>
    <w:p>
      <w:pPr>
        <w:spacing w:after="0" w:line="117" w:lineRule="exact"/>
        <w:rPr>
          <w:rFonts w:ascii="Arial" w:cs="Arial" w:eastAsia="Arial" w:hAnsi="Arial"/>
          <w:sz w:val="18"/>
          <w:szCs w:val="18"/>
          <w:color w:val="252525"/>
        </w:rPr>
      </w:pPr>
    </w:p>
    <w:p>
      <w:pPr>
        <w:ind w:left="980" w:right="160" w:hanging="324"/>
        <w:spacing w:after="0" w:line="277" w:lineRule="auto"/>
        <w:tabs>
          <w:tab w:leader="none" w:pos="975" w:val="left"/>
        </w:tabs>
        <w:numPr>
          <w:ilvl w:val="0"/>
          <w:numId w:val="12"/>
        </w:numPr>
        <w:rPr>
          <w:rFonts w:ascii="Arial" w:cs="Arial" w:eastAsia="Arial" w:hAnsi="Arial"/>
          <w:sz w:val="18"/>
          <w:szCs w:val="18"/>
          <w:color w:val="252525"/>
        </w:rPr>
      </w:pPr>
      <w:r>
        <w:rPr>
          <w:rFonts w:ascii="Arial" w:cs="Arial" w:eastAsia="Arial" w:hAnsi="Arial"/>
          <w:sz w:val="18"/>
          <w:szCs w:val="18"/>
          <w:color w:val="auto"/>
        </w:rPr>
        <w:t>a decrease of $1.4 million in revenue recognized under the Incyte Commercial Supply Agreement due to timing of manufacturing activities; and</w:t>
      </w:r>
    </w:p>
    <w:p>
      <w:pPr>
        <w:spacing w:after="0" w:line="62" w:lineRule="exact"/>
        <w:rPr>
          <w:rFonts w:ascii="Arial" w:cs="Arial" w:eastAsia="Arial" w:hAnsi="Arial"/>
          <w:sz w:val="18"/>
          <w:szCs w:val="18"/>
          <w:color w:val="252525"/>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$1.9 million in revenue recognized under the 2021 Zai Lab Agreement.</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increase in revenue of $15.5 million for the nine months ended September 30, 2022 compared to the nine months ended September 30, 2021 was primarily due to:</w:t>
      </w:r>
    </w:p>
    <w:p>
      <w:pPr>
        <w:spacing w:after="0" w:line="62" w:lineRule="exact"/>
        <w:rPr>
          <w:sz w:val="20"/>
          <w:szCs w:val="20"/>
          <w:color w:val="auto"/>
        </w:rPr>
      </w:pPr>
    </w:p>
    <w:p>
      <w:pPr>
        <w:ind w:left="980" w:right="580" w:hanging="324"/>
        <w:spacing w:after="0" w:line="277" w:lineRule="auto"/>
        <w:tabs>
          <w:tab w:leader="none" w:pos="975" w:val="left"/>
        </w:tabs>
        <w:numPr>
          <w:ilvl w:val="0"/>
          <w:numId w:val="13"/>
        </w:numPr>
        <w:rPr>
          <w:rFonts w:ascii="Arial" w:cs="Arial" w:eastAsia="Arial" w:hAnsi="Arial"/>
          <w:sz w:val="18"/>
          <w:szCs w:val="18"/>
          <w:b w:val="1"/>
          <w:bCs w:val="1"/>
          <w:i w:val="1"/>
          <w:iCs w:val="1"/>
          <w:color w:val="252525"/>
        </w:rPr>
      </w:pPr>
      <w:r>
        <w:rPr>
          <w:rFonts w:ascii="Arial" w:cs="Arial" w:eastAsia="Arial" w:hAnsi="Arial"/>
          <w:sz w:val="18"/>
          <w:szCs w:val="18"/>
          <w:color w:val="252525"/>
        </w:rPr>
        <w:t xml:space="preserve">an increase of $15.0 million in development milestones recognized under the </w:t>
      </w:r>
      <w:r>
        <w:rPr>
          <w:rFonts w:ascii="Arial" w:cs="Arial" w:eastAsia="Arial" w:hAnsi="Arial"/>
          <w:sz w:val="18"/>
          <w:szCs w:val="18"/>
          <w:color w:val="000000"/>
        </w:rPr>
        <w:t>Incyte License Agreement during the nine months ended</w:t>
      </w:r>
      <w:r>
        <w:rPr>
          <w:rFonts w:ascii="Arial" w:cs="Arial" w:eastAsia="Arial" w:hAnsi="Arial"/>
          <w:sz w:val="18"/>
          <w:szCs w:val="18"/>
          <w:color w:val="252525"/>
        </w:rPr>
        <w:t xml:space="preserve"> </w:t>
      </w:r>
      <w:r>
        <w:rPr>
          <w:rFonts w:ascii="Arial" w:cs="Arial" w:eastAsia="Arial" w:hAnsi="Arial"/>
          <w:sz w:val="18"/>
          <w:szCs w:val="18"/>
          <w:color w:val="000000"/>
        </w:rPr>
        <w:t>September 30, 2022</w:t>
      </w:r>
      <w:r>
        <w:rPr>
          <w:rFonts w:ascii="Arial" w:cs="Arial" w:eastAsia="Arial" w:hAnsi="Arial"/>
          <w:sz w:val="18"/>
          <w:szCs w:val="18"/>
          <w:color w:val="252525"/>
        </w:rPr>
        <w:t>;</w:t>
      </w:r>
    </w:p>
    <w:p>
      <w:pPr>
        <w:spacing w:after="0" w:line="62" w:lineRule="exact"/>
        <w:rPr>
          <w:rFonts w:ascii="Arial" w:cs="Arial" w:eastAsia="Arial" w:hAnsi="Arial"/>
          <w:sz w:val="18"/>
          <w:szCs w:val="18"/>
          <w:b w:val="1"/>
          <w:bCs w:val="1"/>
          <w:i w:val="1"/>
          <w:iCs w:val="1"/>
          <w:color w:val="252525"/>
        </w:rPr>
      </w:pPr>
    </w:p>
    <w:p>
      <w:pPr>
        <w:ind w:left="980" w:hanging="324"/>
        <w:spacing w:after="0" w:line="277" w:lineRule="auto"/>
        <w:tabs>
          <w:tab w:leader="none" w:pos="975" w:val="left"/>
        </w:tabs>
        <w:numPr>
          <w:ilvl w:val="0"/>
          <w:numId w:val="13"/>
        </w:numPr>
        <w:rPr>
          <w:rFonts w:ascii="Arial" w:cs="Arial" w:eastAsia="Arial" w:hAnsi="Arial"/>
          <w:sz w:val="18"/>
          <w:szCs w:val="18"/>
          <w:color w:val="252525"/>
        </w:rPr>
      </w:pPr>
      <w:r>
        <w:rPr>
          <w:rFonts w:ascii="Arial" w:cs="Arial" w:eastAsia="Arial" w:hAnsi="Arial"/>
          <w:sz w:val="18"/>
          <w:szCs w:val="18"/>
          <w:color w:val="252525"/>
        </w:rPr>
        <w:t xml:space="preserve">recognition of a $4.5 million milestone (after netting value-added tax withholding) under the </w:t>
      </w:r>
      <w:r>
        <w:rPr>
          <w:rFonts w:ascii="Arial" w:cs="Arial" w:eastAsia="Arial" w:hAnsi="Arial"/>
          <w:sz w:val="18"/>
          <w:szCs w:val="18"/>
          <w:color w:val="000000"/>
        </w:rPr>
        <w:t>2018 Zai Lab Agreement during the nine months</w:t>
      </w:r>
      <w:r>
        <w:rPr>
          <w:rFonts w:ascii="Arial" w:cs="Arial" w:eastAsia="Arial" w:hAnsi="Arial"/>
          <w:sz w:val="18"/>
          <w:szCs w:val="18"/>
          <w:color w:val="252525"/>
        </w:rPr>
        <w:t xml:space="preserve"> </w:t>
      </w:r>
      <w:r>
        <w:rPr>
          <w:rFonts w:ascii="Arial" w:cs="Arial" w:eastAsia="Arial" w:hAnsi="Arial"/>
          <w:sz w:val="18"/>
          <w:szCs w:val="18"/>
          <w:color w:val="000000"/>
        </w:rPr>
        <w:t>ended September 30, 2022</w:t>
      </w:r>
      <w:r>
        <w:rPr>
          <w:rFonts w:ascii="Arial" w:cs="Arial" w:eastAsia="Arial" w:hAnsi="Arial"/>
          <w:sz w:val="18"/>
          <w:szCs w:val="18"/>
          <w:color w:val="252525"/>
        </w:rPr>
        <w:t>;</w:t>
      </w:r>
    </w:p>
    <w:p>
      <w:pPr>
        <w:spacing w:after="0" w:line="62" w:lineRule="exact"/>
        <w:rPr>
          <w:rFonts w:ascii="Arial" w:cs="Arial" w:eastAsia="Arial" w:hAnsi="Arial"/>
          <w:sz w:val="18"/>
          <w:szCs w:val="18"/>
          <w:color w:val="252525"/>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$4.9 million in net product revenue from sales of MARGENZA;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$5.1 million recognized under the Incyte Manufacturing and Clinical Supply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252525"/>
        </w:rPr>
      </w:pPr>
      <w:r>
        <w:rPr>
          <w:rFonts w:ascii="Arial" w:cs="Arial" w:eastAsia="Arial" w:hAnsi="Arial"/>
          <w:sz w:val="16"/>
          <w:szCs w:val="16"/>
          <w:color w:val="auto"/>
        </w:rPr>
        <w:t>a decrease of $7.0 million in revenue recognized under the Incyte Commercial Supply Agreement due to timing of manufacturing activities;</w:t>
      </w:r>
    </w:p>
    <w:p>
      <w:pPr>
        <w:spacing w:after="0" w:line="140" w:lineRule="exact"/>
        <w:rPr>
          <w:rFonts w:ascii="Arial" w:cs="Arial" w:eastAsia="Arial" w:hAnsi="Arial"/>
          <w:sz w:val="16"/>
          <w:szCs w:val="16"/>
          <w:color w:val="252525"/>
        </w:rPr>
      </w:pPr>
    </w:p>
    <w:p>
      <w:pPr>
        <w:ind w:left="980" w:hanging="324"/>
        <w:spacing w:after="0"/>
        <w:tabs>
          <w:tab w:leader="none" w:pos="980" w:val="left"/>
        </w:tabs>
        <w:numPr>
          <w:ilvl w:val="0"/>
          <w:numId w:val="14"/>
        </w:numPr>
        <w:rPr>
          <w:rFonts w:ascii="Arial" w:cs="Arial" w:eastAsia="Arial" w:hAnsi="Arial"/>
          <w:sz w:val="18"/>
          <w:szCs w:val="18"/>
          <w:color w:val="252525"/>
        </w:rPr>
      </w:pPr>
      <w:r>
        <w:rPr>
          <w:rFonts w:ascii="Arial" w:cs="Arial" w:eastAsia="Arial" w:hAnsi="Arial"/>
          <w:sz w:val="18"/>
          <w:szCs w:val="18"/>
          <w:color w:val="auto"/>
        </w:rPr>
        <w:t>a decrease of $3.4 million in revenue recognized under the I-Mab License Agreement;</w:t>
      </w:r>
    </w:p>
    <w:p>
      <w:pPr>
        <w:spacing w:after="0" w:line="117" w:lineRule="exact"/>
        <w:rPr>
          <w:rFonts w:ascii="Arial" w:cs="Arial" w:eastAsia="Arial" w:hAnsi="Arial"/>
          <w:sz w:val="18"/>
          <w:szCs w:val="18"/>
          <w:color w:val="252525"/>
        </w:rPr>
      </w:pPr>
    </w:p>
    <w:p>
      <w:pPr>
        <w:ind w:left="980" w:hanging="324"/>
        <w:spacing w:after="0"/>
        <w:tabs>
          <w:tab w:leader="none" w:pos="980" w:val="left"/>
        </w:tabs>
        <w:numPr>
          <w:ilvl w:val="0"/>
          <w:numId w:val="14"/>
        </w:numPr>
        <w:rPr>
          <w:rFonts w:ascii="Arial" w:cs="Arial" w:eastAsia="Arial" w:hAnsi="Arial"/>
          <w:sz w:val="18"/>
          <w:szCs w:val="18"/>
          <w:b w:val="1"/>
          <w:bCs w:val="1"/>
          <w:i w:val="1"/>
          <w:iCs w:val="1"/>
          <w:color w:val="252525"/>
        </w:rPr>
      </w:pPr>
      <w:r>
        <w:rPr>
          <w:rFonts w:ascii="Arial" w:cs="Arial" w:eastAsia="Arial" w:hAnsi="Arial"/>
          <w:sz w:val="18"/>
          <w:szCs w:val="18"/>
          <w:color w:val="auto"/>
        </w:rPr>
        <w:t>a decrease of $1.9 million in revenue recognized under the Zai Lab Clinical Supply Agreements; and</w:t>
      </w:r>
    </w:p>
    <w:p>
      <w:pPr>
        <w:spacing w:after="0" w:line="117" w:lineRule="exact"/>
        <w:rPr>
          <w:rFonts w:ascii="Arial" w:cs="Arial" w:eastAsia="Arial" w:hAnsi="Arial"/>
          <w:sz w:val="18"/>
          <w:szCs w:val="18"/>
          <w:b w:val="1"/>
          <w:bCs w:val="1"/>
          <w:i w:val="1"/>
          <w:iCs w:val="1"/>
          <w:color w:val="252525"/>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$1.3 million in revenue recognized under the 2021 Zai Lab Agreement.</w:t>
      </w:r>
    </w:p>
    <w:p>
      <w:pPr>
        <w:spacing w:after="0" w:line="117"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product sales for all periods presented consists primarily of reserves for unsaleable externally-manufactured inventory, as well as product royalties and fill finish costs. Product sold during these periods consisted of drug product that was previously charged to research and development expense prior to FDA approval of MARGENZA, which favorably impacted our gross margin. We expect cost of product sales to continue to be positively impacted as we sell through this drug product.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Manufacturing Services</w:t>
      </w:r>
    </w:p>
    <w:p>
      <w:pPr>
        <w:spacing w:after="0" w:line="171"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Cost of manufacturing services consists of the costs to provide manufacturing services to produce certain Incyte bulk drug substance under the Incyte Manufacturing and Clinical Supply Agreement. We entered into this agreement in January 2022, therefore there are no such costs during the three and nine months ended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represents a comparison of our research and development expense for the three and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(dollars in millions):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10"/>
          </w:tcPr>
          <w:p>
            <w:pPr>
              <w:ind w:left="28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460" w:type="dxa"/>
            <w:vAlign w:val="bottom"/>
            <w:gridSpan w:val="9"/>
          </w:tcPr>
          <w:p>
            <w:pPr>
              <w:jc w:val="right"/>
              <w:ind w:right="39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3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2022</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MGC018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3.4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Margetuximab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Lorigerlimab</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7"/>
              </w:rPr>
              <w:t>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Enoblituzumab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MGD024</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7"/>
              </w:rPr>
              <w:t>2.1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Tebotelimab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(2.8)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DART molecules under HIV government contract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Flotetuzumab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(4.4)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IMGC936</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7"/>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Retifanlimab</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programs (a)</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3.7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(1.6)</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1"/>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Includes research and discovery projects, as well as early preclinical and terminated molecules.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research and development expense for the three months ended September 30, 2022 decreased by $1.6 million compared to the three months ended September 30, 2021 primarily due to:</w:t>
      </w:r>
    </w:p>
    <w:p>
      <w:pPr>
        <w:spacing w:after="0" w:line="11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252525"/>
        </w:rPr>
      </w:pPr>
      <w:r>
        <w:rPr>
          <w:rFonts w:ascii="Arial" w:cs="Arial" w:eastAsia="Arial" w:hAnsi="Arial"/>
          <w:sz w:val="18"/>
          <w:szCs w:val="18"/>
          <w:color w:val="auto"/>
        </w:rPr>
        <w:t>decreased retifanlimab manufacturing costs related to the Incyte Commercial Supply Agreement;</w:t>
      </w:r>
    </w:p>
    <w:p>
      <w:pPr>
        <w:spacing w:after="0" w:line="171" w:lineRule="exact"/>
        <w:rPr>
          <w:rFonts w:ascii="Arial" w:cs="Arial" w:eastAsia="Arial" w:hAnsi="Arial"/>
          <w:sz w:val="18"/>
          <w:szCs w:val="18"/>
          <w:color w:val="252525"/>
        </w:rPr>
      </w:pPr>
    </w:p>
    <w:p>
      <w:pPr>
        <w:ind w:left="980" w:right="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development, manufacturing and clinical trial costs related to flotetuzumab (due to discontinuance of our company-sponsored trial);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development, manufacturing and clinical trial costs related to tebotelimab.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w:t>
      </w:r>
    </w:p>
    <w:p>
      <w:pPr>
        <w:spacing w:after="0" w:line="15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252525"/>
        </w:rPr>
      </w:pPr>
      <w:r>
        <w:rPr>
          <w:rFonts w:ascii="Arial" w:cs="Arial" w:eastAsia="Arial" w:hAnsi="Arial"/>
          <w:sz w:val="18"/>
          <w:szCs w:val="18"/>
          <w:color w:val="auto"/>
        </w:rPr>
        <w:t>increased development, manufacturing and clinical trial costs related to MGC018;</w:t>
      </w:r>
    </w:p>
    <w:p>
      <w:pPr>
        <w:spacing w:after="0" w:line="171" w:lineRule="exact"/>
        <w:rPr>
          <w:rFonts w:ascii="Arial" w:cs="Arial" w:eastAsia="Arial" w:hAnsi="Arial"/>
          <w:sz w:val="18"/>
          <w:szCs w:val="18"/>
          <w:color w:val="252525"/>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expenses related to discovery projects and preclinical molecules;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clinical trial enrollment costs related to lorigerlimab;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 costs related to initiation of a Phase 1 trial of MGD024 during the three months ended September 30, 2022.</w:t>
      </w:r>
    </w:p>
    <w:p>
      <w:pPr>
        <w:spacing w:after="0" w:line="171"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Our research and development expense for the nine months ended September 30, 2022 increased by $2.7 million compared to the nine months ended September 30, 2021 primarily due to:</w:t>
      </w:r>
    </w:p>
    <w:p>
      <w:pPr>
        <w:spacing w:after="0" w:line="13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252525"/>
        </w:rPr>
      </w:pPr>
      <w:r>
        <w:rPr>
          <w:rFonts w:ascii="Arial" w:cs="Arial" w:eastAsia="Arial" w:hAnsi="Arial"/>
          <w:sz w:val="18"/>
          <w:szCs w:val="18"/>
          <w:color w:val="auto"/>
        </w:rPr>
        <w:t>increased development, manufacturing and clinical trial costs related to MGC018;</w:t>
      </w:r>
    </w:p>
    <w:p>
      <w:pPr>
        <w:spacing w:after="0" w:line="171" w:lineRule="exact"/>
        <w:rPr>
          <w:rFonts w:ascii="Arial" w:cs="Arial" w:eastAsia="Arial" w:hAnsi="Arial"/>
          <w:sz w:val="18"/>
          <w:szCs w:val="18"/>
          <w:color w:val="252525"/>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development of discovery projects and preclinical molecules;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clinical trial enrollment costs related to lorigerlimab;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 costs related to initiation of a Phase 1 trial of MGD024.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5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decreased development, manufacturing and clinical trial costs related to flotetuzumab (due to discontinuance of our company-sponsored trial);</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retifanlimab manufacturing costs related to the Incyte Commercial Supply Agreement;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development, manufacturing and clinical trial costs related to tebotelimab;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b w:val="1"/>
          <w:bCs w:val="1"/>
          <w:i w:val="1"/>
          <w:iCs w:val="1"/>
          <w:color w:val="252525"/>
        </w:rPr>
      </w:pPr>
      <w:r>
        <w:rPr>
          <w:rFonts w:ascii="Arial" w:cs="Arial" w:eastAsia="Arial" w:hAnsi="Arial"/>
          <w:sz w:val="18"/>
          <w:szCs w:val="18"/>
          <w:color w:val="auto"/>
        </w:rPr>
        <w:t>decreased margetuximab manufacturing costs related to the Zai Lab Clinical Supply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8" w:name="page29"/>
    <w:bookmarkEnd w:id="28"/>
    <w:p>
      <w:pPr>
        <w:ind w:right="460" w:firstLine="648"/>
        <w:spacing w:after="0" w:line="263" w:lineRule="auto"/>
        <w:rPr>
          <w:sz w:val="20"/>
          <w:szCs w:val="20"/>
          <w:color w:val="auto"/>
        </w:rPr>
      </w:pPr>
      <w:r>
        <w:rPr>
          <w:rFonts w:ascii="Arial" w:cs="Arial" w:eastAsia="Arial" w:hAnsi="Arial"/>
          <w:sz w:val="18"/>
          <w:szCs w:val="18"/>
          <w:color w:val="auto"/>
        </w:rPr>
        <w:t>There are uncertainties associated with our research and development expenses for future quarters which are impacted by multiple variables, including timing of wind down activities for recently closed studies and current and expected expenditures associated with our Phase 2/3 MGC018 TAMARACK study.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Selling, general and administrative expenses decreased by $1.8 million for the three months ended September 30, 2022 compared to the three months ended September 30, 2021 and by $2.2 million for the nine months ended September 30, 2022 compared to the nine months ended September 30, 2021 primarily due to decreased selling costs for MARGENZA, which launched in March 2021, as well as decreased consulting expenses.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biotechnology company, we have primarily funded our operations with proceeds from the sale of our common stock in equity offerings,</w:t>
      </w:r>
    </w:p>
    <w:p>
      <w:pPr>
        <w:spacing w:after="0" w:line="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revenue from our multiple collaboration agreements, and contracts and grants from the National Institute of Allergy and Infectious Diseases.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Arial" w:cs="Arial" w:eastAsia="Arial" w:hAnsi="Arial"/>
          <w:sz w:val="16"/>
          <w:szCs w:val="16"/>
          <w:color w:val="EE2724"/>
        </w:rPr>
        <w:t>.</w:t>
      </w:r>
      <w:r>
        <w:rPr>
          <w:rFonts w:ascii="Arial" w:cs="Arial" w:eastAsia="Arial" w:hAnsi="Arial"/>
          <w:sz w:val="16"/>
          <w:szCs w:val="16"/>
          <w:color w:val="auto"/>
        </w:rPr>
        <w:t xml:space="preserve"> Although it is difficult to predict our funding requirements, we anticipate that our cash, cash equivalents and marketable securities as of September 30, 2022, combined with $60.0 million subsequently received from Gilead, anticipated and potential collaboration payments, product revenues and savings from the execution of our corporate restructuring plan, should enable us to fund our operations into mid-2024. Our expected funding requirements reflect anticipated expenditures related to the planned Phase 2 portion of the MGC018 TAMARACK study, as well as our other clinical and nonclinical studies currently ongoing.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Material Cash Requirements</w:t>
      </w:r>
    </w:p>
    <w:p>
      <w:pPr>
        <w:spacing w:after="0" w:line="11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During the nine months ended September 30, 2022,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9320" w:type="dxa"/>
            <w:vAlign w:val="bottom"/>
            <w:gridSpan w:val="4"/>
          </w:tcPr>
          <w:p>
            <w:pPr>
              <w:ind w:left="660"/>
              <w:spacing w:after="0"/>
              <w:rPr>
                <w:sz w:val="20"/>
                <w:szCs w:val="20"/>
                <w:color w:val="auto"/>
              </w:rPr>
            </w:pPr>
            <w:r>
              <w:rPr>
                <w:rFonts w:ascii="Arial" w:cs="Arial" w:eastAsia="Arial" w:hAnsi="Arial"/>
                <w:sz w:val="18"/>
                <w:szCs w:val="18"/>
                <w:color w:val="auto"/>
                <w:w w:val="91"/>
              </w:rPr>
              <w:t>The following table represents a summary of our cash flows for the nine months ended September 30, 2022 and 2021:</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6"/>
        </w:trPr>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7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4"/>
              </w:rPr>
              <w:t>2021</w:t>
            </w:r>
          </w:p>
        </w:tc>
      </w:tr>
      <w:tr>
        <w:trPr>
          <w:trHeight w:val="264"/>
        </w:trPr>
        <w:tc>
          <w:tcPr>
            <w:tcW w:w="7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1140" w:type="dxa"/>
            <w:vAlign w:val="bottom"/>
          </w:tcPr>
          <w:p>
            <w:pPr>
              <w:spacing w:after="0"/>
              <w:rPr>
                <w:sz w:val="22"/>
                <w:szCs w:val="22"/>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Net cash used in operating activities consists of our net loss adjusted for non-cash items such as depreciation and amortization expense and stock-based compensation and changes in working capital. Net cash used in operating activities for the nine months ended September 30, 2022 benefited from the $30.0 million in milestones received from Incyte under the Incyte License Agreement and $4.5 million </w:t>
      </w:r>
      <w:r>
        <w:rPr>
          <w:rFonts w:ascii="Arial" w:cs="Arial" w:eastAsia="Arial" w:hAnsi="Arial"/>
          <w:sz w:val="17"/>
          <w:szCs w:val="17"/>
          <w:color w:val="252525"/>
        </w:rPr>
        <w:t>(after netting value-added tax withholding)</w:t>
      </w:r>
      <w:r>
        <w:rPr>
          <w:rFonts w:ascii="Arial" w:cs="Arial" w:eastAsia="Arial" w:hAnsi="Arial"/>
          <w:sz w:val="17"/>
          <w:szCs w:val="17"/>
          <w:color w:val="auto"/>
        </w:rPr>
        <w:t xml:space="preserve"> in milestones received under the 2018 Zai Lab Agreement. Net cash used in operating activities for the nine months ended September 30, 2021 benefited from the $25.0 million upfront payment under the 2021 Zai Lab Agreement, the $10.4 million premium over the share price under the Stock Purchase Agreement with Zai Lab, and the $15.0 million milestone payments received under the Incyte License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Net cash provided by investing activities during the nine months ended September 30, 2022 is primarily due to maturities of marketable securities, partially offset by purchases of marketable securities. Net cash used in investing activities during the nine months ended September 30, 2021 is primarily due to purchases of marketable securities, partially offset by maturities of marketable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2021 includes net cash proceeds from our securities offerings of approximately $117.8 million.</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16" w:lineRule="exact"/>
        <w:rPr>
          <w:sz w:val="20"/>
          <w:szCs w:val="20"/>
          <w:color w:val="auto"/>
        </w:rPr>
      </w:pPr>
    </w:p>
    <w:p>
      <w:pPr>
        <w:ind w:right="80" w:firstLine="693"/>
        <w:spacing w:after="0" w:line="277" w:lineRule="auto"/>
        <w:rPr>
          <w:sz w:val="20"/>
          <w:szCs w:val="20"/>
          <w:color w:val="auto"/>
        </w:rPr>
      </w:pPr>
      <w:r>
        <w:rPr>
          <w:rFonts w:ascii="Arial" w:cs="Arial" w:eastAsia="Arial" w:hAnsi="Arial"/>
          <w:sz w:val="18"/>
          <w:szCs w:val="18"/>
          <w:color w:val="auto"/>
        </w:rPr>
        <w:t>Under SEC rules and regulations, because we are considered to be a “smaller reporting company," we are not required to provide the information required by this item in this Quarterly Report on Form 10-Q.</w:t>
      </w:r>
    </w:p>
    <w:p>
      <w:pPr>
        <w:spacing w:after="0" w:line="342"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management, including our principal executive officer and principal financial officer, has evaluated the effectiveness of our disclosure controls and procedures as of September 30, 2022.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September 30, 2022, our principal executive officer and principal financial officer have concluded that our disclosure controls and procedures are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2022 that materially affected, or are reasonably likely to materially effect, our internal control over financial reporting.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See Note 9, Commitments and Contingencies, to the consolidated financial statements of this Quarterly Report on Form 10-Q for more information.</w:t>
      </w:r>
    </w:p>
    <w:p>
      <w:pPr>
        <w:spacing w:after="0" w:line="300"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have been no material changes in the risk factors described in “Item 1A. Risk Factors” of our Annual Report on Form 10-K for the year ended December 31, 2021, aside from the risk factors included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and Commercialization of Our Products and Product Candidates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 highly uncertain outcome. We expect to incur significant additional costs related to the development of MGC018 and our other product candidates and may experience delays in completing, or ultimately be unable to complete, the development and commercialization of our other products and product candidates.</w:t>
      </w:r>
    </w:p>
    <w:p>
      <w:pPr>
        <w:spacing w:after="0" w:line="1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 approval of a Biologics License Application (BLA) from the FDA or marketing approval from applicable regulatory authorities outside the United States. Our product candidates are in various stages of development and are subject to the risks of failure inherent in drug development. For example, in November 2021, we announced the discontinuation of Cohort A of the MAHOGANY trial for margetuximab in gastric cancer, based on a number of factors, including the prioritization of our other product candidates given the competition in this indication, and the FDA’s approval of competing combination therapy with pembrolizumab. Also in July 2022, we announced the discontinuation of the Phase 2 trial of enoblituzumab in combination with either retifanlimab or tebotelimab in the treatment of patients with recurrent or metastatic squamous cell carcinoma of the head and neck (SCCHN), based on an internal review of safety data. In addition, our collaborator Incyte submitted a BLA for retifanlimab in January 2021 and in July 2021, received a Complete Response Letter (CRL) from the FDA regarding its BLA. Incyte’s announcement indicated that the FDA determined that additional data are needed to demonstrate the clinical benefit of retifanlimab for the submitted indication, and that Incyte is reviewing the CRL and will discuss next steps with the FDA. Obtaining approval of a BLA can be a lengthy, expensive and uncertain process. Further, in October 2021, Incyte withdrew its European application for marketing authorization of retifanlimab for the treatment of squamous carcinoma of the anal canal. In addition, failure to comply with FDA and non-U.S. regulatory requirements may, either before or after product approval, subject our company or our collaborators to administrative or judicially imposed sanctions, including:</w:t>
      </w:r>
    </w:p>
    <w:p>
      <w:pPr>
        <w:spacing w:after="0" w:line="12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products, manufacturers, manufacturing facilities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 or analogous marketing approvals outside the United States.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FDA and foreign regulatory authorities also have substantial discretion in the drug approval process. The number of nonclinical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deny approval of a product candidate for many reasons, including:</w:t>
      </w:r>
    </w:p>
    <w:p>
      <w:pPr>
        <w:spacing w:after="0" w:line="13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not be deemed safe or effective;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may not confirm the positive results from earlier nonclinical studies 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agencies may not find the data from nonclinical studies and clinical trials sufficient or meaningful;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agencies might not approve or might require changes to our manufacturing processes or facilities;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agencies may change their approval policies or adopt new regulations.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potential market for a product candidate, if approved.</w:t>
      </w:r>
    </w:p>
    <w:p>
      <w:pPr>
        <w:spacing w:after="0" w:line="13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or our collaborators, are either currently enrolling patients in clinical trials or anticipate initiating, continuing, designing or supporting clinical trials for molecules that include MGC018, lorigerlimab, retifanlimab, IMGC936 and MGD024 as monotherapies or in combination with other product candidates. In addition, Incyte is currently enrolling patients in clinical trials for retifanlimab, and other collaborators outside the United States are developing our product candidates. We anticipate in the future collaborators will initiate or continue clinical trials of one or more our product candidates. The continuation, modification, or commencement of existing or new clinical trials could be substantially delayed or prevented by several factors, including:</w:t>
      </w:r>
    </w:p>
    <w:p>
      <w:pPr>
        <w:spacing w:after="0" w:line="13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discussions with the FDA or other regulatory agencies regarding the scope or design of our clinical trials;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 or failure in patient recruitment or enrollment in our or our collaborators’ trials for any reason, including as a result of public health crises such as the evolving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delay or failure to obtain regulatory approval or agreement to commence a clinical trial in any of the countries where enrollment is planned;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holds on, or other regulatory objections to, a new or ongoing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to manufacture sufficient supplies of the product candidate for our clinical trials;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to reach agreement on acceptable clinical trial terms or clinical trial protocols with prospective sites or CROs the terms of which can be subject to extensive negotiation and may vary significantly among different sites or CROs;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to obtain institutional review board (IRB) approval to conduct a clinical trial at a prospective site;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competition of product candidates that are expected to be more effective or have a more favorable safety profile;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potential therapies by competitors.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32" w:name="page33"/>
    <w:bookmarkEnd w:id="32"/>
    <w:p>
      <w:pPr>
        <w:ind w:right="300" w:firstLine="648"/>
        <w:spacing w:after="0" w:line="277" w:lineRule="auto"/>
        <w:rPr>
          <w:sz w:val="20"/>
          <w:szCs w:val="20"/>
          <w:color w:val="auto"/>
        </w:rPr>
      </w:pPr>
      <w:r>
        <w:rPr>
          <w:rFonts w:ascii="Arial" w:cs="Arial" w:eastAsia="Arial" w:hAnsi="Arial"/>
          <w:sz w:val="18"/>
          <w:szCs w:val="18"/>
          <w:color w:val="auto"/>
        </w:rPr>
        <w:t>The progress or completion of our, or our collaborators', clinical trials have been and could also be substantially delayed or prevented by many factors, including:</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unforeseen safety issues, including severe or unexpected adverse effects experienced by patients, including actual and possible deaths;</w:t>
      </w:r>
    </w:p>
    <w:p>
      <w:pPr>
        <w:spacing w:after="0" w:line="128" w:lineRule="exact"/>
        <w:rPr>
          <w:rFonts w:ascii="Arial" w:cs="Arial" w:eastAsia="Arial" w:hAnsi="Arial"/>
          <w:sz w:val="17"/>
          <w:szCs w:val="17"/>
          <w:color w:val="auto"/>
        </w:rPr>
      </w:pPr>
    </w:p>
    <w:p>
      <w:pPr>
        <w:ind w:left="660" w:right="5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expected site initiation, patient recruitment and enrollment, for any reason, including as a result of public health crises such as the evolving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patients to complete the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efficacy during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our clinical trials by one or more clinical trial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unwillingness of patients or clinical investigators to follow our clinical trial protocols;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and political instability in countries where our trial sites are located, including terrorist attacks, civil unrest and actual or threatened armed conflict;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by us, our collaboration partners and/or our CROs;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repeat or terminate clinical trials as a result of inconclusive or negative results or unforeseen complications in testing.</w:t>
      </w:r>
    </w:p>
    <w:p>
      <w:pPr>
        <w:spacing w:after="0" w:line="11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6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Clinical trials of our product candidates are subject to partial or full clinical holds from time to time. A clinical hold received in the midst of conducting a trial may delay the progress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interim or top line data may be subject to change or qualification, based on several factors, including a complete analysis of data, or in the case of interim analysis, the continued or ongoing accrual of data. In addition, the results of our current and planned clinical trials may not satisfy the requirements of the FDA or non-U.S. regulatory authorities for product approval.</w:t>
      </w:r>
    </w:p>
    <w:p>
      <w:pPr>
        <w:spacing w:after="0" w:line="13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Clinical failure can occur at any stage of clinical development. Clinical trials may produce negative or inconclusive results, and we or any of our current and future collaborators may decide, or regulators may require us, to conduct additional clinical or nonclinical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or continued progress of the study or trial.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3" w:name="page34"/>
    <w:bookmarkEnd w:id="33"/>
    <w:p>
      <w:pPr>
        <w:ind w:right="100"/>
        <w:spacing w:after="0" w:line="263" w:lineRule="auto"/>
        <w:rPr>
          <w:sz w:val="20"/>
          <w:szCs w:val="20"/>
          <w:color w:val="auto"/>
        </w:rPr>
      </w:pPr>
      <w:r>
        <w:rPr>
          <w:rFonts w:ascii="Arial" w:cs="Arial" w:eastAsia="Arial" w:hAnsi="Arial"/>
          <w:sz w:val="18"/>
          <w:szCs w:val="18"/>
          <w:color w:val="auto"/>
        </w:rPr>
        <w:t>published. In addition, the achievement of one primary endpoint for a trial does not guarantee that additional co-primary endpoints or secondary endpoints will be achieved, which may have an adverse effect on our ability to obtain or retain additional regulatory approval of MARGENZA and our product candidates in the U.S. or in other jurisdictions.</w:t>
      </w:r>
    </w:p>
    <w:p>
      <w:pPr>
        <w:spacing w:after="0" w:line="13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 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Although all of our product candidates have undergone or will undergo safety testing, not all adverse effects of drugs can be predicted or anticipated. Unforeseen side effects from any of our product candidates could arise either during clinical development or after the approved product has been marketed. Ongoing or future trials of our product candidates may not support the conclusion that one or more of these product candidates have acceptable safety profiles. The results of future clinical or nonclinical trials may show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risk-management measures, or potential product liability claims. For example, in July 2022 we announced the discontinuation of our Phase 2 trial of enoblituzumab in combination with either retifanlimab or tebotelimab in the treatment of patients with recurrent or metastatic SCCHN, based on an internal review of safety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or others later identify undesirable or unacceptable side effects potentially caused by such products:</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impose other risk-management measures, conduct additional clinical trials or change the labeling of the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example, the prescribing information for MARGENZA include warnings and precautions for infusion-related reactions, as well as a boxed warning related to left ventricular dysfunction and embryo-fetal toxicity. Further, based on the identification of future adverse events, we may be required to further revise the prescribing information, including MARGENZA’s boxed warning, which could negatively impact sales of MARGENZA or adversely affect MARGENZA’s acceptance in the market.</w:t>
      </w:r>
    </w:p>
    <w:p>
      <w:pPr>
        <w:spacing w:after="0" w:line="13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business could be adversely affected by economic downturns, inflation, increases in interest rates, natural disasters, public health crises such as the COVID-19 pandemic, political crises, geopolitical events, such as the crisis in Ukraine, or other macroeconomic conditions, which have in the past and may in the future negatively impact our business and financial performance.</w:t>
      </w:r>
    </w:p>
    <w:p>
      <w:pPr>
        <w:spacing w:after="0" w:line="1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Federal Reserve recently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adversely affect our business or the third parties on whom we rely. If the equity and credit markets deteriorate,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4" w:name="page35"/>
    <w:bookmarkEnd w:id="34"/>
    <w:p>
      <w:pPr>
        <w:jc w:val="both"/>
        <w:ind w:right="140"/>
        <w:spacing w:after="0" w:line="263" w:lineRule="auto"/>
        <w:rPr>
          <w:sz w:val="20"/>
          <w:szCs w:val="20"/>
          <w:color w:val="auto"/>
        </w:rPr>
      </w:pPr>
      <w:r>
        <w:rPr>
          <w:rFonts w:ascii="Arial" w:cs="Arial" w:eastAsia="Arial" w:hAnsi="Arial"/>
          <w:sz w:val="18"/>
          <w:szCs w:val="18"/>
          <w:color w:val="auto"/>
        </w:rPr>
        <w:t>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labor and employee benefit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restructuring and the associated workforce reduction announced in August 2022 may not result in anticipated cost savings, could result in total costs and expenses that are greater than expected and could disrupt our business.</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August 2022, we announced a reduction in workforce by approximately 15% in connection with the restructuring of our business to prioritize and focus on our lead assets. We may not realize, in full or in part, the anticipated benefits, savings and improvements in our operating structure from our restructuring efforts due to unforeseen difficulties, delays or unexpected costs. If we are unable to realize the expected operational efficiencies and cost savings from the restructuring, our results of operation and financial condition would be adversely affected. We expect to incur additional costs as we recognize one-time employee termination-related charges. We also cannot guarantee that we will not have to undertake additional workforce reductions or restructuring activities in the future. Furthermore, our strategic restructuring plan may be disruptive to our operations. For example, our workforce reductions could yield unanticipated consequences, such as attrition beyond planned staff reductions, increased difficulties in our day-to-day operations and reduced employee morale. If employees who were not affected by the reduction in force seek alternate employment, this could result in us seeking contract support at unplanned additional expense or harm our productivity. Our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5" w:name="page36"/>
    <w:bookmarkEnd w:id="35"/>
    <w:tbl>
      <w:tblPr>
        <w:tblLayout w:type="fixed"/>
        <w:tblInd w:w="12"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4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0000FF"/>
                <w:w w:val="90"/>
              </w:rPr>
              <w:t>Amendment No. 3 to the Global Collaboration and License Agreement by and between the Company and Incyte</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Corporation, dated July 14, 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31.1</w:t>
            </w:r>
            <w:r>
              <w:rPr>
                <w:rFonts w:ascii="Arial" w:cs="Arial" w:eastAsia="Arial" w:hAnsi="Arial"/>
                <w:sz w:val="23"/>
                <w:szCs w:val="23"/>
                <w:color w:val="auto"/>
                <w:vertAlign w:val="superscript"/>
              </w:rPr>
              <w:t>*</w:t>
            </w:r>
          </w:p>
        </w:tc>
        <w:tc>
          <w:tcPr>
            <w:tcW w:w="94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0000FF"/>
              </w:rPr>
              <w:t>Rule 13a-14(a) Certification of Principal Executive Officer</w:t>
            </w:r>
          </w:p>
        </w:tc>
        <w:tc>
          <w:tcPr>
            <w:tcW w:w="0" w:type="dxa"/>
            <w:vAlign w:val="bottom"/>
          </w:tcPr>
          <w:p>
            <w:pPr>
              <w:spacing w:after="0"/>
              <w:rPr>
                <w:sz w:val="1"/>
                <w:szCs w:val="1"/>
                <w:color w:val="auto"/>
              </w:rPr>
            </w:pPr>
          </w:p>
        </w:tc>
      </w:tr>
      <w:tr>
        <w:trPr>
          <w:trHeight w:val="480"/>
        </w:trPr>
        <w:tc>
          <w:tcPr>
            <w:tcW w:w="720" w:type="dxa"/>
            <w:vAlign w:val="bottom"/>
          </w:tcPr>
          <w:p>
            <w:pPr>
              <w:spacing w:after="0"/>
              <w:rPr>
                <w:sz w:val="20"/>
                <w:szCs w:val="20"/>
                <w:color w:val="auto"/>
              </w:rPr>
            </w:pPr>
            <w:r>
              <w:rPr>
                <w:rFonts w:ascii="Arial" w:cs="Arial" w:eastAsia="Arial" w:hAnsi="Arial"/>
                <w:sz w:val="18"/>
                <w:szCs w:val="18"/>
                <w:color w:val="auto"/>
              </w:rPr>
              <w:t>31.2</w:t>
            </w:r>
            <w:r>
              <w:rPr>
                <w:rFonts w:ascii="Arial" w:cs="Arial" w:eastAsia="Arial" w:hAnsi="Arial"/>
                <w:sz w:val="23"/>
                <w:szCs w:val="23"/>
                <w:color w:val="auto"/>
                <w:vertAlign w:val="superscript"/>
              </w:rPr>
              <w:t>*</w:t>
            </w: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Rule 13a-14(a) Certification of Principal Financial Officer</w:t>
            </w:r>
          </w:p>
        </w:tc>
        <w:tc>
          <w:tcPr>
            <w:tcW w:w="40" w:type="dxa"/>
            <w:vAlign w:val="bottom"/>
            <w:tcBorders>
              <w:top w:val="single" w:sz="8" w:color="0000FF"/>
            </w:tcBorders>
          </w:tcPr>
          <w:p>
            <w:pPr>
              <w:spacing w:after="0"/>
              <w:rPr>
                <w:sz w:val="24"/>
                <w:szCs w:val="24"/>
                <w:color w:val="auto"/>
              </w:rPr>
            </w:pPr>
          </w:p>
        </w:tc>
        <w:tc>
          <w:tcPr>
            <w:tcW w:w="3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20" w:type="dxa"/>
            <w:vAlign w:val="bottom"/>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0000FF"/>
              </w:rPr>
              <w:t>Section 1350 Certification of Principal Executive Officer</w:t>
            </w:r>
          </w:p>
        </w:tc>
        <w:tc>
          <w:tcPr>
            <w:tcW w:w="0" w:type="dxa"/>
            <w:vAlign w:val="bottom"/>
          </w:tcPr>
          <w:p>
            <w:pPr>
              <w:spacing w:after="0"/>
              <w:rPr>
                <w:sz w:val="1"/>
                <w:szCs w:val="1"/>
                <w:color w:val="auto"/>
              </w:rPr>
            </w:pPr>
          </w:p>
        </w:tc>
      </w:tr>
      <w:tr>
        <w:trPr>
          <w:trHeight w:val="479"/>
        </w:trPr>
        <w:tc>
          <w:tcPr>
            <w:tcW w:w="720" w:type="dxa"/>
            <w:vAlign w:val="bottom"/>
          </w:tcPr>
          <w:p>
            <w:pPr>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3"/>
              </w:rPr>
              <w:t>Section 1350 Certification of Principal Financial Officer</w:t>
            </w:r>
          </w:p>
        </w:tc>
        <w:tc>
          <w:tcPr>
            <w:tcW w:w="40" w:type="dxa"/>
            <w:vAlign w:val="bottom"/>
            <w:tcBorders>
              <w:top w:val="single" w:sz="8" w:color="0000FF"/>
            </w:tcBorders>
          </w:tcPr>
          <w:p>
            <w:pPr>
              <w:spacing w:after="0"/>
              <w:rPr>
                <w:sz w:val="24"/>
                <w:szCs w:val="24"/>
                <w:color w:val="auto"/>
              </w:rPr>
            </w:pPr>
          </w:p>
        </w:tc>
        <w:tc>
          <w:tcPr>
            <w:tcW w:w="40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Labels Linkbase Document</w:t>
            </w:r>
          </w:p>
        </w:tc>
        <w:tc>
          <w:tcPr>
            <w:tcW w:w="0" w:type="dxa"/>
            <w:vAlign w:val="bottom"/>
          </w:tcPr>
          <w:p>
            <w:pPr>
              <w:spacing w:after="0"/>
              <w:rPr>
                <w:sz w:val="1"/>
                <w:szCs w:val="1"/>
                <w:color w:val="auto"/>
              </w:rPr>
            </w:pP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44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rPr>
              <w:t>Cover Page Interactive Data (formatted as Inline XBRL and contained in Exhibit 101 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2" w:hanging="332"/>
        <w:spacing w:after="0" w:line="258"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Portions of this document (indicated by “[***]” have been omitted because they are not material and are the type that MacroGenics, Inc. treats as private and confidential.</w:t>
      </w:r>
    </w:p>
    <w:p>
      <w:pPr>
        <w:spacing w:after="0" w:line="1" w:lineRule="exact"/>
        <w:rPr>
          <w:sz w:val="20"/>
          <w:szCs w:val="20"/>
          <w:color w:val="auto"/>
        </w:rPr>
      </w:pPr>
    </w:p>
    <w:p>
      <w:pPr>
        <w:ind w:left="312" w:hanging="312"/>
        <w:spacing w:after="0"/>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12" w:hanging="412"/>
        <w:spacing w:after="0"/>
        <w:tabs>
          <w:tab w:leader="none" w:pos="4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2"/>
          </w:cols>
          <w:pgMar w:left="328" w:top="972" w:right="779" w:bottom="1440" w:gutter="0" w:footer="0" w:header="0"/>
        </w:sectPr>
      </w:pPr>
    </w:p>
    <w:bookmarkStart w:id="36" w:name="page37"/>
    <w:bookmarkEnd w:id="36"/>
    <w:p>
      <w:pPr>
        <w:jc w:val="center"/>
        <w:ind w:right="-3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918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Scott Koenig, M.D., Ph.D.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918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Karrels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3, 2022</w:t>
      </w:r>
    </w:p>
    <w:p>
      <w:pPr>
        <w:sectPr>
          <w:pgSz w:w="11900" w:h="16838" w:orient="portrait"/>
          <w:cols w:equalWidth="0" w:num="1">
            <w:col w:w="10920"/>
          </w:cols>
          <w:pgMar w:left="320" w:top="931" w:right="6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PORTIONS OF THIS EXHIBIT (INDICATED BY [***]) HAVE BEEN EXCLUDED PURSUANT TO ITEM 601(B)(10) OF</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b w:val="1"/>
          <w:bCs w:val="1"/>
          <w:color w:val="auto"/>
        </w:rPr>
        <w:t>REGULATION S-K BECAUSE THEY ARE BOTH NOT MATERIAL AND ARE THE TYPE THAT THE COMPANY TREATS AS PRIVATE AND CONFIDENTIAL.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 TO GLOBAL COLLABORATION AND LICENSE AGREEMENT</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This Amendment No. 3 to Global Collaboration and License Agreement (this “</w:t>
      </w:r>
      <w:r>
        <w:rPr>
          <w:rFonts w:ascii="Arial" w:cs="Arial" w:eastAsia="Arial" w:hAnsi="Arial"/>
          <w:sz w:val="21"/>
          <w:szCs w:val="21"/>
          <w:u w:val="single" w:color="auto"/>
          <w:color w:val="auto"/>
        </w:rPr>
        <w:t>Amendment No. 3</w:t>
      </w:r>
      <w:r>
        <w:rPr>
          <w:rFonts w:ascii="Arial" w:cs="Arial" w:eastAsia="Arial" w:hAnsi="Arial"/>
          <w:sz w:val="21"/>
          <w:szCs w:val="21"/>
          <w:color w:val="auto"/>
        </w:rPr>
        <w:t xml:space="preserve">”) is dated as of July 14, 2022, by and between </w:t>
      </w:r>
      <w:r>
        <w:rPr>
          <w:rFonts w:ascii="Arial" w:cs="Arial" w:eastAsia="Arial" w:hAnsi="Arial"/>
          <w:sz w:val="21"/>
          <w:szCs w:val="21"/>
          <w:b w:val="1"/>
          <w:bCs w:val="1"/>
          <w:color w:val="auto"/>
        </w:rPr>
        <w:t>INCYTE CORPORATION</w:t>
      </w:r>
      <w:r>
        <w:rPr>
          <w:rFonts w:ascii="Arial" w:cs="Arial" w:eastAsia="Arial" w:hAnsi="Arial"/>
          <w:sz w:val="21"/>
          <w:szCs w:val="21"/>
          <w:color w:val="auto"/>
        </w:rPr>
        <w:t>, a Delaware corporation, having its principal place of business at 1801 Augustine Cut-Off, Wilmington, DE 19803 (hereinafter “</w:t>
      </w:r>
      <w:r>
        <w:rPr>
          <w:rFonts w:ascii="Arial" w:cs="Arial" w:eastAsia="Arial" w:hAnsi="Arial"/>
          <w:sz w:val="21"/>
          <w:szCs w:val="21"/>
          <w:u w:val="single" w:color="auto"/>
          <w:color w:val="auto"/>
        </w:rPr>
        <w:t>Incyte</w:t>
      </w:r>
      <w:r>
        <w:rPr>
          <w:rFonts w:ascii="Arial" w:cs="Arial" w:eastAsia="Arial" w:hAnsi="Arial"/>
          <w:sz w:val="21"/>
          <w:szCs w:val="21"/>
          <w:color w:val="auto"/>
        </w:rPr>
        <w:t xml:space="preserve">”), and </w:t>
      </w:r>
      <w:r>
        <w:rPr>
          <w:rFonts w:ascii="Arial" w:cs="Arial" w:eastAsia="Arial" w:hAnsi="Arial"/>
          <w:sz w:val="21"/>
          <w:szCs w:val="21"/>
          <w:b w:val="1"/>
          <w:bCs w:val="1"/>
          <w:color w:val="auto"/>
        </w:rPr>
        <w:t>MACROGENICS, INC.</w:t>
      </w:r>
      <w:r>
        <w:rPr>
          <w:rFonts w:ascii="Arial" w:cs="Arial" w:eastAsia="Arial" w:hAnsi="Arial"/>
          <w:sz w:val="21"/>
          <w:szCs w:val="21"/>
          <w:color w:val="auto"/>
        </w:rPr>
        <w:t>, a Delaware corporation, having its principal place of business at 9704 Medical Center Drive, Rockville, MD 20850 (“</w:t>
      </w:r>
      <w:r>
        <w:rPr>
          <w:rFonts w:ascii="Arial" w:cs="Arial" w:eastAsia="Arial" w:hAnsi="Arial"/>
          <w:sz w:val="21"/>
          <w:szCs w:val="21"/>
          <w:u w:val="single" w:color="auto"/>
          <w:color w:val="auto"/>
        </w:rPr>
        <w:t>MacroGenics</w:t>
      </w:r>
      <w:r>
        <w:rPr>
          <w:rFonts w:ascii="Arial" w:cs="Arial" w:eastAsia="Arial" w:hAnsi="Arial"/>
          <w:sz w:val="21"/>
          <w:szCs w:val="21"/>
          <w:color w:val="auto"/>
        </w:rPr>
        <w:t>”, together with Incyte, the “</w:t>
      </w:r>
      <w:r>
        <w:rPr>
          <w:rFonts w:ascii="Arial" w:cs="Arial" w:eastAsia="Arial" w:hAnsi="Arial"/>
          <w:sz w:val="21"/>
          <w:szCs w:val="21"/>
          <w:u w:val="single" w:color="auto"/>
          <w:color w:val="auto"/>
        </w:rPr>
        <w:t>Parties</w:t>
      </w:r>
      <w:r>
        <w:rPr>
          <w:rFonts w:ascii="Arial" w:cs="Arial" w:eastAsia="Arial" w:hAnsi="Arial"/>
          <w:sz w:val="21"/>
          <w:szCs w:val="21"/>
          <w:color w:val="auto"/>
        </w:rPr>
        <w:t>” and each separately, a “</w:t>
      </w:r>
      <w:r>
        <w:rPr>
          <w:rFonts w:ascii="Arial" w:cs="Arial" w:eastAsia="Arial" w:hAnsi="Arial"/>
          <w:sz w:val="21"/>
          <w:szCs w:val="21"/>
          <w:u w:val="single" w:color="auto"/>
          <w:color w:val="auto"/>
        </w:rPr>
        <w:t>Party</w:t>
      </w:r>
      <w:r>
        <w:rPr>
          <w:rFonts w:ascii="Arial" w:cs="Arial" w:eastAsia="Arial" w:hAnsi="Arial"/>
          <w:sz w:val="21"/>
          <w:szCs w:val="21"/>
          <w:color w:val="auto"/>
        </w:rPr>
        <w:t>”), and is meant to amend that certain Global Collaboration and License Agreement, dated as of October 24, 2017, between Incyte and MacroGenics and amended on March 15, 2018 (“</w:t>
      </w:r>
      <w:r>
        <w:rPr>
          <w:rFonts w:ascii="Arial" w:cs="Arial" w:eastAsia="Arial" w:hAnsi="Arial"/>
          <w:sz w:val="21"/>
          <w:szCs w:val="21"/>
          <w:u w:val="single" w:color="auto"/>
          <w:color w:val="auto"/>
        </w:rPr>
        <w:t>Amendment No. 1</w:t>
      </w:r>
      <w:r>
        <w:rPr>
          <w:rFonts w:ascii="Arial" w:cs="Arial" w:eastAsia="Arial" w:hAnsi="Arial"/>
          <w:sz w:val="21"/>
          <w:szCs w:val="21"/>
          <w:color w:val="auto"/>
        </w:rPr>
        <w:t>”) and April 7, 2022 (“</w:t>
      </w:r>
      <w:r>
        <w:rPr>
          <w:rFonts w:ascii="Arial" w:cs="Arial" w:eastAsia="Arial" w:hAnsi="Arial"/>
          <w:sz w:val="21"/>
          <w:szCs w:val="21"/>
          <w:u w:val="single" w:color="auto"/>
          <w:color w:val="auto"/>
        </w:rPr>
        <w:t>Amendment No. 2</w:t>
      </w:r>
      <w:r>
        <w:rPr>
          <w:rFonts w:ascii="Arial" w:cs="Arial" w:eastAsia="Arial" w:hAnsi="Arial"/>
          <w:sz w:val="21"/>
          <w:szCs w:val="21"/>
          <w:color w:val="auto"/>
        </w:rPr>
        <w:t>”). The Global Collaboration and License Agreement, Amendment No. 1, and Amendment No. 2 are referred to herein collectively as the “</w:t>
      </w:r>
      <w:r>
        <w:rPr>
          <w:rFonts w:ascii="Arial" w:cs="Arial" w:eastAsia="Arial" w:hAnsi="Arial"/>
          <w:sz w:val="21"/>
          <w:szCs w:val="21"/>
          <w:u w:val="single" w:color="auto"/>
          <w:color w:val="auto"/>
        </w:rPr>
        <w:t>Agreement</w:t>
      </w:r>
      <w:r>
        <w:rPr>
          <w:rFonts w:ascii="Arial" w:cs="Arial" w:eastAsia="Arial" w:hAnsi="Arial"/>
          <w:sz w:val="21"/>
          <w:szCs w:val="21"/>
          <w:color w:val="auto"/>
        </w:rPr>
        <w:t>”. Capitalized terms used and not otherwise defined herein shall have the meanings ascribed to such terms in the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Parties wish to modify the Agreement to reflect changes agreed to between the Parties with respect to (a) the acceleration of payment for certain Milestones with respect to [***] and (b) the [***] of certain Milestones with respect to [***];</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NOW, THEREFORE, IN CONSIDERATION of the mutual covenants contained herein, and for other good and valuable consideration the receipt and adequacy of which are hereby acknowledged, the Parties agree as follows:</w:t>
      </w:r>
    </w:p>
    <w:p>
      <w:pPr>
        <w:spacing w:after="0" w:line="151" w:lineRule="exact"/>
        <w:rPr>
          <w:sz w:val="20"/>
          <w:szCs w:val="20"/>
          <w:color w:val="auto"/>
        </w:rPr>
      </w:pPr>
    </w:p>
    <w:p>
      <w:pPr>
        <w:jc w:val="both"/>
        <w:ind w:left="980" w:hanging="648"/>
        <w:spacing w:after="0" w:line="214"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Acceleration of First Development Milestones with respect to [***] Indications</w:t>
      </w:r>
      <w:r>
        <w:rPr>
          <w:rFonts w:ascii="Arial" w:cs="Arial" w:eastAsia="Arial" w:hAnsi="Arial"/>
          <w:sz w:val="22"/>
          <w:szCs w:val="22"/>
          <w:color w:val="auto"/>
        </w:rPr>
        <w:t xml:space="preserve">. The Parties agree that the first Development Milestone set forth in Section 8.2(b) of the Agreement, [***] (including Incyte Monotherapy Studies and Incyte Combination Studies) [***] </w:t>
      </w:r>
      <w:r>
        <w:rPr>
          <w:rFonts w:ascii="Arial" w:cs="Arial" w:eastAsia="Arial" w:hAnsi="Arial"/>
          <w:sz w:val="22"/>
          <w:szCs w:val="22"/>
          <w:u w:val="single" w:color="auto"/>
          <w:color w:val="auto"/>
        </w:rPr>
        <w:t>Milestone</w:t>
      </w:r>
      <w:r>
        <w:rPr>
          <w:rFonts w:ascii="Arial" w:cs="Arial" w:eastAsia="Arial" w:hAnsi="Arial"/>
          <w:sz w:val="22"/>
          <w:szCs w:val="22"/>
          <w:color w:val="auto"/>
        </w:rPr>
        <w:t>”) shall be deemed to have been achieved with respect to the Indications [***]. Incyte shall pay MacroGenics within [***] Business Days of the date hereof the amount of [***], representing payment for the achievement of such [***]Milestones. The Parties agree that only [***] remains unachieved and potentially payable by Incyte in the future.</w:t>
      </w:r>
    </w:p>
    <w:p>
      <w:pPr>
        <w:spacing w:after="0" w:line="158" w:lineRule="exact"/>
        <w:rPr>
          <w:rFonts w:ascii="Arial" w:cs="Arial" w:eastAsia="Arial" w:hAnsi="Arial"/>
          <w:sz w:val="22"/>
          <w:szCs w:val="22"/>
          <w:color w:val="auto"/>
        </w:rPr>
      </w:pPr>
    </w:p>
    <w:p>
      <w:pPr>
        <w:ind w:left="980" w:hanging="648"/>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Removal of Certain Milestones and Payments for [***]</w:t>
      </w:r>
      <w:r>
        <w:rPr>
          <w:rFonts w:ascii="Arial" w:cs="Arial" w:eastAsia="Arial" w:hAnsi="Arial"/>
          <w:sz w:val="22"/>
          <w:szCs w:val="22"/>
          <w:color w:val="auto"/>
        </w:rPr>
        <w:t>. The Parties agree that:</w:t>
      </w:r>
    </w:p>
    <w:p>
      <w:pPr>
        <w:spacing w:after="0" w:line="179" w:lineRule="exact"/>
        <w:rPr>
          <w:rFonts w:ascii="Arial" w:cs="Arial" w:eastAsia="Arial" w:hAnsi="Arial"/>
          <w:sz w:val="22"/>
          <w:szCs w:val="22"/>
          <w:color w:val="auto"/>
        </w:rPr>
      </w:pPr>
    </w:p>
    <w:p>
      <w:pPr>
        <w:ind w:left="1300" w:right="20" w:hanging="324"/>
        <w:spacing w:after="0" w:line="244" w:lineRule="auto"/>
        <w:rPr>
          <w:rFonts w:ascii="Arial" w:cs="Arial" w:eastAsia="Arial" w:hAnsi="Arial"/>
          <w:sz w:val="22"/>
          <w:szCs w:val="22"/>
          <w:color w:val="auto"/>
        </w:rPr>
      </w:pPr>
      <w:r>
        <w:rPr>
          <w:rFonts w:ascii="Arial" w:cs="Arial" w:eastAsia="Arial" w:hAnsi="Arial"/>
          <w:sz w:val="19"/>
          <w:szCs w:val="19"/>
          <w:color w:val="auto"/>
        </w:rPr>
        <w:t>a. The [***] shall not apply with respect to the Indication [***], and [***] for the [***] shall [***] with respect to the Indication of [***], whether by reason of (i) actually [***] in the Indication [***] or (ii) the occurrence of any of the events set forth in the final sentence in the first paragraph of Section 8.2 stating, “In addition, except with respect to the Breakthrough Designation Milestone, if for any reason any other Development Milestone corresponding to a Milestone payment does not occur prior to the occurrence of Regulatory Approval, then such prior non-occurring Development Milestone shall be deemed to occur concurrently with Regulatory Approval, and the applicable Milestone payments for the applicable Development Milestones shall become due and payable in accordance with this Section 8.2.” For clarity, [***] by Incyte, its Affiliates, or sublicensees for a Monotherapy Regimen or Incyte Combination Regimen in the [***] any such Milestone payment.</w:t>
      </w:r>
    </w:p>
    <w:p>
      <w:pPr>
        <w:sectPr>
          <w:pgSz w:w="11900" w:h="16838" w:orient="portrait"/>
          <w:cols w:equalWidth="0" w:num="1">
            <w:col w:w="11240"/>
          </w:cols>
          <w:pgMar w:left="320" w:top="135" w:right="339" w:bottom="1440" w:gutter="0" w:footer="0" w:header="0"/>
        </w:sectPr>
      </w:pPr>
    </w:p>
    <w:bookmarkStart w:id="38" w:name="page39"/>
    <w:bookmarkEnd w:id="38"/>
    <w:p>
      <w:pPr>
        <w:spacing w:after="0" w:line="204" w:lineRule="exact"/>
        <w:rPr>
          <w:sz w:val="20"/>
          <w:szCs w:val="20"/>
          <w:color w:val="auto"/>
        </w:rPr>
      </w:pPr>
    </w:p>
    <w:p>
      <w:pPr>
        <w:ind w:left="968" w:right="100" w:hanging="320"/>
        <w:spacing w:after="0" w:line="232" w:lineRule="auto"/>
        <w:tabs>
          <w:tab w:leader="none" w:pos="968"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Regulatory Filing Milestone [***] set forth in Section 8.2(c) of the Agreement [***] respect to the Indication [***], and [***] of such Milestone [***] with respect to the [***].</w:t>
      </w:r>
    </w:p>
    <w:p>
      <w:pPr>
        <w:spacing w:after="0" w:line="185" w:lineRule="exact"/>
        <w:rPr>
          <w:rFonts w:ascii="Arial" w:cs="Arial" w:eastAsia="Arial" w:hAnsi="Arial"/>
          <w:sz w:val="22"/>
          <w:szCs w:val="22"/>
          <w:color w:val="auto"/>
        </w:rPr>
      </w:pPr>
    </w:p>
    <w:p>
      <w:pPr>
        <w:ind w:left="968" w:right="140" w:hanging="320"/>
        <w:spacing w:after="0" w:line="232" w:lineRule="auto"/>
        <w:tabs>
          <w:tab w:leader="none" w:pos="956"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Approval Milestone [***] set forth in Section 8.2(d) of the Agreement [***] with respect to the Indication of [***], and [***] for the [***] Milestone shall [***] with respect to the Indication [***].</w:t>
      </w:r>
    </w:p>
    <w:p>
      <w:pPr>
        <w:spacing w:after="0" w:line="185" w:lineRule="exact"/>
        <w:rPr>
          <w:rFonts w:ascii="Arial" w:cs="Arial" w:eastAsia="Arial" w:hAnsi="Arial"/>
          <w:sz w:val="22"/>
          <w:szCs w:val="22"/>
          <w:color w:val="auto"/>
        </w:rPr>
      </w:pPr>
    </w:p>
    <w:p>
      <w:pPr>
        <w:jc w:val="both"/>
        <w:ind w:left="648" w:hanging="648"/>
        <w:spacing w:after="0" w:line="247" w:lineRule="auto"/>
        <w:tabs>
          <w:tab w:leader="none" w:pos="64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Entire Agreement; Remaining Provisions of the Agreement</w:t>
      </w:r>
      <w:r>
        <w:rPr>
          <w:rFonts w:ascii="Arial" w:cs="Arial" w:eastAsia="Arial" w:hAnsi="Arial"/>
          <w:sz w:val="19"/>
          <w:szCs w:val="19"/>
          <w:color w:val="auto"/>
        </w:rPr>
        <w:t>. The Agreement, as supplemented and modified by this Amendment No. 3, contains the entire understanding of the parties with respect to the subject matter hereof and supersedes all prior agreements and understandings, oral or written, with respect to such matters, which the parties acknowledge have been merged into the Agreement. Upon the effectiveness of this Amendment No. 3, on and after the date hereof, each reference in the Agreement to “this Agreement,” “hereunder,” “hereof,” “herein” or words of like import shall mean and be a reference to the Agreement, as amended hereby. Except as provided herein, each of the other provisions of the Agreement shall remain in full force and effect.</w:t>
      </w:r>
    </w:p>
    <w:p>
      <w:pPr>
        <w:spacing w:after="0" w:line="153" w:lineRule="exact"/>
        <w:rPr>
          <w:rFonts w:ascii="Arial" w:cs="Arial" w:eastAsia="Arial" w:hAnsi="Arial"/>
          <w:sz w:val="19"/>
          <w:szCs w:val="19"/>
          <w:color w:val="auto"/>
        </w:rPr>
      </w:pPr>
    </w:p>
    <w:p>
      <w:pPr>
        <w:ind w:left="648" w:right="20" w:hanging="648"/>
        <w:spacing w:after="0" w:line="298" w:lineRule="auto"/>
        <w:tabs>
          <w:tab w:leader="none" w:pos="64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No. 3 shall be governed by and construed under the laws of the State of New York, without giving effect to any choice of law principles that would require the application of the laws of a different state.</w:t>
      </w:r>
    </w:p>
    <w:p>
      <w:pPr>
        <w:spacing w:after="0" w:line="105" w:lineRule="exact"/>
        <w:rPr>
          <w:rFonts w:ascii="Arial" w:cs="Arial" w:eastAsia="Arial" w:hAnsi="Arial"/>
          <w:sz w:val="19"/>
          <w:szCs w:val="19"/>
          <w:color w:val="auto"/>
        </w:rPr>
      </w:pPr>
    </w:p>
    <w:p>
      <w:pPr>
        <w:jc w:val="both"/>
        <w:ind w:left="648" w:hanging="648"/>
        <w:spacing w:after="0" w:line="218" w:lineRule="auto"/>
        <w:tabs>
          <w:tab w:leader="none" w:pos="64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No. 3 may be executed in two (2) or more counterparts, each of which shall be deemed an original, but all of which together shall constitute one and the same instrument. This Amendment No. 3 may be executed by .pdf or other electronically transmitted signatures and such signatures shall be deemed to bind each Party as if they were the original signatures.</w:t>
      </w:r>
    </w:p>
    <w:p>
      <w:pPr>
        <w:spacing w:after="0" w:line="161" w:lineRule="exact"/>
        <w:rPr>
          <w:sz w:val="20"/>
          <w:szCs w:val="20"/>
          <w:color w:val="auto"/>
        </w:rPr>
      </w:pPr>
    </w:p>
    <w:p>
      <w:pPr>
        <w:jc w:val="center"/>
        <w:ind w:right="312"/>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908"/>
          </w:cols>
          <w:pgMar w:left="652" w:top="1440" w:right="339" w:bottom="1440" w:gutter="0" w:footer="0" w:header="0"/>
        </w:sectPr>
      </w:pPr>
    </w:p>
    <w:bookmarkStart w:id="39" w:name="page40"/>
    <w:bookmarkEnd w:id="39"/>
    <w:p>
      <w:pPr>
        <w:spacing w:after="0" w:line="247" w:lineRule="auto"/>
        <w:rPr>
          <w:sz w:val="20"/>
          <w:szCs w:val="20"/>
          <w:color w:val="auto"/>
        </w:rPr>
      </w:pPr>
      <w:r>
        <w:rPr>
          <w:rFonts w:ascii="Arial" w:cs="Arial" w:eastAsia="Arial" w:hAnsi="Arial"/>
          <w:sz w:val="21"/>
          <w:szCs w:val="21"/>
          <w:color w:val="auto"/>
        </w:rPr>
        <w:t>IN WITNESS WHEREOF, the parties hereto have caused this Amendment No. 3 to Global Collaboration and License Agreement to be duly executed by their respective authorized signatories effective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MACROGENICS, INC.</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__________________________________________</w:t>
      </w:r>
    </w:p>
    <w:p>
      <w:pPr>
        <w:ind w:left="340"/>
        <w:spacing w:after="0" w:line="204" w:lineRule="auto"/>
        <w:rPr>
          <w:sz w:val="20"/>
          <w:szCs w:val="20"/>
          <w:color w:val="auto"/>
        </w:rPr>
      </w:pPr>
      <w:r>
        <w:rPr>
          <w:rFonts w:ascii="Arial" w:cs="Arial" w:eastAsia="Arial" w:hAnsi="Arial"/>
          <w:sz w:val="22"/>
          <w:szCs w:val="22"/>
          <w:color w:val="auto"/>
        </w:rPr>
        <w:t>Name: [***]</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INCYTE CORPORATION</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__________________________________________</w:t>
      </w:r>
    </w:p>
    <w:p>
      <w:pPr>
        <w:ind w:left="340"/>
        <w:spacing w:after="0" w:line="204" w:lineRule="auto"/>
        <w:rPr>
          <w:sz w:val="20"/>
          <w:szCs w:val="20"/>
          <w:color w:val="auto"/>
        </w:rPr>
      </w:pPr>
      <w:r>
        <w:rPr>
          <w:rFonts w:ascii="Arial" w:cs="Arial" w:eastAsia="Arial" w:hAnsi="Arial"/>
          <w:sz w:val="22"/>
          <w:szCs w:val="22"/>
          <w:color w:val="auto"/>
        </w:rPr>
        <w:t>Name: [***]</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0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Scott Koenig, certify that:</w:t>
      </w:r>
    </w:p>
    <w:p>
      <w:pPr>
        <w:spacing w:after="0" w:line="25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MacroGenics, Inc.;</w:t>
      </w:r>
    </w:p>
    <w:p>
      <w:pPr>
        <w:spacing w:after="0" w:line="171"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140" w:hanging="484"/>
        <w:spacing w:after="0" w:line="342" w:lineRule="auto"/>
        <w:tabs>
          <w:tab w:leader="none" w:pos="113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140" w:hanging="484"/>
        <w:spacing w:after="0" w:line="263"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hanging="484"/>
        <w:spacing w:after="0" w:line="308" w:lineRule="auto"/>
        <w:tabs>
          <w:tab w:leader="none" w:pos="113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140" w:right="20" w:hanging="484"/>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 Koenig, M.D.,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2022</w:t>
      </w:r>
    </w:p>
    <w:p>
      <w:pPr>
        <w:sectPr>
          <w:pgSz w:w="11900" w:h="16838" w:orient="portrait"/>
          <w:cols w:equalWidth="0" w:num="1">
            <w:col w:w="11240"/>
          </w:cols>
          <w:pgMar w:left="320" w:top="1259" w:right="339" w:bottom="1440" w:gutter="0" w:footer="0" w:header="0"/>
        </w:sectPr>
      </w:pPr>
    </w:p>
    <w:bookmarkStart w:id="41" w:name="page42"/>
    <w:bookmarkEnd w:id="41"/>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James Karrels, certify that:</w:t>
      </w:r>
    </w:p>
    <w:p>
      <w:pPr>
        <w:spacing w:after="0" w:line="238"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MacroGenics, Inc.;</w:t>
      </w:r>
    </w:p>
    <w:p>
      <w:pPr>
        <w:spacing w:after="0" w:line="171"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140" w:hanging="484"/>
        <w:spacing w:after="0" w:line="342" w:lineRule="auto"/>
        <w:tabs>
          <w:tab w:leader="none" w:pos="113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140" w:hanging="484"/>
        <w:spacing w:after="0" w:line="263"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hanging="484"/>
        <w:spacing w:after="0" w:line="308" w:lineRule="auto"/>
        <w:tabs>
          <w:tab w:leader="none" w:pos="113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140" w:right="20" w:hanging="484"/>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James Karrels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2022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r>
        <w:rPr>
          <w:rFonts w:ascii="Arial" w:cs="Arial" w:eastAsia="Arial" w:hAnsi="Arial"/>
          <w:sz w:val="18"/>
          <w:szCs w:val="18"/>
          <w:color w:val="auto"/>
        </w:rPr>
        <w:t>)</w:t>
      </w:r>
    </w:p>
    <w:p>
      <w:pPr>
        <w:spacing w:after="0" w:line="23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 Scott Koenig, President and Chief Executive Officer (principal executive officer) of MacroGenics, Inc. (the Registrant), certify, to the best of my knowledge, based upon a review of the Quarterly Report on Form 10-Q for the period ended September 30, 2022 of the Registrant (the Report), that:</w:t>
      </w:r>
    </w:p>
    <w:p>
      <w:pPr>
        <w:spacing w:after="0" w:line="15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Scott Koenig, M.D.,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November 3, 2022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 James Karrels, Senior Vice President and Chief Financial Officer (principal financial officer) of MacroGenics, Inc. (the Registrant), certify, to the best of my knowledge, based upon a review of the Quarterly Report on Form 10-Q for the period ended September 30, 2022 of the Registrant (the Report), that:</w:t>
      </w:r>
    </w:p>
    <w:p>
      <w:pPr>
        <w:spacing w:after="0" w:line="15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James Karrels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November 3, 2022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lvl w:ilvl="1">
      <w:lvlJc w:val="left"/>
      <w:lvlText w:val="%2"/>
      <w:numFmt w:val="low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2"/>
    </w:lvl>
  </w:abstractNum>
  <w:abstractNum w:abstractNumId="30">
    <w:nsid w:val="4516DDE9"/>
    <w:multiLevelType w:val="hybridMultilevel"/>
    <w:lvl w:ilvl="0">
      <w:lvlJc w:val="left"/>
      <w:lvlText w:val="%1."/>
      <w:numFmt w:val="decimal"/>
      <w:start w:val="3"/>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2022-11-03T15:27:50Z</dcterms:created>
  <dcterms:modified xsi:type="dcterms:W3CDTF">2022-11-03T15:27:50Z</dcterms:modified>
</cp:coreProperties>
</file>