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080" w:firstLine="648"/>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 2024, 62,763,448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9"/>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3"/>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6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September 30, 2024 (unaudited) and December 31, 2023</w:t>
            </w:r>
          </w:p>
        </w:tc>
        <w:tc>
          <w:tcPr>
            <w:tcW w:w="210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nine months ended</w:t>
            </w:r>
          </w:p>
        </w:tc>
      </w:tr>
      <w:tr>
        <w:trPr>
          <w:trHeight w:val="156"/>
        </w:trPr>
        <w:tc>
          <w:tcPr>
            <w:tcW w:w="27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30, 2024 and September 30, 2023 (unaudited)</w:t>
            </w:r>
          </w:p>
        </w:tc>
        <w:tc>
          <w:tcPr>
            <w:tcW w:w="390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2024 and</w:t>
            </w:r>
          </w:p>
        </w:tc>
      </w:tr>
      <w:tr>
        <w:trPr>
          <w:trHeight w:val="156"/>
        </w:trPr>
        <w:tc>
          <w:tcPr>
            <w:tcW w:w="2740" w:type="dxa"/>
            <w:vAlign w:val="bottom"/>
          </w:tcPr>
          <w:p>
            <w:pPr>
              <w:spacing w:after="0"/>
              <w:rPr>
                <w:sz w:val="13"/>
                <w:szCs w:val="13"/>
                <w:color w:val="auto"/>
              </w:rPr>
            </w:pPr>
          </w:p>
        </w:tc>
        <w:tc>
          <w:tcPr>
            <w:tcW w:w="796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September 30, 2023 (unaudited)</w:t>
            </w:r>
          </w:p>
        </w:tc>
        <w:tc>
          <w:tcPr>
            <w:tcW w:w="12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September 30, 2023</w:t>
            </w:r>
          </w:p>
        </w:tc>
      </w:tr>
      <w:tr>
        <w:trPr>
          <w:trHeight w:val="155"/>
        </w:trPr>
        <w:tc>
          <w:tcPr>
            <w:tcW w:w="27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(unaudited)</w:t>
            </w:r>
          </w:p>
        </w:tc>
        <w:tc>
          <w:tcPr>
            <w:tcW w:w="7240" w:type="dxa"/>
            <w:vAlign w:val="bottom"/>
            <w:tcBorders>
              <w:top w:val="single" w:sz="8" w:color="0000FF"/>
            </w:tcBorders>
            <w:gridSpan w:val="16"/>
          </w:tcPr>
          <w:p>
            <w:pPr>
              <w:spacing w:after="0"/>
              <w:rPr>
                <w:sz w:val="13"/>
                <w:szCs w:val="13"/>
                <w:color w:val="auto"/>
              </w:rPr>
            </w:pPr>
          </w:p>
        </w:tc>
        <w:tc>
          <w:tcPr>
            <w:tcW w:w="42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2"/>
          </w:tcPr>
          <w:p>
            <w:pPr>
              <w:spacing w:after="0"/>
              <w:rPr>
                <w:sz w:val="24"/>
                <w:szCs w:val="24"/>
                <w:color w:val="auto"/>
              </w:rPr>
            </w:pPr>
          </w:p>
        </w:tc>
      </w:tr>
      <w:tr>
        <w:trPr>
          <w:trHeight w:val="480"/>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11"/>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4"/>
                <w:szCs w:val="24"/>
                <w:color w:val="auto"/>
              </w:rPr>
            </w:pPr>
          </w:p>
        </w:tc>
        <w:tc>
          <w:tcPr>
            <w:tcW w:w="7160" w:type="dxa"/>
            <w:vAlign w:val="bottom"/>
            <w:gridSpan w:val="14"/>
          </w:tcPr>
          <w:p>
            <w:pPr>
              <w:spacing w:after="0"/>
              <w:rPr>
                <w:sz w:val="24"/>
                <w:szCs w:val="24"/>
                <w:color w:val="auto"/>
              </w:rPr>
            </w:pPr>
          </w:p>
        </w:tc>
      </w:tr>
      <w:tr>
        <w:trPr>
          <w:trHeight w:val="641"/>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80" w:type="dxa"/>
            <w:vAlign w:val="bottom"/>
            <w:gridSpan w:val="15"/>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8"/>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2023 and "Part II, Item 1A. Risk Factors" of this Quarterly Report on Form 10-Q), could affect future performance and cause actual results to differ materially from those matters expressed in or implied by forward-looking statements:</w:t>
      </w:r>
    </w:p>
    <w:p>
      <w:pPr>
        <w:spacing w:after="0" w:line="79"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63" w:lineRule="exact"/>
        <w:rPr>
          <w:rFonts w:ascii="Times New Roman" w:cs="Times New Roman" w:eastAsia="Times New Roman" w:hAnsi="Times New Roman"/>
          <w:sz w:val="18"/>
          <w:szCs w:val="18"/>
          <w:color w:val="auto"/>
        </w:rPr>
      </w:pPr>
    </w:p>
    <w:p>
      <w:pPr>
        <w:ind w:left="520" w:right="1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closing of the sale of MARGENZA to TerSera Therapeutics, LLC, or TerSera, in the fourth quarter of 2024 and anticipated receipt of sales milestone payments in connection with the sale of MARGENZA to TerSera;</w:t>
      </w:r>
    </w:p>
    <w:p>
      <w:pPr>
        <w:spacing w:after="0" w:line="1"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8"/>
          <w:szCs w:val="18"/>
          <w:color w:val="auto"/>
        </w:rPr>
      </w:pPr>
    </w:p>
    <w:p>
      <w:pPr>
        <w:ind w:left="520" w:right="34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63" w:lineRule="exact"/>
        <w:rPr>
          <w:rFonts w:ascii="Times New Roman" w:cs="Times New Roman" w:eastAsia="Times New Roman" w:hAnsi="Times New Roman"/>
          <w:sz w:val="18"/>
          <w:szCs w:val="18"/>
          <w:color w:val="auto"/>
        </w:rPr>
      </w:pPr>
    </w:p>
    <w:p>
      <w:pPr>
        <w:ind w:left="520" w:right="4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63" w:lineRule="exact"/>
        <w:rPr>
          <w:rFonts w:ascii="Times New Roman" w:cs="Times New Roman" w:eastAsia="Times New Roman" w:hAnsi="Times New Roman"/>
          <w:sz w:val="18"/>
          <w:szCs w:val="18"/>
          <w:color w:val="auto"/>
        </w:rPr>
      </w:pPr>
    </w:p>
    <w:p>
      <w:pPr>
        <w:ind w:left="520" w:right="26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5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50" w:right="59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100,956</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6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62,763,120 and</w:t>
            </w: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62,070,627 shares outstanding at September 30, 2024 and December 31, 2023, respectively</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31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105,180</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r>
      <w:tr>
        <w:trPr>
          <w:trHeight w:val="23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r>
      <w:tr>
        <w:trPr>
          <w:trHeight w:val="22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r>
      <w:tr>
        <w:trPr>
          <w:trHeight w:val="23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48,029</w:t>
            </w:r>
          </w:p>
        </w:tc>
      </w:tr>
      <w:tr>
        <w:trPr>
          <w:trHeight w:val="20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r>
      <w:tr>
        <w:trPr>
          <w:trHeight w:val="230"/>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119,232</w:t>
            </w:r>
          </w:p>
        </w:tc>
      </w:tr>
      <w:tr>
        <w:trPr>
          <w:trHeight w:val="22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39,628</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166,919</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(118,890)</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royalty monetization arrangement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150,930</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37,014</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62,744,005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61,980,680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62,566,723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61,890,824</w:t>
            </w:r>
          </w:p>
        </w:tc>
      </w:tr>
      <w:tr>
        <w:trPr>
          <w:trHeight w:val="23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62,865,841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62,244,602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62,566,723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62,090,343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222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00" w:type="dxa"/>
            <w:vAlign w:val="bottom"/>
          </w:tcPr>
          <w:p>
            <w:pPr>
              <w:spacing w:after="0"/>
              <w:rPr>
                <w:sz w:val="9"/>
                <w:szCs w:val="9"/>
                <w:color w:val="auto"/>
              </w:rPr>
            </w:pPr>
          </w:p>
        </w:tc>
        <w:tc>
          <w:tcPr>
            <w:tcW w:w="22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4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40" w:type="dxa"/>
            <w:vAlign w:val="bottom"/>
            <w:vMerge w:val="restart"/>
          </w:tcPr>
          <w:p>
            <w:pPr>
              <w:jc w:val="center"/>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62,070,627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152,613</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62,560,502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1,260,505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(1,154,942)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106,154</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62,720,969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62,763,120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120,066</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3" w:right="359" w:bottom="1440" w:gutter="0" w:footer="0" w:header="0"/>
        </w:sectPr>
      </w:pPr>
    </w:p>
    <w:bookmarkStart w:id="7" w:name="page8"/>
    <w:bookmarkEnd w:id="7"/>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3"/>
                <w:szCs w:val="3"/>
                <w:color w:val="auto"/>
              </w:rPr>
            </w:pPr>
          </w:p>
        </w:tc>
        <w:tc>
          <w:tcPr>
            <w:tcW w:w="12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3"/>
                <w:szCs w:val="3"/>
                <w:color w:val="auto"/>
              </w:rPr>
            </w:pPr>
          </w:p>
        </w:tc>
        <w:tc>
          <w:tcPr>
            <w:tcW w:w="1160" w:type="dxa"/>
            <w:vAlign w:val="bottom"/>
            <w:vMerge w:val="restart"/>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0"/>
                <w:szCs w:val="10"/>
                <w:color w:val="auto"/>
              </w:rPr>
            </w:pPr>
          </w:p>
        </w:tc>
        <w:tc>
          <w:tcPr>
            <w:tcW w:w="11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61,701,467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1,235,095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61,838,565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1,240,345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61,938,493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62,028,904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5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royalty monetization arrangement</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(150,930)</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items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(50,168)</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174,150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sales of equipment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107,830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(118,906)</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royalty monetization arrangement</w:t>
            </w:r>
          </w:p>
        </w:tc>
        <w:tc>
          <w:tcPr>
            <w:tcW w:w="10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sale of future royalties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149,655</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100,956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108,884</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179,625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included in accounts payable or accruals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7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biopharmaceutical company focused on discovering, developing, manufacturing and commercializing innovative antibody-based therapeutics for the treatment of cancer. The Company has a pipeline of product candidates designed to target either various tumor-associated antigens or immune checkpoint molecules. These candidates are being evaluated in clinical trials sponsored by the Company or its collaborators or are in preclinical development. The Company’s clinical product candidates include multiple oncology programs which have either been created using its proprietary, antibody-based technology platforms or enabled through its technology licensing arrangements with other companies. The Company believes its product candidates have the potential, if approved for marketing by regulatory authorities, to have a meaningful effect on treating patients' unmet medical needs as monotherapy or, in some cases, in combination with other therapeutic agents. To date, three products originating from the Company’s pipeline of proprietary or partnered product candidates have received U.S. Food and Drug Administration (FDA) approval. In March 2021, the Company and its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to delay the onset of Stage 3 Type 1 Diabetes (T1D) in adult and pediatric patients aged 8 years and older with Stage 2 T1D. Teplizumab was acquired from the Company by Provention Bio, Inc. (Provention) in May 2018, pursuant to an asset purchase agreement. In March 2023, the FDA approved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(retifanlimab-dlwr), a humanized monoclonal antibody targeting programmed death receptor-1 (PD-1). Retifanlimab was previously developed by the Company and licensed to Incyte Corporation (Incyte) pursuant to an exclusive global collaboration and license agreement in October 2017.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biotechnology company, the Company has primarily funded its operations with proceeds from the sale of its common stock in equity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offerings and 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spacing w:after="0" w:line="13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Similar to the 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adverse events involving financial institutions or the financial services industry, inflation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2023, filed with the Securities and Exchange Commission (SEC) on March 7,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to the significant accounting policies previously disclosed in the Company’s Annual Report on Form 10-K for the fiscal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which is intended to improve reportable segment disclosures,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 well as how the chief operating decision maker uses the reported measure(s) of segment profit or loss in assessing performance. The guidance is effective for fiscal years beginning after December 15, 2023, and interim periods within fiscal years beginning after December 15, 2024. Early adoption is permitted. The guidance is to be applied retrospectively to all periods presented in the financial statements. The Company is currently evaluating the potential impact of adopting this new guidance on its consolidated financial statements and disclosures</w:t>
      </w:r>
      <w:r>
        <w:rPr>
          <w:rFonts w:ascii="Calibri" w:cs="Calibri" w:eastAsia="Calibri" w:hAnsi="Calibri"/>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 non-recurring fair value measurements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accordance with FASB Accounting Standards Codification (ASC) Topic 820, </w:t>
      </w:r>
      <w:r>
        <w:rPr>
          <w:rFonts w:ascii="Times New Roman" w:cs="Times New Roman" w:eastAsia="Times New Roman" w:hAnsi="Times New Roman"/>
          <w:sz w:val="18"/>
          <w:szCs w:val="18"/>
          <w:i w:val="1"/>
          <w:iCs w:val="1"/>
          <w:color w:val="000000"/>
        </w:rPr>
        <w:t>Fair Value Measurements and Disclosures</w:t>
      </w:r>
      <w:r>
        <w:rPr>
          <w:rFonts w:ascii="Times New Roman" w:cs="Times New Roman" w:eastAsia="Times New Roman" w:hAnsi="Times New Roman"/>
          <w:sz w:val="18"/>
          <w:szCs w:val="18"/>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3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6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Fair Value Measurements at September 30, 2024</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80,357</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80,357</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r>
      <w:tr>
        <w:trPr>
          <w:trHeight w:val="248"/>
        </w:trPr>
        <w:tc>
          <w:tcPr>
            <w:tcW w:w="50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80,357</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128,849</w:t>
            </w:r>
          </w:p>
        </w:tc>
      </w:tr>
      <w:tr>
        <w:trPr>
          <w:trHeight w:val="21"/>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900" w:hanging="252"/>
        <w:spacing w:after="0" w:line="28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September 30, 2024 includes approximately $80.4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2023 includes approximately $91.7 million reported in cash and cash equivalents on the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5"/>
                <w:szCs w:val="15"/>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19"/>
                <w:szCs w:val="19"/>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available-for-sale marketable debt securities held as of September 30, 2024 and December 31, 2023 had contractual maturities of less than one year. All of the Company's available-for-sale marketable debt securities in an unrealized loss position as of December 31, 2023 were in a loss position for less than twelve months. Unrealized losses on available-for-sale debt securities as of December 31, 2023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The Company does not intend to sell its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2" w:name="page13"/>
    <w:bookmarkEnd w:id="12"/>
    <w:p>
      <w:pPr>
        <w:ind w:right="60"/>
        <w:spacing w:after="0" w:line="282" w:lineRule="auto"/>
        <w:rPr>
          <w:sz w:val="20"/>
          <w:szCs w:val="20"/>
          <w:color w:val="auto"/>
        </w:rPr>
      </w:pPr>
      <w:r>
        <w:rPr>
          <w:rFonts w:ascii="Times New Roman" w:cs="Times New Roman" w:eastAsia="Times New Roman" w:hAnsi="Times New Roman"/>
          <w:sz w:val="18"/>
          <w:szCs w:val="18"/>
          <w:color w:val="auto"/>
        </w:rPr>
        <w:t>investments and it is not more likely than not that the Company will be required to sell its investments before recovery of their amortized cost bases, which may be at maturity.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500" w:firstLine="567"/>
        <w:spacing w:after="0" w:line="271" w:lineRule="auto"/>
        <w:rPr>
          <w:sz w:val="20"/>
          <w:szCs w:val="20"/>
          <w:color w:val="auto"/>
        </w:rPr>
      </w:pPr>
      <w:r>
        <w:rPr>
          <w:rFonts w:ascii="Times New Roman" w:cs="Times New Roman" w:eastAsia="Times New Roman" w:hAnsi="Times New Roman"/>
          <w:sz w:val="18"/>
          <w:szCs w:val="18"/>
          <w:color w:val="auto"/>
        </w:rPr>
        <w:t>All of the Company's inventory relates to the manufacturing of MARGENZA. The following table sets forth the Company's net inventory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As of September 30, 2024, there was no reserve for unsaleable inventory. The inventory balance as of December 31, 2023 is net of a reserve of $3.1 million for unsaleable inventory. These reserves are reflected in cost of product sales during the period they are recorded.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5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No shares were sold under the ATM offering during the nine months ended September 30, 2024. During the nine months ended </w:t>
      </w:r>
      <w:r>
        <w:rPr>
          <w:rFonts w:ascii="Times New Roman" w:cs="Times New Roman" w:eastAsia="Times New Roman" w:hAnsi="Times New Roman"/>
          <w:sz w:val="18"/>
          <w:szCs w:val="18"/>
          <w:color w:val="252525"/>
        </w:rPr>
        <w:t>September 30, 2023</w:t>
      </w:r>
      <w:r>
        <w:rPr>
          <w:rFonts w:ascii="Times New Roman" w:cs="Times New Roman" w:eastAsia="Times New Roman" w:hAnsi="Times New Roman"/>
          <w:sz w:val="18"/>
          <w:szCs w:val="18"/>
          <w:color w:val="auto"/>
        </w:rPr>
        <w:t>, the Company sold 95,000 shares of common stock at a weighted average price per share of $6.60, resulting in net proceeds of approximately $0.6 million, net of offering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w:t>
      </w:r>
    </w:p>
    <w:p>
      <w:pPr>
        <w:spacing w:after="0" w:line="13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as amended, Incyte will lead global development of retifanlimab. From the inception of the Incyte License Agreement through </w:t>
      </w:r>
      <w:r>
        <w:rPr>
          <w:rFonts w:ascii="Times New Roman" w:cs="Times New Roman" w:eastAsia="Times New Roman" w:hAnsi="Times New Roman"/>
          <w:sz w:val="18"/>
          <w:szCs w:val="18"/>
          <w:color w:val="252525"/>
        </w:rPr>
        <w:t>September 30, 2024</w:t>
      </w:r>
      <w:r>
        <w:rPr>
          <w:rFonts w:ascii="Times New Roman" w:cs="Times New Roman" w:eastAsia="Times New Roman" w:hAnsi="Times New Roman"/>
          <w:sz w:val="18"/>
          <w:szCs w:val="18"/>
          <w:color w:val="auto"/>
        </w:rPr>
        <w:t>, the Company has recognized $215.0 million for certain development and regulatory milestones under the Incyte License Agreement, including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w:t>
      </w:r>
    </w:p>
    <w:p>
      <w:pPr>
        <w:spacing w:after="0" w:line="18" w:lineRule="exact"/>
        <w:rPr>
          <w:sz w:val="20"/>
          <w:szCs w:val="20"/>
          <w:color w:val="auto"/>
        </w:rPr>
      </w:pPr>
    </w:p>
    <w:p>
      <w:pPr>
        <w:ind w:firstLine="8"/>
        <w:spacing w:after="0" w:line="234"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during the three months ended September 30, 2024. From 2018 through </w:t>
      </w:r>
      <w:r>
        <w:rPr>
          <w:rFonts w:ascii="Times New Roman" w:cs="Times New Roman" w:eastAsia="Times New Roman" w:hAnsi="Times New Roman"/>
          <w:sz w:val="18"/>
          <w:szCs w:val="18"/>
          <w:color w:val="252525"/>
        </w:rPr>
        <w:t>September 30, 2024</w:t>
      </w:r>
      <w:r>
        <w:rPr>
          <w:rFonts w:ascii="Times New Roman" w:cs="Times New Roman" w:eastAsia="Times New Roman" w:hAnsi="Times New Roman"/>
          <w:sz w:val="18"/>
          <w:szCs w:val="18"/>
          <w:color w:val="auto"/>
        </w:rPr>
        <w:t xml:space="preserve">, it became probable that a significant reversal of cumulative revenue would not occur for development milestones totaling $215.0 million related to </w:t>
      </w:r>
      <w:r>
        <w:rPr>
          <w:rFonts w:ascii="Times New Roman" w:cs="Times New Roman" w:eastAsia="Times New Roman" w:hAnsi="Times New Roman"/>
          <w:sz w:val="18"/>
          <w:szCs w:val="18"/>
          <w:color w:val="252525"/>
        </w:rPr>
        <w:t>clinical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regulatory activities related to the further advancement of retifanlimab</w:t>
      </w:r>
      <w:r>
        <w:rPr>
          <w:rFonts w:ascii="Times New Roman" w:cs="Times New Roman" w:eastAsia="Times New Roman" w:hAnsi="Times New Roman"/>
          <w:sz w:val="18"/>
          <w:szCs w:val="18"/>
          <w:color w:val="000000"/>
        </w:rPr>
        <w:t>. Therefore, the associated consideration was added to the estimated transaction price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and was recognized as revenue</w:t>
      </w:r>
      <w:r>
        <w:rPr>
          <w:rFonts w:ascii="Times New Roman" w:cs="Times New Roman" w:eastAsia="Times New Roman" w:hAnsi="Times New Roman"/>
          <w:sz w:val="21"/>
          <w:szCs w:val="21"/>
          <w:color w:val="252525"/>
        </w:rPr>
        <w:t>.</w:t>
      </w:r>
    </w:p>
    <w:p>
      <w:pPr>
        <w:spacing w:after="0" w:line="23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$0.1 million and $0.3 million in revenue under the Incyte License Agreement during the three and nine months ended September 30, 2024,</w:t>
      </w:r>
    </w:p>
    <w:p>
      <w:pPr>
        <w:ind w:right="440"/>
        <w:spacing w:after="0" w:line="282" w:lineRule="auto"/>
        <w:rPr>
          <w:sz w:val="20"/>
          <w:szCs w:val="20"/>
          <w:color w:val="auto"/>
        </w:rPr>
      </w:pPr>
      <w:r>
        <w:rPr>
          <w:rFonts w:ascii="Times New Roman" w:cs="Times New Roman" w:eastAsia="Times New Roman" w:hAnsi="Times New Roman"/>
          <w:sz w:val="18"/>
          <w:szCs w:val="18"/>
          <w:color w:val="auto"/>
        </w:rPr>
        <w:t>respectively. The Company recognized the $15.0 million ZYNYZ approval milestone as revenue under the Incyte License Agreement during the nine months ended September 30,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Clinical Supply Agreement</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The Company recognized a de minimis amount of revenue during the three months ended September 30, 2024 and revenue of $0.2 million during the three months ended September 30, 2023 for services performed under the Incyte Clinical Supply Agreement. During the nine months ended September 30, 2024 and 2023, the Company recognized revenue of $0.1 million and $1.7 million, respectively, for services performed under the Incyte Clinical Supply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60" w:firstLine="756"/>
        <w:spacing w:after="0" w:line="254" w:lineRule="auto"/>
        <w:rPr>
          <w:sz w:val="20"/>
          <w:szCs w:val="20"/>
          <w:color w:val="auto"/>
        </w:rPr>
      </w:pPr>
      <w:r>
        <w:rPr>
          <w:rFonts w:ascii="Times New Roman" w:cs="Times New Roman" w:eastAsia="Times New Roman" w:hAnsi="Times New Roman"/>
          <w:sz w:val="18"/>
          <w:szCs w:val="18"/>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14" w:name="page15"/>
    <w:bookmarkEnd w:id="14"/>
    <w:p>
      <w:pPr>
        <w:ind w:right="320"/>
        <w:spacing w:after="0" w:line="261" w:lineRule="auto"/>
        <w:rPr>
          <w:sz w:val="20"/>
          <w:szCs w:val="20"/>
          <w:color w:val="auto"/>
        </w:rPr>
      </w:pPr>
      <w:r>
        <w:rPr>
          <w:rFonts w:ascii="Times New Roman" w:cs="Times New Roman" w:eastAsia="Times New Roman" w:hAnsi="Times New Roman"/>
          <w:sz w:val="18"/>
          <w:szCs w:val="18"/>
          <w:color w:val="auto"/>
        </w:rPr>
        <w:t>incurred) related to the manufacturing services. During the three months ended September 30, 2024 and 2023, the Company recognized revenue of $0.5 million and $0.1 million, respectively, for services performed under the Incyte Commercial Supply Agreement. During the nine months ended September 30, 2024 and 2023, the Company recognized revenue of $1.4 million and $0.3 million, respectively, for services performed under the Incyte Commercial Supply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extends the period for Gilead to select its second research target combination.</w:t>
      </w:r>
    </w:p>
    <w:p>
      <w:pPr>
        <w:spacing w:after="0" w:line="13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 consideration included in the transaction price</w:t>
      </w:r>
    </w:p>
    <w:p>
      <w:pPr>
        <w:spacing w:after="0" w:line="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color w:val="auto"/>
        </w:rPr>
        <w:t>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w:t>
      </w:r>
    </w:p>
    <w:p>
      <w:pPr>
        <w:spacing w:after="0" w:line="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utilized an income-based approach which included the following key assumptions: post-option development timeline and costs, forecasted revenues, discount rates and probabilities of technical and regulatory success.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5" w:name="page16"/>
    <w:bookmarkEnd w:id="15"/>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each of the three month periods ended September 30, 2024 and 2023, the Company recorded revenue of $0.4 million related to the Gilead Agreement. During the nine months ended September 30, 2024 and 2023, the Company recorded revenue of $0.9 million and $1.0 million, respectively, related to the Gilead Agreement. As of September 30, 2024, $57.4 million in revenue was deferred under this agreement, $1.9 million of which was current and $55.5 million of which was non-current. As of December 31, 2023, $58.3 million in revenue was deferred under this agreement, $2.2 million of which was current and $56.1 million of which was non-current.</w:t>
      </w:r>
    </w:p>
    <w:p>
      <w:pPr>
        <w:spacing w:after="0" w:line="1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September 2023, 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the First Research Program agreement was</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revenue of $0.4 million and $0.1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First Research Program. During the nine months ended September 30, 2024 and 2023, the Company recorded revenue of $2.4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$0.1 million, respectively, related to the First Research Program. As of September 30, 2024, $16.4 million in revenue was deferred under this agreement,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was current. As of December 31, 2023, $14.9 million in revenue was deferred under this agreement, $11.8 million of which was current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million of which was non-current.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(Incyte Manufacturing and Clinical Supply Agreement) to provide manufacturing services to produce certain Incyte bulk drug substance over a three-year period. Under the terms of the Incyte Manufacturing and Clinical Supply Agreement, the Company received an upfront payment of $10.0 million and was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w:t>
      </w:r>
    </w:p>
    <w:p>
      <w:pPr>
        <w:spacing w:after="0" w:line="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and the annual fixed payments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20"/>
        <w:spacing w:after="0" w:line="256" w:lineRule="auto"/>
        <w:rPr>
          <w:sz w:val="20"/>
          <w:szCs w:val="20"/>
          <w:color w:val="auto"/>
        </w:rPr>
      </w:pPr>
      <w:r>
        <w:rPr>
          <w:rFonts w:ascii="Times New Roman" w:cs="Times New Roman" w:eastAsia="Times New Roman" w:hAnsi="Times New Roman"/>
          <w:sz w:val="18"/>
          <w:szCs w:val="18"/>
          <w:color w:val="auto"/>
        </w:rPr>
        <w:t>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79" w:lineRule="exact"/>
        <w:rPr>
          <w:sz w:val="20"/>
          <w:szCs w:val="20"/>
          <w:color w:val="auto"/>
        </w:rPr>
      </w:pPr>
    </w:p>
    <w:p>
      <w:pPr>
        <w:jc w:val="both"/>
        <w:ind w:right="280" w:firstLine="648"/>
        <w:spacing w:after="0" w:line="272" w:lineRule="auto"/>
        <w:rPr>
          <w:sz w:val="20"/>
          <w:szCs w:val="20"/>
          <w:color w:val="auto"/>
        </w:rPr>
      </w:pPr>
      <w:r>
        <w:rPr>
          <w:rFonts w:ascii="Times New Roman" w:cs="Times New Roman" w:eastAsia="Times New Roman" w:hAnsi="Times New Roman"/>
          <w:sz w:val="17"/>
          <w:szCs w:val="17"/>
          <w:color w:val="auto"/>
        </w:rPr>
        <w:t>During the three months ended September 30, 2024 and 2023, the Company recognized revenue of $3.8 million and $4.5 million, respectively, under the Incyte Manufacturing and Clinical Supply Agreement. During the nine months ended September 30, 2024 and 2023, the Company recognized revenue of $8.1 million and $9.6 million, respectively, under the Incyte Manufacturing and Clinical Supply Agreement. As of September 30, 2024,</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$4.6 million in revenue was deferred under this agreement, all of which was current. As of December 31, 2023, $7.0 million in revenue was deferred under this agreement, all of which was current.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Government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Contract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entered into a contract with the National Institute of Allergy and Infectious Diseases (NIAID), effective as of September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to perform product development and to advance up to two DART molecules, MGD014 and MGD020 (NIAID Contract). Under the NIAID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developed these product candidates for Phase 1/2 clinical trials as therapeutic agents, in combination with latency reversing treatments,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deplete cells infected with human immunodeficiency virus (HIV) infection. NIAID does not receive goods or services from the Company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therefore the Company does not consider NIAID to be a customer and concluded this contract is outside the scope of ASC 606.</w:t>
      </w:r>
    </w:p>
    <w:p>
      <w:pPr>
        <w:spacing w:after="0" w:line="15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Since the inception of the NIAID Contract, NIAID has exercised the two options contemplated in the original contract and executed modifications such that the total funded contract value as of September 30, 2024 is $25.1 million. In addition, the most recent modification changed the period of performance under the NIAID Contract to end in October 2024. During the three months ended September 30, 2024 and 2023, the Company recorded revenue under the NIAID contract of $0.6 million and $0.3 million, respectively. During the nine months ended September 30, 2024 and 2023, the Company recorded revenue under the NIAID Contract of $1.4 million and $1.1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nine months ended September 30, 2024, 44,129 shares of common stock were purchased under the 2016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17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spacing w:after="0" w:line="12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2023 Plan was effective as of stockholder approval in May 2023. The 2023 Plan provides for grants of stock options and other stock-based awards, as well as cash-based performance awards. The 2023 Plan authorized the issuance of up to an aggregate of 4,850,000 shares of common stock. In May 2024, the board and stockholders of the Company approved an amendment to the 2023 Plan to increase the number of shares of common stock available for issuance thereunder by 2,000,000 shares. Accordingly, the maximum number of shares of common stock authorized for issuance under the 2023 Plan has been increased to 6,850,000 shares. If an option expires or terminates for any reason without having been fully exercised, if 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6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83"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3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 -115.7%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- 94.9%</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- 4.7%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6.06 years</w:t>
            </w:r>
          </w:p>
        </w:tc>
        <w:tc>
          <w:tcPr>
            <w:tcW w:w="2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5.88 years</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12,223,637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1,950,032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13,440,527</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September 30, 2024:</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8,970,940</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12,435,275</w:t>
            </w:r>
          </w:p>
        </w:tc>
        <w:tc>
          <w:tcPr>
            <w:tcW w:w="15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expense related to unvested stock options, net of related forfeiture estimates, was approximately $26.3 million, which the Company expects to recognize over a weighted-average period of approximately 1.4 years. The following table summarizes additional information on stock options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stock options granted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received for stock options exercised</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320" w:firstLine="648"/>
        <w:spacing w:after="0" w:line="265" w:lineRule="auto"/>
        <w:rPr>
          <w:sz w:val="20"/>
          <w:szCs w:val="20"/>
          <w:color w:val="auto"/>
        </w:rPr>
      </w:pPr>
      <w:r>
        <w:rPr>
          <w:rFonts w:ascii="Times New Roman" w:cs="Times New Roman" w:eastAsia="Times New Roman" w:hAnsi="Times New Roman"/>
          <w:sz w:val="18"/>
          <w:szCs w:val="18"/>
          <w:color w:val="auto"/>
        </w:rPr>
        <w:t>Restricted stock units (RSUs) are valued based on the closing price of the Company’s common stock on the date of the grant. The fair value of RSUs is recognized and amortized on a straight-line basis over the requisite service period of the award</w:t>
      </w:r>
      <w:r>
        <w:rPr>
          <w:rFonts w:ascii="Calibri" w:cs="Calibri" w:eastAsia="Calibri" w:hAnsi="Calibri"/>
          <w:sz w:val="18"/>
          <w:szCs w:val="18"/>
          <w:color w:val="252525"/>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nine months ended September 30, 2024:</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905,614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(477,681)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1,049,744</w:t>
            </w:r>
          </w:p>
        </w:tc>
        <w:tc>
          <w:tcPr>
            <w:tcW w:w="4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there was $8.2 million of total unrecognized compensation cost related to unvested RSUs, which the Company expects to recognize over a remaining weighted-average period of approximately 1.5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In-licensing Arrangement</w:t>
      </w:r>
    </w:p>
    <w:p>
      <w:pPr>
        <w:spacing w:after="0" w:line="175"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No expense was incurred under this agreement during the three months ended September 30, 2024 and 2023. During the nine months ended September 30, 2024 and 2023, the Company recorded expense of $3.4 million and $1.7 million, respectively, under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July 26, 2024, a putative securities class action suit, entitled Crain v. MacroGenics, Inc. (Case No. 24-cv-02184), was filed in the U.S. District Court for the District of Maryland against the Company and Scott Koenig, the Company’s President, Chief Executive Officer and a member of the Company’s Board of Directors, alleging violations of securities laws during 2024. The suit asserts certain claims under Section 10 and Rule 10b-5 of the Securities and Exchange Act of 1934 based on alleged misstatements or omissions concerning the Company's TAMARACK Phase 2 study of vobramitamab duocarmazine in patients with metastatic castration-resistant prostate cancer. The Company plans to vigorously defend against these claims. Currently, no reserve has been established for any potential liability related to this suit.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(Loss) Per Share</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Basic income (loss) per common share is determined by dividing income (loss) attributable to common stockholders by the weighted-average number of common shares outstanding during the period, without consideration of common stock equivalents. Diluted income (loss) per share is computed by dividing the income (loss) attributable to common stockholders by the weighted-average number of common stock equivalents outstanding for the period. The treasury stock method is used to determine the dilutive effect of the Company's stock option grants and RSUs. 14,235,295 stock options and RSUs (common stock equivalents) were excluded from the calculation of diluted income per share for the three months ended September 30, 2024, because their inclusion would have been anti-dilutive. 12,607,056 and 12,514,638 stock options and RSUs (common stock equivalents) were excluded from the calculation of diluted income per share for the three and nine months ended September 30, 2023, respectively, because their inclusion would have been anti-dilutive.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Basic and diluted income (loss) per common share is computed as follows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1"/>
                <w:szCs w:val="21"/>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used for calculation of basic and 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62,744,005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61,980,680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62,566,723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61,890,824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199,519</w:t>
            </w:r>
          </w:p>
        </w:tc>
      </w:tr>
      <w:tr>
        <w:trPr>
          <w:trHeight w:val="254"/>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62,865,841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62,566,723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62,090,343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diluted</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162" w:lineRule="exact"/>
        <w:rPr>
          <w:sz w:val="20"/>
          <w:szCs w:val="20"/>
          <w:color w:val="auto"/>
        </w:rPr>
      </w:pPr>
    </w:p>
    <w:p>
      <w:pPr>
        <w:ind w:right="120" w:firstLine="648"/>
        <w:spacing w:after="0" w:line="228" w:lineRule="auto"/>
        <w:rPr>
          <w:sz w:val="20"/>
          <w:szCs w:val="20"/>
          <w:color w:val="auto"/>
        </w:rPr>
      </w:pPr>
      <w:r>
        <w:rPr>
          <w:rFonts w:ascii="Times New Roman" w:cs="Times New Roman" w:eastAsia="Times New Roman" w:hAnsi="Times New Roman"/>
          <w:sz w:val="18"/>
          <w:szCs w:val="18"/>
          <w:color w:val="auto"/>
        </w:rPr>
        <w:t>On October 22, 2024, the Company announced it entered into an agreement with TerSera under which TerSera will acquire global rights to MARGENZA. Included in the agreement is the sale of the MARGENZA inventory, which is recorded at cost on the Consolidated Balance Sheets and disclosed in the notes to the consolidated financial statements. The transaction is expected to close in the fourth quarter of 2024, subject to customary closing conditions. Pursuant to the agreement, the Company will receive $40.0 million at closing, and is eligible to receive sales milestone payments of up to an aggregate of $35.0 million. The Company expects to pay an $8.0 million amendment fee to its current commercialization partner during the fourth quarter of 2024. No gains or losses have been recognized as of September 30, 2024 as a result of this transaction. Additionally, the sale of MARGENZA will not constitute discontinued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2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are a biopharmaceutical company focused on discovering, developing, manufacturing and commercializing innovative antibody-based therapeutics for the treatment of cancer. We have a pipeline of product candidates designed to target either various tumor-associated antigens or immune checkpoint molecules. These candidates are being evaluated in clinical trials sponsored by us or our collaborators or are in preclinical development. Our clinical product candidates include multiple oncology programs which have either been created using our proprietary, antibody-based technology platforms or enabled through our technology licensing arrangements with other companies.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to delay the onset of Stage 3 Type 1 Diabetes (T1D) in adult and pediatric patients aged 8 years and older with Stage 2 T1D. Teplizumab was acquired from us by Provention Bio, Inc. (Provention) in 2018, pursuant to an asset purchase agreement (Provention APA). In March 2023, the FDA approved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 humanized monoclonal antibody targeting programmed death receptor-1 (PD-1). Retifanlimab was previously developed by us and licensed to Incyte Corporation (Incyte) pursuant to an exclusive global collaboration and license agreement in October 2017 (Incyte License Agreement).</w:t>
      </w:r>
    </w:p>
    <w:p>
      <w:pPr>
        <w:spacing w:after="0" w:line="14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September 30, 2024, combined with the $40.0 million expected at closing of the TerSera transaction for the sale of MARGENZA (see Note 11, Subsequent Event, of the notes to Consolidated Financial Statements, for additional information), less an $8.0 million amendment fee to be paid to our current commercialization partner, plus anticipated and potential collaboration payments, contract manufacturing revenue, and royalties, should enable us to fund our operations into 2026. Our expected funding requirements reflect anticipated expenditures related to the ongoing Phase 2 TAMARACK clinical trial of vobramitamab duocarmazine (vobra duo) in metastatic castration-resistant prostate cancer (mCRPC), our ongoing Phase 2 LORIKEET study of lorigerlimab in mCRPC as well as our other clinical and preclinical studies currently ongoing.</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2024, we had an accumulated deficit of $1.2 billion. We expect that over the next several years this deficit will increase as we continue to incur research and development expense in connection with our ongoing activities and several clinical studies.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global economy, credit markets and financial markets have and may continue to experience significant volatility as a result of significant worldwide events, including adverse events involving financial institutions or the financial services industry, inflation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24" w:lineRule="exact"/>
        <w:rPr>
          <w:sz w:val="20"/>
          <w:szCs w:val="20"/>
          <w:color w:val="auto"/>
        </w:rPr>
      </w:pPr>
    </w:p>
    <w:p>
      <w:pPr>
        <w:ind w:left="980" w:hanging="324"/>
        <w:spacing w:after="0" w:line="252" w:lineRule="auto"/>
        <w:tabs>
          <w:tab w:leader="none" w:pos="973" w:val="left"/>
        </w:tabs>
        <w:numPr>
          <w:ilvl w:val="0"/>
          <w:numId w:val="7"/>
        </w:numPr>
        <w:rPr>
          <w:rFonts w:ascii="Calibri" w:cs="Calibri" w:eastAsia="Calibri" w:hAnsi="Calibri"/>
          <w:sz w:val="20"/>
          <w:szCs w:val="20"/>
          <w:b w:val="1"/>
          <w:bCs w:val="1"/>
          <w:i w:val="1"/>
          <w:iCs w:val="1"/>
          <w:color w:val="252525"/>
        </w:rPr>
      </w:pPr>
      <w:r>
        <w:rPr>
          <w:rFonts w:ascii="Times New Roman" w:cs="Times New Roman" w:eastAsia="Times New Roman" w:hAnsi="Times New Roman"/>
          <w:sz w:val="18"/>
          <w:szCs w:val="18"/>
          <w:i w:val="1"/>
          <w:iCs w:val="1"/>
          <w:color w:val="auto"/>
        </w:rPr>
        <w:t xml:space="preserve">Incyte. </w:t>
      </w:r>
      <w:r>
        <w:rPr>
          <w:rFonts w:ascii="Times New Roman" w:cs="Times New Roman" w:eastAsia="Times New Roman" w:hAnsi="Times New Roman"/>
          <w:sz w:val="18"/>
          <w:szCs w:val="18"/>
          <w:color w:val="auto"/>
        </w:rPr>
        <w:t>We have an exclusive global collaboration and license agreement with Incyte for retifanlimab, an investigational monoclonal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inhibits PD-1.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 million from Incyte through September 30, 2024, including $100.0 million received in August 2024. We are eligible to receive up to an additional $210.0 million in development and regulatory milestones and $330.0 million in commercial milestones. We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81" w:lineRule="exact"/>
        <w:rPr>
          <w:rFonts w:ascii="Calibri" w:cs="Calibri" w:eastAsia="Calibri" w:hAnsi="Calibri"/>
          <w:sz w:val="20"/>
          <w:szCs w:val="20"/>
          <w:b w:val="1"/>
          <w:bCs w:val="1"/>
          <w:i w:val="1"/>
          <w:iCs w:val="1"/>
          <w:color w:val="252525"/>
        </w:rPr>
      </w:pPr>
    </w:p>
    <w:p>
      <w:pPr>
        <w:ind w:left="980" w:hanging="324"/>
        <w:spacing w:after="0" w:line="25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Gilead</w:t>
      </w:r>
      <w:r>
        <w:rPr>
          <w:rFonts w:ascii="Times New Roman" w:cs="Times New Roman" w:eastAsia="Times New Roman" w:hAnsi="Times New Roman"/>
          <w:sz w:val="18"/>
          <w:szCs w:val="18"/>
          <w:color w:val="auto"/>
        </w:rPr>
        <w:t>. In 2022, we and Gilead Sciences, Inc. (Gilead) entered into an exclusive option and collaboration agreement (Gilead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On August 30, 2024, the parties entered into a second letter agreement under which Gilead will pay us to conduct certain research and which extends the period for Gilead to select its second research target combination.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2023. There have been no material changes with respect to our critical accounting estimates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and nine months ended September 30, 2024 and 2023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Collaborative and other agreements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Government agreements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11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increase in revenue of $100.3 million for the three months ended September 30, 2024 compared to the three months ended September 30, 2023 was primarily due to the </w:t>
      </w:r>
      <w:r>
        <w:rPr>
          <w:rFonts w:ascii="Times New Roman" w:cs="Times New Roman" w:eastAsia="Times New Roman" w:hAnsi="Times New Roman"/>
          <w:sz w:val="18"/>
          <w:szCs w:val="18"/>
          <w:color w:val="252525"/>
        </w:rPr>
        <w:t>$100.0 million milestone recognized under the Incyte License Agreement.</w:t>
      </w:r>
    </w:p>
    <w:p>
      <w:pPr>
        <w:spacing w:after="0" w:line="54"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increase in revenue of $82.6 million for the nine months ended September 30, 2024 compared to the nine months ended September 30, 2023 was primarily due to </w:t>
      </w:r>
      <w:r>
        <w:rPr>
          <w:rFonts w:ascii="Times New Roman" w:cs="Times New Roman" w:eastAsia="Times New Roman" w:hAnsi="Times New Roman"/>
          <w:sz w:val="17"/>
          <w:szCs w:val="17"/>
          <w:color w:val="252525"/>
        </w:rPr>
        <w:t>a net increase of $85.0 million in revenue recognized due to milestone payments received under the Incyte License Agreement</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right="660" w:firstLine="648"/>
        <w:spacing w:after="0" w:line="289" w:lineRule="auto"/>
        <w:rPr>
          <w:sz w:val="20"/>
          <w:szCs w:val="20"/>
          <w:color w:val="auto"/>
        </w:rPr>
      </w:pPr>
      <w:r>
        <w:rPr>
          <w:rFonts w:ascii="Times New Roman" w:cs="Times New Roman" w:eastAsia="Times New Roman" w:hAnsi="Times New Roman"/>
          <w:sz w:val="17"/>
          <w:szCs w:val="17"/>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Following the sale of MARGENZA to TerSera, we will no longer receive revenue from MARGENZA net product sales.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1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cost of product sales was $0.2 million and $0.1 million, respectively. Cost of product sales was $0.6 million and $0.5 million for the nine months ended September 30, 2024 and 2023, respectively. Cost of product sales consists primarily of product royalties and fill finish costs. Product sold during both periods consisted of drug product that was previously charged to research and development expense prior to FDA approval of MARGENZA, which favorably impacted our gross margin.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Manufacturing Services</w:t>
      </w:r>
    </w:p>
    <w:p>
      <w:pPr>
        <w:spacing w:after="0" w:line="2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cost of manufacturing services was $1.7 million and $3.3 million, respectively. Cost of manufacturing services was $6.2 million and $7.6 million for the nine months ended September 30, 2024 and 2023, respectively. Cost of manufacturing services includes process development costs and costs to produce bulk drug substance for our contract development and manufacturing customers. We expect cost of manufacturing services to vary from period to period based on the agreed-upon manufacturing schedule.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80" w:type="dxa"/>
            <w:vAlign w:val="bottom"/>
          </w:tcPr>
          <w:p>
            <w:pPr>
              <w:spacing w:after="0"/>
              <w:rPr>
                <w:sz w:val="20"/>
                <w:szCs w:val="20"/>
                <w:color w:val="auto"/>
              </w:rPr>
            </w:pPr>
          </w:p>
        </w:tc>
        <w:tc>
          <w:tcPr>
            <w:tcW w:w="3420" w:type="dxa"/>
            <w:vAlign w:val="bottom"/>
            <w:gridSpan w:val="9"/>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MGC028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Margetuximab</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Next-generation T-cell engagers (a)</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Enoblituzumab</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Retifanlimab</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programs (a) (b)</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research and discovery projects, as well as early preclinical molecules and molecules not advanced to clinical development.</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projects.</w:t>
      </w:r>
    </w:p>
    <w:p>
      <w:pPr>
        <w:spacing w:after="0" w:line="17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 for the three months ended September 30, 2024 increased by $10.4 million compared to the three months ended September 30, 2023 primarily due to:</w:t>
      </w:r>
    </w:p>
    <w:p>
      <w:pPr>
        <w:spacing w:after="0" w:line="10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vobra duo development costs and clinical trial costs related to TAMARACK;</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development costs for preclinical ADCs; and</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development and clinical costs related to MGD024.</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offset by decreased development and clinical trial costs related to margetuximab.</w:t>
      </w:r>
    </w:p>
    <w:p>
      <w:pPr>
        <w:spacing w:after="0" w:line="17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 for the nine months ended September 30, 2024 increased by $19.1 million compared to the nine months ended September 30, 2023 primarily due to:</w:t>
      </w:r>
    </w:p>
    <w:p>
      <w:pPr>
        <w:spacing w:after="0" w:line="108"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development, manufacturing and IND-enabling costs related to MGC028;</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development costs for preclinical ADCs;</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clinical trial costs related to lorigerlimab;</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vobra duo development costs and clinical trial costs related to TAMARACK; and</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development and clinical costs related to MGD024.</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offset by:</w:t>
      </w:r>
    </w:p>
    <w:p>
      <w:pPr>
        <w:spacing w:after="0" w:line="17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manufacturing and clinical trial costs related to discontinued projects;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and clinical trial costs related to margetuximab;</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t-cell engagers;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MGC026;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 costs related to enoblituzumab.</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4" w:name="page25"/>
    <w:bookmarkEnd w:id="24"/>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were $14.1 million and $12.4 million for the three months ended September 30, 2024 and 2023,</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respectively. For the nine months ended September 30, 2024 and 2023, selling, general and administrative expenses were $43.2 million and $39.6 million, respectively. The increase for both periods is primarily due to increased stock-based compensation expense and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Royalty Monetization Arrangement</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we entered into a tripartite agreement with DRI Healthcare Acquisitions LP (DRI) and Sanofi S.A. (Sanofi), whereby we consented to the sale of DRI’s royalty interest in TZIELD and the related milestone payment obligations to Sanofi. The execution of the tripartite agreement resulted in a modification to the liability related to future royalties, and we recognized a $100.9 million gain on royalty monetization arrangement. Sanofi then reported achievement of the primary endpoint milestone event related to a $50.0 million milestone, which resulted in an additional $50.0 million gain on royalty monetization arrangement. In connection with the tripartite agreement, we amended the Provention APA and terminated the Royalty Purchase Agreement with DRI.</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nine months ended September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60" w:type="dxa"/>
            <w:vAlign w:val="bottom"/>
            <w:tcBorders>
              <w:bottom w:val="single" w:sz="8" w:color="auto"/>
            </w:tcBorders>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63"/>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1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(dollars in millions)</w:t>
            </w:r>
          </w:p>
        </w:tc>
        <w:tc>
          <w:tcPr>
            <w:tcW w:w="560" w:type="dxa"/>
            <w:vAlign w:val="bottom"/>
          </w:tcPr>
          <w:p>
            <w:pPr>
              <w:spacing w:after="0"/>
              <w:rPr>
                <w:sz w:val="22"/>
                <w:szCs w:val="2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(118.9)</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consists of our net income (loss) adjusted for non-cash items such as depreciation and amortization expense and stock-based compensation and changes in working capital. Net cash used in operating activities for the nine months ended September 30, 2024 benefited from $100.0 million in milestones received from Incyte under the Incyte License Agreement. Net cash used in operating activities for the nine months ended September 30, 2023 benefited from $15.0 million in milestones received from Incyte under the Incyte License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2024 is primarily due to maturities of marketable securities, partially offset by purchases of marketable securities. Net cash used in investing activities during the nine months ended September 30, 2023 is primarily due to purchases of marketable securities, partially offset by maturities of 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includes proceeds from stock option exercises and ESPP purchases, offset by taxes paid related to net share settlement of equity awards. Net cash provided by financing activities for the nine months ended September 30, 2023 includes net cash proceeds from our Royalty Purchase Agreement with DRI of $149.7 million.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biotechnology company, we have primarily funded our operations with proceeds from the sale of our common stock in equity offerings and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September 30, 2024, combined with $40.0 million expected at closing of the TerSera transaction for the sale of MARGENZA, less an $8.0 million amendment fee to be paid to our current commercialization partner, plus anticipated and potential collaboration payments, contract manufacturing revenue, and royalties, should enable us to fund our operations into 2026. Our expected funding requirements reflect anticipated expenditures related to the ongoing Phase 2 TAMARACK clinical trial of vobra duo in mCRPC, our ongoing Phase 2 LORIKEET study of lorigerlimab in mCRPC as well as our other clinical and preclinical studies currently ongoing.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2023.</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jc w:val="both"/>
        <w:ind w:right="160" w:firstLine="683"/>
        <w:spacing w:after="0" w:line="266" w:lineRule="auto"/>
        <w:rPr>
          <w:sz w:val="20"/>
          <w:szCs w:val="20"/>
          <w:color w:val="auto"/>
        </w:rPr>
      </w:pPr>
      <w:r>
        <w:rPr>
          <w:rFonts w:ascii="Times New Roman" w:cs="Times New Roman" w:eastAsia="Times New Roman" w:hAnsi="Times New Roman"/>
          <w:sz w:val="18"/>
          <w:szCs w:val="18"/>
          <w:color w:val="auto"/>
        </w:rPr>
        <w:t>As of September 30, 2024, our exposure to market risk has not changed materially since December 31, 2023. For more information on financial market risks related to changes in interest rates, reference is made to Item 7A. "Quantitative and Qualitative Disclosures About Market Risk" contained in Part II of our Annual Report on Form 10-K for the fiscal year ended December 31, 2023, filed with the SEC on March 7, 2024.</w:t>
      </w:r>
    </w:p>
    <w:p>
      <w:pPr>
        <w:spacing w:after="0" w:line="104"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defined in Exchange Act Rule 13a-15(e) and 15d-15(e)) as of September 30, 2024.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September 30, 2024, our principal executive officer and principal financial officer have concluded that our disclosure controls and procedures are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2024 that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Note 9 - Commitments and Contingencies contained in the “Notes to Consolidated Financial Statements” in this Quarterly Report on Form 10-Q is incorporated herein by reference.</w:t>
      </w:r>
    </w:p>
    <w:p>
      <w:pPr>
        <w:spacing w:after="0" w:line="10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80"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7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2023. There have been no material changes in the risk factors described in Item 1A. "Risk Factors” of our Annual Report on Form 10-K for the fiscal year ended December 31, 2023, aside from the risk factor included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Human Capital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certain of our executive officers and other key employees.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October 2024, we announced the separation of our President and Chief Executive Officer, Dr. Scott Koenig, effective February 28, 2025, and the appointment of a special executive search committee of the Board to identify a new Chief Executive Officer for our company.  Although we intend to navigate this transition effectively and the identification of a new Chief Executive Officer is intended to be in the best interest of our company and our stockholders, as we navigate Dr. Koenig’s separation and the hiring of a new Chief Executive Officer, the uncertainty during the transition period may increase the risks of employee departures, which may also result in the loss of institutional or technical knowledge, which may adversely affect our business.</w:t>
      </w:r>
    </w:p>
    <w:p>
      <w:pPr>
        <w:spacing w:after="0" w:line="21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other personnel will also be critical to our success. For example, we have experienced employee turnover, consistent with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motivate existing employees, or maintain our corporate culture in a hybrid or remote work environment and in the midst of higher turnover, our ability to pursue our growth strategy will be limited. Additionally, we continue to monitor the U.S. Federal Trade Commission’s final rule that would generally prohibit post-employment non-compete clauses (or other clauses with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7" w:name="page28"/>
    <w:bookmarkEnd w:id="27"/>
    <w:p>
      <w:pPr>
        <w:ind w:right="120"/>
        <w:spacing w:after="0" w:line="266" w:lineRule="auto"/>
        <w:rPr>
          <w:sz w:val="20"/>
          <w:szCs w:val="20"/>
          <w:color w:val="auto"/>
        </w:rPr>
      </w:pPr>
      <w:r>
        <w:rPr>
          <w:rFonts w:ascii="Times New Roman" w:cs="Times New Roman" w:eastAsia="Times New Roman" w:hAnsi="Times New Roman"/>
          <w:sz w:val="18"/>
          <w:szCs w:val="18"/>
          <w:color w:val="auto"/>
        </w:rPr>
        <w:t>comparable effect) in agreements between employers and their employees. If this rule goes into effect, or if we fail to adequately address any of the issues referred to above, it could adversely impact our ability to recruit and retain our skilled employees which may result in a material adverse effect on our business, operating results and financial condition.</w:t>
      </w:r>
    </w:p>
    <w:p>
      <w:pPr>
        <w:spacing w:after="0" w:line="15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the three months ended September 30, 2024, the following Section 16 officers and directors adopted, modified or terminated a “Rule 10b5-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trading arrangement” (as defined in Item 408 of Regulation S-K of the Exchange Act):</w:t>
      </w:r>
    </w:p>
    <w:p>
      <w:pPr>
        <w:spacing w:after="0" w:line="99" w:lineRule="exact"/>
        <w:rPr>
          <w:sz w:val="20"/>
          <w:szCs w:val="20"/>
          <w:color w:val="auto"/>
        </w:rPr>
      </w:pPr>
    </w:p>
    <w:p>
      <w:pPr>
        <w:jc w:val="both"/>
        <w:ind w:left="980" w:right="1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Risser, Chief Operating Officer, adopted a new trading plan on September 25, 2024 (with the first trade possible under the new plan no sooner than December 26, 2024). The trading plan will be effective until December 24, 2025 and covers the potential sale of up to 320,333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8" w:name="page29"/>
    <w:bookmarkEnd w:id="28"/>
    <w:tbl>
      <w:tblPr>
        <w:tblLayout w:type="fixed"/>
        <w:tblInd w:w="12" w:type="dxa"/>
        <w:tblCellMar>
          <w:top w:w="0" w:type="dxa"/>
          <w:left w:w="0" w:type="dxa"/>
          <w:bottom w:w="0" w:type="dxa"/>
          <w:right w:w="0" w:type="dxa"/>
        </w:tblCellMar>
      </w:tblP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4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Fourth Amendment to the Collaboration and License Agreement by and between the Company and Incyte Corporation,</w:t>
            </w:r>
          </w:p>
        </w:tc>
      </w:tr>
      <w:tr>
        <w:trPr>
          <w:trHeight w:val="156"/>
        </w:trPr>
        <w:tc>
          <w:tcPr>
            <w:tcW w:w="4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Inc., dated July 24, 2024</w:t>
            </w:r>
          </w:p>
        </w:tc>
        <w:tc>
          <w:tcPr>
            <w:tcW w:w="20" w:type="dxa"/>
            <w:vAlign w:val="bottom"/>
          </w:tcPr>
          <w:p>
            <w:pPr>
              <w:spacing w:after="0"/>
              <w:rPr>
                <w:sz w:val="13"/>
                <w:szCs w:val="13"/>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493"/>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Second Letter Agreement by and between the Company and Gilead Sciences, Inc., dated August 30, 2024</w:t>
            </w:r>
          </w:p>
        </w:tc>
      </w:tr>
      <w:tr>
        <w:trPr>
          <w:trHeight w:val="479"/>
        </w:trPr>
        <w:tc>
          <w:tcPr>
            <w:tcW w:w="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c>
          <w:tcPr>
            <w:tcW w:w="980" w:type="dxa"/>
            <w:vAlign w:val="bottom"/>
            <w:gridSpan w:val="2"/>
          </w:tcPr>
          <w:p>
            <w:pPr>
              <w:spacing w:after="0"/>
              <w:rPr>
                <w:sz w:val="24"/>
                <w:szCs w:val="24"/>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4360" w:type="dxa"/>
            <w:vAlign w:val="bottom"/>
            <w:gridSpan w:val="3"/>
          </w:tcPr>
          <w:p>
            <w:pPr>
              <w:spacing w:after="0"/>
              <w:rPr>
                <w:sz w:val="24"/>
                <w:szCs w:val="24"/>
                <w:color w:val="auto"/>
              </w:rPr>
            </w:pPr>
          </w:p>
        </w:tc>
      </w:tr>
      <w:tr>
        <w:trPr>
          <w:trHeight w:val="48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8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4500" w:type="dxa"/>
            <w:vAlign w:val="bottom"/>
            <w:gridSpan w:val="5"/>
          </w:tcPr>
          <w:p>
            <w:pPr>
              <w:spacing w:after="0"/>
              <w:rPr>
                <w:sz w:val="24"/>
                <w:szCs w:val="24"/>
                <w:color w:val="auto"/>
              </w:rPr>
            </w:pPr>
          </w:p>
        </w:tc>
      </w:tr>
      <w:tr>
        <w:trPr>
          <w:trHeight w:val="52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0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9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00"/>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9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 filed herewith)</w:t>
            </w:r>
          </w:p>
        </w:tc>
      </w:tr>
    </w:tbl>
    <w:p>
      <w:pPr>
        <w:spacing w:after="0" w:line="306" w:lineRule="exact"/>
        <w:rPr>
          <w:sz w:val="20"/>
          <w:szCs w:val="20"/>
          <w:color w:val="auto"/>
        </w:rPr>
      </w:pPr>
    </w:p>
    <w:p>
      <w:pPr>
        <w:ind w:left="332" w:hanging="323"/>
        <w:spacing w:after="0" w:line="261" w:lineRule="auto"/>
        <w:rPr>
          <w:sz w:val="20"/>
          <w:szCs w:val="20"/>
          <w:color w:val="auto"/>
        </w:rPr>
      </w:pPr>
      <w:r>
        <w:rPr>
          <w:rFonts w:ascii="Times New Roman" w:cs="Times New Roman" w:eastAsia="Times New Roman" w:hAnsi="Times New Roman"/>
          <w:sz w:val="18"/>
          <w:szCs w:val="18"/>
          <w:color w:val="auto"/>
        </w:rPr>
        <w:t>+ Portions of this document (indicated by “[***]” have been omitted because they are not material and are the type that MacroGenics, Inc. treats as private and confidential.</w:t>
      </w:r>
    </w:p>
    <w:p>
      <w:pPr>
        <w:ind w:left="312" w:hanging="312"/>
        <w:spacing w:after="0"/>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12" w:hanging="412"/>
        <w:spacing w:after="0"/>
        <w:tabs>
          <w:tab w:leader="none" w:pos="4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68" w:right="419" w:bottom="1440" w:gutter="0" w:footer="0" w:header="0"/>
        </w:sectPr>
      </w:pPr>
    </w:p>
    <w:bookmarkStart w:id="29" w:name="page30"/>
    <w:bookmarkEnd w:id="29"/>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5, 2024</w:t>
      </w:r>
    </w:p>
    <w:p>
      <w:pPr>
        <w:sectPr>
          <w:pgSz w:w="11900" w:h="16838" w:orient="portrait"/>
          <w:cols w:equalWidth="0" w:num="1">
            <w:col w:w="10920"/>
          </w:cols>
          <w:pgMar w:left="320" w:top="927" w:right="659" w:bottom="1440" w:gutter="0" w:footer="0" w:header="0"/>
        </w:sectPr>
      </w:pPr>
    </w:p>
    <w:bookmarkStart w:id="30" w:name="page31"/>
    <w:bookmarkEnd w:id="30"/>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53"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i w:val="1"/>
          <w:iCs w:val="1"/>
          <w:color w:val="auto"/>
        </w:rPr>
        <w:t>CERTAIN PORTIONS OF THIS EXHIBIT (INDICATED BY [***]) HAVE BEEN EXCLUDED PURSUANT TO ITEM 601(B)(10) OF REGULATION S-K BECAUSE THEY ARE BOTH NOT MATERIAL AND ARE THE TYPE THAT THE COMPANY CUSTOMARILY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AMENDMENT NO. 4 TO GLOBAL COLLABORATION AND LICENSE AGREEMENT</w:t>
      </w:r>
    </w:p>
    <w:p>
      <w:pPr>
        <w:spacing w:after="0" w:line="237" w:lineRule="exact"/>
        <w:rPr>
          <w:sz w:val="20"/>
          <w:szCs w:val="20"/>
          <w:color w:val="auto"/>
        </w:rPr>
      </w:pPr>
    </w:p>
    <w:p>
      <w:pPr>
        <w:jc w:val="both"/>
        <w:ind w:left="660" w:firstLine="647"/>
        <w:spacing w:after="0" w:line="247" w:lineRule="auto"/>
        <w:rPr>
          <w:sz w:val="20"/>
          <w:szCs w:val="20"/>
          <w:color w:val="auto"/>
        </w:rPr>
      </w:pPr>
      <w:r>
        <w:rPr>
          <w:rFonts w:ascii="Times New Roman" w:cs="Times New Roman" w:eastAsia="Times New Roman" w:hAnsi="Times New Roman"/>
          <w:sz w:val="22"/>
          <w:szCs w:val="22"/>
          <w:color w:val="auto"/>
        </w:rPr>
        <w:t>This Amendment No. 4 to Global Collaboration and License Agreement (this “</w:t>
      </w:r>
      <w:r>
        <w:rPr>
          <w:rFonts w:ascii="Times New Roman" w:cs="Times New Roman" w:eastAsia="Times New Roman" w:hAnsi="Times New Roman"/>
          <w:sz w:val="22"/>
          <w:szCs w:val="22"/>
          <w:u w:val="single" w:color="auto"/>
          <w:color w:val="auto"/>
        </w:rPr>
        <w:t>Amendment No. 4</w:t>
      </w:r>
      <w:r>
        <w:rPr>
          <w:rFonts w:ascii="Times New Roman" w:cs="Times New Roman" w:eastAsia="Times New Roman" w:hAnsi="Times New Roman"/>
          <w:sz w:val="22"/>
          <w:szCs w:val="22"/>
          <w:color w:val="auto"/>
        </w:rPr>
        <w:t xml:space="preserve">”) is dated as of July 24, 2024, by and between </w:t>
      </w:r>
      <w:r>
        <w:rPr>
          <w:rFonts w:ascii="Times New Roman" w:cs="Times New Roman" w:eastAsia="Times New Roman" w:hAnsi="Times New Roman"/>
          <w:sz w:val="22"/>
          <w:szCs w:val="22"/>
          <w:b w:val="1"/>
          <w:bCs w:val="1"/>
          <w:color w:val="auto"/>
        </w:rPr>
        <w:t>INCYTE CORPORATION</w:t>
      </w:r>
      <w:r>
        <w:rPr>
          <w:rFonts w:ascii="Times New Roman" w:cs="Times New Roman" w:eastAsia="Times New Roman" w:hAnsi="Times New Roman"/>
          <w:sz w:val="22"/>
          <w:szCs w:val="22"/>
          <w:color w:val="auto"/>
        </w:rPr>
        <w:t>, a Delaware corporation, having its principal place of business at 1801 Augustine Cut-Off, Wilmington, DE 19803 (hereinafter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MACROGENICS, INC.</w:t>
      </w:r>
      <w:r>
        <w:rPr>
          <w:rFonts w:ascii="Times New Roman" w:cs="Times New Roman" w:eastAsia="Times New Roman" w:hAnsi="Times New Roman"/>
          <w:sz w:val="22"/>
          <w:szCs w:val="22"/>
          <w:color w:val="auto"/>
        </w:rPr>
        <w:t>, a Delaware corporation, having its principal place of business at 9704 Medical Center Drive, Rockville, MD 20850 (“</w:t>
      </w:r>
      <w:r>
        <w:rPr>
          <w:rFonts w:ascii="Times New Roman" w:cs="Times New Roman" w:eastAsia="Times New Roman" w:hAnsi="Times New Roman"/>
          <w:sz w:val="22"/>
          <w:szCs w:val="22"/>
          <w:u w:val="single" w:color="auto"/>
          <w:color w:val="auto"/>
        </w:rPr>
        <w:t>MacroGenics</w:t>
      </w:r>
      <w:r>
        <w:rPr>
          <w:rFonts w:ascii="Times New Roman" w:cs="Times New Roman" w:eastAsia="Times New Roman" w:hAnsi="Times New Roman"/>
          <w:sz w:val="22"/>
          <w:szCs w:val="22"/>
          <w:color w:val="auto"/>
        </w:rPr>
        <w:t>”, together with Incyte,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separately,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is meant to amend that certain Global Collaboration and License Agreement, dated as of October 24, 2017, between Incyte and MacroGenics and amended on March 15, 2018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and April 7, 2022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and July 14, 2022 (“Amendment No. 3”). The Global Collaboration and License Agreement, Amendment No. 1, Amendment No. 2 and Amendment No. 3 are referred to herein collectively as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and not otherwise defined herein shall have the meanings ascribed to such terms in the Agreement.</w:t>
      </w:r>
    </w:p>
    <w:p>
      <w:pPr>
        <w:spacing w:after="0" w:line="204" w:lineRule="exact"/>
        <w:rPr>
          <w:sz w:val="20"/>
          <w:szCs w:val="20"/>
          <w:color w:val="auto"/>
        </w:rPr>
      </w:pPr>
    </w:p>
    <w:p>
      <w:pPr>
        <w:jc w:val="both"/>
        <w:ind w:left="720" w:firstLine="647"/>
        <w:spacing w:after="0" w:line="257" w:lineRule="auto"/>
        <w:rPr>
          <w:sz w:val="20"/>
          <w:szCs w:val="20"/>
          <w:color w:val="auto"/>
        </w:rPr>
      </w:pPr>
      <w:r>
        <w:rPr>
          <w:rFonts w:ascii="Times New Roman" w:cs="Times New Roman" w:eastAsia="Times New Roman" w:hAnsi="Times New Roman"/>
          <w:sz w:val="22"/>
          <w:szCs w:val="22"/>
          <w:color w:val="auto"/>
        </w:rPr>
        <w:t>WHEREAS, the Parties wish to modify the Agreement to reflect changes agreed to between the Parties with respect to (a) the acceleration of payment for certain Milestones with respect to [***] and (b) the non-applicability of certain Milestones with respect to [***];</w:t>
      </w:r>
    </w:p>
    <w:p>
      <w:pPr>
        <w:spacing w:after="0" w:line="173" w:lineRule="exact"/>
        <w:rPr>
          <w:sz w:val="20"/>
          <w:szCs w:val="20"/>
          <w:color w:val="auto"/>
        </w:rPr>
      </w:pPr>
    </w:p>
    <w:p>
      <w:pPr>
        <w:jc w:val="both"/>
        <w:ind w:left="720" w:firstLine="647"/>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for other good and valuable consideration the receipt and adequacy of which are hereby acknowledged, the Parties agree as follows:</w:t>
      </w:r>
    </w:p>
    <w:p>
      <w:pPr>
        <w:spacing w:after="0" w:line="171" w:lineRule="exact"/>
        <w:rPr>
          <w:sz w:val="20"/>
          <w:szCs w:val="20"/>
          <w:color w:val="auto"/>
        </w:rPr>
      </w:pPr>
    </w:p>
    <w:p>
      <w:pPr>
        <w:ind w:left="1520" w:right="20" w:hanging="639"/>
        <w:spacing w:after="0" w:line="271" w:lineRule="auto"/>
        <w:tabs>
          <w:tab w:leader="none" w:pos="130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of a Development Milestone and Certain Approval Milestones with respect to the Indication [***]</w:t>
      </w:r>
      <w:r>
        <w:rPr>
          <w:rFonts w:ascii="Times New Roman" w:cs="Times New Roman" w:eastAsia="Times New Roman" w:hAnsi="Times New Roman"/>
          <w:sz w:val="22"/>
          <w:szCs w:val="22"/>
          <w:color w:val="auto"/>
        </w:rPr>
        <w:t>. The Parties agree that with respect to the Indication [***]:</w:t>
      </w:r>
    </w:p>
    <w:p>
      <w:pPr>
        <w:spacing w:after="0" w:line="184" w:lineRule="exact"/>
        <w:rPr>
          <w:rFonts w:ascii="Times New Roman" w:cs="Times New Roman" w:eastAsia="Times New Roman" w:hAnsi="Times New Roman"/>
          <w:sz w:val="22"/>
          <w:szCs w:val="22"/>
          <w:color w:val="auto"/>
        </w:rPr>
      </w:pPr>
    </w:p>
    <w:p>
      <w:pPr>
        <w:jc w:val="both"/>
        <w:ind w:left="2260" w:hanging="326"/>
        <w:spacing w:after="0" w:line="253" w:lineRule="auto"/>
        <w:tabs>
          <w:tab w:leader="none" w:pos="2712"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Milestone set forth in Section 8.2(b) of the Agreement, “Treatment of[***]cumulative subjects across all Incyte Clinical Studies (including Incyte Monotherapy Studies and Incyte Combination Studies) in a single Indication for greater than [***]continuously at a recommended Phase II or Phase III defined dose and schedule,” shall be deemed to have been achieved for the [***]Indication (the “[***]</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2260" w:hanging="326"/>
        <w:spacing w:after="0" w:line="271" w:lineRule="auto"/>
        <w:tabs>
          <w:tab w:leader="none" w:pos="237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Approval Milestones set forth in Section 8.2(d) of the Agreement shall be deemed to have been achieved for the [***]Indication (“[***] </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2960" w:hanging="330"/>
        <w:spacing w:after="0"/>
        <w:tabs>
          <w:tab w:leader="none" w:pos="296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Regulatory Approval in U.S.</w:t>
      </w:r>
    </w:p>
    <w:p>
      <w:pPr>
        <w:spacing w:after="0" w:line="246" w:lineRule="exact"/>
        <w:rPr>
          <w:rFonts w:ascii="Times New Roman" w:cs="Times New Roman" w:eastAsia="Times New Roman" w:hAnsi="Times New Roman"/>
          <w:sz w:val="22"/>
          <w:szCs w:val="22"/>
          <w:color w:val="auto"/>
        </w:rPr>
      </w:pPr>
    </w:p>
    <w:p>
      <w:pPr>
        <w:ind w:left="2960" w:hanging="391"/>
        <w:spacing w:after="0"/>
        <w:tabs>
          <w:tab w:leader="none" w:pos="296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Regulatory Approval in EU.</w:t>
      </w:r>
    </w:p>
    <w:p>
      <w:pPr>
        <w:sectPr>
          <w:pgSz w:w="11900" w:h="16838" w:orient="portrait"/>
          <w:cols w:equalWidth="0" w:num="1">
            <w:col w:w="11240"/>
          </w:cols>
          <w:pgMar w:left="320" w:top="11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399" w:lineRule="exact"/>
        <w:rPr>
          <w:sz w:val="20"/>
          <w:szCs w:val="20"/>
          <w:color w:val="auto"/>
        </w:rPr>
      </w:pPr>
    </w:p>
    <w:p>
      <w:pPr>
        <w:jc w:val="both"/>
        <w:ind w:left="1140" w:hanging="326"/>
        <w:spacing w:after="0" w:line="252" w:lineRule="auto"/>
        <w:tabs>
          <w:tab w:leader="none" w:pos="122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Milestone “Receipt of Regulatory Approval in Japan” set forth in Section 8.2(d) of the Agreement shall not apply to [***], and no payment for the achievement of such Milestone shall ever be due with respect to the Indication of [***]. For clarity, such Milestone shall remain applicable and due with respect to any Indication other than [***].</w:t>
      </w:r>
    </w:p>
    <w:p>
      <w:pPr>
        <w:spacing w:after="0" w:line="219" w:lineRule="exact"/>
        <w:rPr>
          <w:rFonts w:ascii="Times New Roman" w:cs="Times New Roman" w:eastAsia="Times New Roman" w:hAnsi="Times New Roman"/>
          <w:sz w:val="22"/>
          <w:szCs w:val="22"/>
          <w:color w:val="auto"/>
        </w:rPr>
      </w:pPr>
    </w:p>
    <w:p>
      <w:pPr>
        <w:jc w:val="both"/>
        <w:ind w:left="1140" w:hanging="326"/>
        <w:spacing w:after="0" w:line="265" w:lineRule="auto"/>
        <w:tabs>
          <w:tab w:leader="none" w:pos="1239"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execution of this Amendment No. 4, Incyte shall pay MacroGenics the amount of One Hundred Million U.S. dollars ($100,000,000) (the “[***]”). Notwithstanding anything else to the contrary in the Agreement, the Parties hereby acknowledge and agree that the [***] represents and shall be deemed payment in full satisfaction of the total Milestone payments due for the achievement of the [***], and no further Milestone payments shall be due thereafter with respect to[***].</w:t>
      </w:r>
    </w:p>
    <w:p>
      <w:pPr>
        <w:spacing w:after="0" w:line="178" w:lineRule="exact"/>
        <w:rPr>
          <w:rFonts w:ascii="Times New Roman" w:cs="Times New Roman" w:eastAsia="Times New Roman" w:hAnsi="Times New Roman"/>
          <w:sz w:val="21"/>
          <w:szCs w:val="21"/>
          <w:color w:val="auto"/>
        </w:rPr>
      </w:pPr>
    </w:p>
    <w:p>
      <w:pPr>
        <w:ind w:left="540" w:hanging="374"/>
        <w:spacing w:after="0"/>
        <w:tabs>
          <w:tab w:leader="none" w:pos="5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of Certain Milestones and Payments for the Indication of[***]</w:t>
      </w:r>
    </w:p>
    <w:p>
      <w:pPr>
        <w:spacing w:after="0" w:line="246" w:lineRule="exact"/>
        <w:rPr>
          <w:rFonts w:ascii="Times New Roman" w:cs="Times New Roman" w:eastAsia="Times New Roman" w:hAnsi="Times New Roman"/>
          <w:sz w:val="22"/>
          <w:szCs w:val="22"/>
          <w:color w:val="auto"/>
        </w:rPr>
      </w:pPr>
    </w:p>
    <w:p>
      <w:pPr>
        <w:jc w:val="both"/>
        <w:ind w:left="1140" w:hanging="326"/>
        <w:spacing w:after="0" w:line="257" w:lineRule="auto"/>
        <w:tabs>
          <w:tab w:leader="none" w:pos="119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following Milestones shall not apply with respect to Monotherapy Regimens or combination therapies (other than Incyte Combination Regimens that include an Incyte Pipeline Asset, in which case such Milestones shall remain applicable) in the Indication of [***]:</w:t>
      </w:r>
    </w:p>
    <w:p>
      <w:pPr>
        <w:spacing w:after="0" w:line="199" w:lineRule="exact"/>
        <w:rPr>
          <w:rFonts w:ascii="Times New Roman" w:cs="Times New Roman" w:eastAsia="Times New Roman" w:hAnsi="Times New Roman"/>
          <w:sz w:val="22"/>
          <w:szCs w:val="22"/>
          <w:color w:val="auto"/>
        </w:rPr>
      </w:pPr>
    </w:p>
    <w:p>
      <w:pPr>
        <w:ind w:left="1780" w:hanging="271"/>
        <w:spacing w:after="0" w:line="284" w:lineRule="auto"/>
        <w:tabs>
          <w:tab w:leader="none" w:pos="1869"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Regulatory Filing Milestone “First filing of BLA in the US” set forth in Section 8.2(c) of the Agreement.</w:t>
      </w:r>
    </w:p>
    <w:p>
      <w:pPr>
        <w:spacing w:after="0" w:line="143" w:lineRule="exact"/>
        <w:rPr>
          <w:rFonts w:ascii="Times New Roman" w:cs="Times New Roman" w:eastAsia="Times New Roman" w:hAnsi="Times New Roman"/>
          <w:sz w:val="22"/>
          <w:szCs w:val="22"/>
          <w:color w:val="auto"/>
        </w:rPr>
      </w:pPr>
    </w:p>
    <w:p>
      <w:pPr>
        <w:ind w:left="1780" w:right="20" w:hanging="332"/>
        <w:spacing w:after="0" w:line="271" w:lineRule="auto"/>
        <w:tabs>
          <w:tab w:leader="none" w:pos="1896"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Regulatory Filing Milestone “First filing of MAA with EMA or in[***]European Major Market countries” set forth in Section 8.2(c) of the Agreement.</w:t>
      </w:r>
    </w:p>
    <w:p>
      <w:pPr>
        <w:spacing w:after="0" w:line="184" w:lineRule="exact"/>
        <w:rPr>
          <w:rFonts w:ascii="Times New Roman" w:cs="Times New Roman" w:eastAsia="Times New Roman" w:hAnsi="Times New Roman"/>
          <w:sz w:val="22"/>
          <w:szCs w:val="22"/>
          <w:color w:val="auto"/>
        </w:rPr>
      </w:pPr>
    </w:p>
    <w:p>
      <w:pPr>
        <w:ind w:left="1780" w:hanging="390"/>
        <w:spacing w:after="0" w:line="271" w:lineRule="auto"/>
        <w:tabs>
          <w:tab w:leader="none" w:pos="187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Milestone “Receipt of Regulatory Approval in U.S.” set forth in Section 8.2(d) of the Agreement.</w:t>
      </w:r>
    </w:p>
    <w:p>
      <w:pPr>
        <w:spacing w:after="0" w:line="198" w:lineRule="exact"/>
        <w:rPr>
          <w:rFonts w:ascii="Times New Roman" w:cs="Times New Roman" w:eastAsia="Times New Roman" w:hAnsi="Times New Roman"/>
          <w:sz w:val="22"/>
          <w:szCs w:val="22"/>
          <w:color w:val="auto"/>
        </w:rPr>
      </w:pPr>
    </w:p>
    <w:p>
      <w:pPr>
        <w:ind w:left="1780" w:hanging="379"/>
        <w:spacing w:after="0" w:line="271" w:lineRule="auto"/>
        <w:tabs>
          <w:tab w:leader="none" w:pos="1833"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Milestone “Receipt of Regulatory Approval in EU” set forth in Section 8.2(d) of the Agreement.</w:t>
      </w:r>
    </w:p>
    <w:p>
      <w:pPr>
        <w:spacing w:after="0" w:line="184" w:lineRule="exact"/>
        <w:rPr>
          <w:rFonts w:ascii="Times New Roman" w:cs="Times New Roman" w:eastAsia="Times New Roman" w:hAnsi="Times New Roman"/>
          <w:sz w:val="22"/>
          <w:szCs w:val="22"/>
          <w:color w:val="auto"/>
        </w:rPr>
      </w:pPr>
    </w:p>
    <w:p>
      <w:pPr>
        <w:ind w:left="1780" w:hanging="318"/>
        <w:spacing w:after="0" w:line="271" w:lineRule="auto"/>
        <w:tabs>
          <w:tab w:leader="none" w:pos="1842"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Milestone “Receipt of Regulatory Approval in Japan” set forth in Section 8.2(d) of the Agreement.</w:t>
      </w:r>
    </w:p>
    <w:p>
      <w:pPr>
        <w:spacing w:after="0" w:line="158" w:lineRule="exact"/>
        <w:rPr>
          <w:sz w:val="20"/>
          <w:szCs w:val="20"/>
          <w:color w:val="auto"/>
        </w:rPr>
      </w:pPr>
    </w:p>
    <w:p>
      <w:pPr>
        <w:ind w:left="1140" w:right="220"/>
        <w:spacing w:after="0" w:line="284" w:lineRule="auto"/>
        <w:rPr>
          <w:sz w:val="20"/>
          <w:szCs w:val="20"/>
          <w:color w:val="auto"/>
        </w:rPr>
      </w:pPr>
      <w:r>
        <w:rPr>
          <w:rFonts w:ascii="Times New Roman" w:cs="Times New Roman" w:eastAsia="Times New Roman" w:hAnsi="Times New Roman"/>
          <w:sz w:val="22"/>
          <w:szCs w:val="22"/>
          <w:color w:val="auto"/>
        </w:rPr>
        <w:t>Other than as set forth herein, no payments for the achievements of such Milestones shall ever be due with respect to the Indication[***].</w:t>
      </w:r>
    </w:p>
    <w:p>
      <w:pPr>
        <w:spacing w:after="0" w:line="171" w:lineRule="exact"/>
        <w:rPr>
          <w:sz w:val="20"/>
          <w:szCs w:val="20"/>
          <w:color w:val="auto"/>
        </w:rPr>
      </w:pPr>
    </w:p>
    <w:p>
      <w:pPr>
        <w:ind w:left="820" w:hanging="654"/>
        <w:spacing w:after="0" w:line="249" w:lineRule="auto"/>
        <w:tabs>
          <w:tab w:leader="none" w:pos="60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Remaining Provisions of the Agreement</w:t>
      </w:r>
      <w:r>
        <w:rPr>
          <w:rFonts w:ascii="Times New Roman" w:cs="Times New Roman" w:eastAsia="Times New Roman" w:hAnsi="Times New Roman"/>
          <w:sz w:val="22"/>
          <w:szCs w:val="22"/>
          <w:color w:val="auto"/>
        </w:rPr>
        <w:t>. The Agreement, as supplemented and modified by this Amendment No. 4, contains the entire understanding of the parties with respect to the subject matter hereof and supersedes all prior agreements and understandings, oral or written, with respect to such matters, which the parties acknowledge have been merged into the Agreement. Upon the effectiveness of this Amendment No. 4, on and after the date hereof, each reference in the Agreement to “this Agreement,” “hereunder,” “hereof,” “herein” or words of like import shall mean and be a reference to the Agreement, as amended hereby. Except as provided herein, each of the other provisions of the Agreement shall remain in full force and effect.</w:t>
      </w:r>
    </w:p>
    <w:p>
      <w:pPr>
        <w:spacing w:after="0" w:line="3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20"/>
          </w:cols>
          <w:pgMar w:left="1440" w:top="77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399" w:lineRule="exact"/>
        <w:rPr>
          <w:sz w:val="20"/>
          <w:szCs w:val="20"/>
          <w:color w:val="auto"/>
        </w:rPr>
      </w:pPr>
    </w:p>
    <w:p>
      <w:pPr>
        <w:ind w:left="820" w:hanging="654"/>
        <w:spacing w:after="0" w:line="257" w:lineRule="auto"/>
        <w:tabs>
          <w:tab w:leader="none" w:pos="6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No. 4 shall be governed by and construed under the laws of the State of New York, without giving effect to any choice of law principles that would require the application of the laws of a different state.</w:t>
      </w:r>
    </w:p>
    <w:p>
      <w:pPr>
        <w:spacing w:after="0" w:line="199" w:lineRule="exact"/>
        <w:rPr>
          <w:rFonts w:ascii="Times New Roman" w:cs="Times New Roman" w:eastAsia="Times New Roman" w:hAnsi="Times New Roman"/>
          <w:sz w:val="22"/>
          <w:szCs w:val="22"/>
          <w:color w:val="auto"/>
        </w:rPr>
      </w:pPr>
    </w:p>
    <w:p>
      <w:pPr>
        <w:ind w:left="820" w:hanging="654"/>
        <w:spacing w:after="0" w:line="255" w:lineRule="auto"/>
        <w:tabs>
          <w:tab w:leader="none" w:pos="57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Amendment No. 4 may be executed in two (2) or more counterparts, each of which shall be deemed an original, but all of which together shall constitute one and the same instrument. This Amendment No. 4 may be executed by</w:t>
      </w:r>
    </w:p>
    <w:p>
      <w:pPr>
        <w:ind w:left="820" w:right="9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.pdf or other electronically transmitted signatures and such signatures shall be deemed to bind each Party as if they were the original signatures.</w:t>
      </w:r>
    </w:p>
    <w:p>
      <w:pPr>
        <w:spacing w:after="0" w:line="1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ectPr>
          <w:pgSz w:w="11900" w:h="16838" w:orient="portrait"/>
          <w:cols w:equalWidth="0" w:num="1">
            <w:col w:w="10120"/>
          </w:cols>
          <w:pgMar w:left="1440" w:top="770" w:right="339" w:bottom="9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20"/>
          </w:cols>
          <w:pgMar w:left="1440" w:top="770" w:right="339" w:bottom="943"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399" w:lineRule="exact"/>
        <w:rPr>
          <w:sz w:val="20"/>
          <w:szCs w:val="20"/>
          <w:color w:val="auto"/>
        </w:rPr>
      </w:pPr>
    </w:p>
    <w:p>
      <w:pPr>
        <w:jc w:val="both"/>
        <w:ind w:right="960" w:firstLine="647"/>
        <w:spacing w:after="0" w:line="257"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No. 4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MACROGENICS, INC.</w:t>
      </w:r>
    </w:p>
    <w:p>
      <w:pPr>
        <w:spacing w:after="0" w:line="200" w:lineRule="exact"/>
        <w:rPr>
          <w:sz w:val="20"/>
          <w:szCs w:val="20"/>
          <w:color w:val="auto"/>
        </w:rPr>
      </w:pPr>
    </w:p>
    <w:p>
      <w:pPr>
        <w:spacing w:after="0" w:line="294"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22"/>
          <w:szCs w:val="22"/>
          <w:color w:val="auto"/>
        </w:rPr>
        <w:t>By:</w:t>
        <w:tab/>
        <w:t>Name: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200" w:lineRule="exact"/>
        <w:rPr>
          <w:sz w:val="20"/>
          <w:szCs w:val="20"/>
          <w:color w:val="auto"/>
        </w:rPr>
      </w:pPr>
    </w:p>
    <w:p>
      <w:pPr>
        <w:spacing w:after="0" w:line="348"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22"/>
          <w:szCs w:val="22"/>
          <w:color w:val="auto"/>
        </w:rPr>
        <w:t>By:</w:t>
        <w:tab/>
        <w:t>Name: Vijay Iyengar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Title: EVP, Global Medical Affairs, Product and Partnership Strategy</w:t>
      </w:r>
    </w:p>
    <w:p>
      <w:pPr>
        <w:sectPr>
          <w:pgSz w:w="11900" w:h="16838" w:orient="portrait"/>
          <w:cols w:equalWidth="0" w:num="1">
            <w:col w:w="10280"/>
          </w:cols>
          <w:pgMar w:left="1280" w:top="7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280"/>
          </w:cols>
          <w:pgMar w:left="1280" w:top="770" w:right="339" w:bottom="1440" w:gutter="0" w:footer="0" w:header="0"/>
          <w:type w:val="continuous"/>
        </w:sectPr>
      </w:pPr>
    </w:p>
    <w:bookmarkStart w:id="34" w:name="page35"/>
    <w:bookmarkEnd w:id="34"/>
    <w:p>
      <w:pPr>
        <w:ind w:left="1022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27"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i w:val="1"/>
          <w:iCs w:val="1"/>
          <w:color w:val="auto"/>
        </w:rPr>
        <w:t>CERTAIN PORTIONS OF THIS EXHIBIT (INDICATED BY [***]) HAVE BEEN EXCLUDED PURSUANT TO ITEM 601(B)(10) OF REGULATION S-K BECAUSE THEY ARE BOTH NOT MATERIAL AND ARE THE TYPE THAT THE COMPANY CUSTOMARILY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ACTUALLY TREATS AS PRIVATE AND CONFIDENTIAL.</w:t>
      </w:r>
    </w:p>
    <w:p>
      <w:pPr>
        <w:spacing w:after="0" w:line="316"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August 30, 2024</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Gilead Sciences, Inc.</w:t>
      </w:r>
    </w:p>
    <w:p>
      <w:pPr>
        <w:ind w:left="260"/>
        <w:spacing w:after="0" w:line="219" w:lineRule="auto"/>
        <w:rPr>
          <w:sz w:val="20"/>
          <w:szCs w:val="20"/>
          <w:color w:val="auto"/>
        </w:rPr>
      </w:pPr>
      <w:r>
        <w:rPr>
          <w:rFonts w:ascii="Times New Roman" w:cs="Times New Roman" w:eastAsia="Times New Roman" w:hAnsi="Times New Roman"/>
          <w:sz w:val="20"/>
          <w:szCs w:val="20"/>
          <w:color w:val="auto"/>
        </w:rPr>
        <w:t>333 Lakeside Drive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Foster City, CA 94404</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This second letter agreement (“</w:t>
      </w:r>
      <w:r>
        <w:rPr>
          <w:rFonts w:ascii="Times New Roman" w:cs="Times New Roman" w:eastAsia="Times New Roman" w:hAnsi="Times New Roman"/>
          <w:sz w:val="20"/>
          <w:szCs w:val="20"/>
          <w:b w:val="1"/>
          <w:bCs w:val="1"/>
          <w:color w:val="auto"/>
        </w:rPr>
        <w:t>Second Letter Agreement</w:t>
      </w:r>
      <w:r>
        <w:rPr>
          <w:rFonts w:ascii="Times New Roman" w:cs="Times New Roman" w:eastAsia="Times New Roman" w:hAnsi="Times New Roman"/>
          <w:sz w:val="20"/>
          <w:szCs w:val="20"/>
          <w:color w:val="auto"/>
        </w:rPr>
        <w:t>”) is entered into as of August 30, 2024 (the “</w:t>
      </w:r>
      <w:r>
        <w:rPr>
          <w:rFonts w:ascii="Times New Roman" w:cs="Times New Roman" w:eastAsia="Times New Roman" w:hAnsi="Times New Roman"/>
          <w:sz w:val="20"/>
          <w:szCs w:val="20"/>
          <w:b w:val="1"/>
          <w:bCs w:val="1"/>
          <w:color w:val="auto"/>
        </w:rPr>
        <w:t>Second Letter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 Effective Date</w:t>
      </w:r>
      <w:r>
        <w:rPr>
          <w:rFonts w:ascii="Times New Roman" w:cs="Times New Roman" w:eastAsia="Times New Roman" w:hAnsi="Times New Roman"/>
          <w:sz w:val="20"/>
          <w:szCs w:val="20"/>
          <w:color w:val="auto"/>
        </w:rPr>
        <w:t>”), by and between MacroGenics, Inc. (“</w:t>
      </w:r>
      <w:r>
        <w:rPr>
          <w:rFonts w:ascii="Times New Roman" w:cs="Times New Roman" w:eastAsia="Times New Roman" w:hAnsi="Times New Roman"/>
          <w:sz w:val="20"/>
          <w:szCs w:val="20"/>
          <w:b w:val="1"/>
          <w:bCs w:val="1"/>
          <w:color w:val="auto"/>
        </w:rPr>
        <w:t>MacroGenics</w:t>
      </w:r>
      <w:r>
        <w:rPr>
          <w:rFonts w:ascii="Times New Roman" w:cs="Times New Roman" w:eastAsia="Times New Roman" w:hAnsi="Times New Roman"/>
          <w:sz w:val="20"/>
          <w:szCs w:val="20"/>
          <w:color w:val="auto"/>
        </w:rPr>
        <w:t>”), and Gilead Sciences, Inc., (“</w:t>
      </w:r>
      <w:r>
        <w:rPr>
          <w:rFonts w:ascii="Times New Roman" w:cs="Times New Roman" w:eastAsia="Times New Roman" w:hAnsi="Times New Roman"/>
          <w:sz w:val="20"/>
          <w:szCs w:val="20"/>
          <w:b w:val="1"/>
          <w:bCs w:val="1"/>
          <w:color w:val="auto"/>
        </w:rPr>
        <w:t>Gilead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Reference is hereby made to the Collaboration and License Agreement between the Parties, dated as of October 14, 2022, as amended by the First Amendment to License Agreement, dated January 11, 2024 (the “</w:t>
      </w:r>
      <w:r>
        <w:rPr>
          <w:rFonts w:ascii="Times New Roman" w:cs="Times New Roman" w:eastAsia="Times New Roman" w:hAnsi="Times New Roman"/>
          <w:sz w:val="20"/>
          <w:szCs w:val="20"/>
          <w:b w:val="1"/>
          <w:bCs w:val="1"/>
          <w:color w:val="auto"/>
        </w:rPr>
        <w:t>Collaboration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the Letter Agreement between the Parties, dated as of August 31, 2023 (“</w:t>
      </w:r>
      <w:r>
        <w:rPr>
          <w:rFonts w:ascii="Times New Roman" w:cs="Times New Roman" w:eastAsia="Times New Roman" w:hAnsi="Times New Roman"/>
          <w:sz w:val="20"/>
          <w:szCs w:val="20"/>
          <w:b w:val="1"/>
          <w:bCs w:val="1"/>
          <w:color w:val="auto"/>
        </w:rPr>
        <w:t>First Letter Agreement</w:t>
      </w:r>
      <w:r>
        <w:rPr>
          <w:rFonts w:ascii="Times New Roman" w:cs="Times New Roman" w:eastAsia="Times New Roman" w:hAnsi="Times New Roman"/>
          <w:sz w:val="20"/>
          <w:szCs w:val="20"/>
          <w:color w:val="auto"/>
        </w:rPr>
        <w: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specified or defined herein, any capitalized terms used but not defined in this Second Letter Agreement will have the meaning assigned to them in the Collaboration Agreement or the First Letter Agreement, as applicable.</w:t>
      </w:r>
    </w:p>
    <w:p>
      <w:pPr>
        <w:spacing w:after="0" w:line="17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color w:val="auto"/>
        </w:rPr>
        <w:t>As of the Second Letter Agreement Effective Date, MacroGenics anticipates conducting [***] Study [***] a study that Gilead will provide funding for under this Second Letter Agreement. As a condition to Gilead providing funding and MacroGenics conducting such study, the Parties have agreed to enter into this Second Letter Agreement, memorializing their agreement to the following:</w:t>
      </w:r>
    </w:p>
    <w:p>
      <w:pPr>
        <w:spacing w:after="0" w:line="182" w:lineRule="exact"/>
        <w:rPr>
          <w:sz w:val="20"/>
          <w:szCs w:val="20"/>
          <w:color w:val="auto"/>
        </w:rPr>
      </w:pPr>
    </w:p>
    <w:p>
      <w:pPr>
        <w:ind w:left="920" w:right="180" w:hanging="318"/>
        <w:spacing w:after="0" w:line="287" w:lineRule="auto"/>
        <w:tabs>
          <w:tab w:leader="none" w:pos="94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First Research Program</w:t>
      </w:r>
      <w:r>
        <w:rPr>
          <w:rFonts w:ascii="Times New Roman" w:cs="Times New Roman" w:eastAsia="Times New Roman" w:hAnsi="Times New Roman"/>
          <w:sz w:val="20"/>
          <w:szCs w:val="20"/>
          <w:color w:val="auto"/>
        </w:rPr>
        <w:t>. Pursuant to the First Letter Agreement, the Parties established the First Research Program for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Confirmed Research Target Combination [***].</w:t>
      </w:r>
    </w:p>
    <w:p>
      <w:pPr>
        <w:spacing w:after="0" w:line="151" w:lineRule="exact"/>
        <w:rPr>
          <w:rFonts w:ascii="Times New Roman" w:cs="Times New Roman" w:eastAsia="Times New Roman" w:hAnsi="Times New Roman"/>
          <w:sz w:val="20"/>
          <w:szCs w:val="20"/>
          <w:color w:val="auto"/>
        </w:rPr>
      </w:pPr>
    </w:p>
    <w:p>
      <w:pPr>
        <w:ind w:left="1020" w:hanging="418"/>
        <w:spacing w:after="0"/>
        <w:tabs>
          <w:tab w:leader="none" w:pos="1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Funding Payment for [***] Study</w:t>
      </w:r>
      <w:r>
        <w:rPr>
          <w:rFonts w:ascii="Times New Roman" w:cs="Times New Roman" w:eastAsia="Times New Roman" w:hAnsi="Times New Roman"/>
          <w:sz w:val="20"/>
          <w:szCs w:val="20"/>
          <w:color w:val="auto"/>
        </w:rPr>
        <w:t>. Within [***] after the Second Letter Effective Date, MacroGenics shall invoice Gilead</w:t>
      </w:r>
    </w:p>
    <w:p>
      <w:pPr>
        <w:spacing w:after="0" w:line="32" w:lineRule="exact"/>
        <w:rPr>
          <w:rFonts w:ascii="Times New Roman" w:cs="Times New Roman" w:eastAsia="Times New Roman" w:hAnsi="Times New Roman"/>
          <w:sz w:val="20"/>
          <w:szCs w:val="20"/>
          <w:color w:val="auto"/>
        </w:rPr>
      </w:pPr>
    </w:p>
    <w:p>
      <w:pPr>
        <w:jc w:val="both"/>
        <w:ind w:left="920" w:right="120" w:firstLine="6"/>
        <w:spacing w:after="0" w:line="279" w:lineRule="auto"/>
        <w:tabs>
          <w:tab w:leader="none" w:pos="1399"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and Gilead shall pay such amount [***] after Gilead’s receipt of such invoice. MacroGenics shall use such payment solely to conduct the [***] study detailed in the study plan attached to this Second Letter Agreement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 </w:t>
      </w:r>
      <w:r>
        <w:rPr>
          <w:rFonts w:ascii="Times New Roman" w:cs="Times New Roman" w:eastAsia="Times New Roman" w:hAnsi="Times New Roman"/>
          <w:sz w:val="19"/>
          <w:szCs w:val="19"/>
          <w:b w:val="1"/>
          <w:bCs w:val="1"/>
          <w:color w:val="auto"/>
        </w:rPr>
        <w:t>Study</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jc w:val="both"/>
        <w:ind w:left="920" w:right="160" w:hanging="319"/>
        <w:spacing w:after="0" w:line="251" w:lineRule="auto"/>
        <w:tabs>
          <w:tab w:leader="none" w:pos="101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Conduct [***] Study</w:t>
      </w:r>
      <w:r>
        <w:rPr>
          <w:rFonts w:ascii="Times New Roman" w:cs="Times New Roman" w:eastAsia="Times New Roman" w:hAnsi="Times New Roman"/>
          <w:sz w:val="20"/>
          <w:szCs w:val="20"/>
          <w:color w:val="auto"/>
        </w:rPr>
        <w:t>. MacroGenics shall conduct and complete the [***] Study at its cost and expense subject to Gilead’s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funding pursuant to Section 2 of this Second Letter Agreement. All data, results, know-how and other intellectual property resulting from the performance of the [***] Study (“</w:t>
      </w:r>
      <w:r>
        <w:rPr>
          <w:rFonts w:ascii="Times New Roman" w:cs="Times New Roman" w:eastAsia="Times New Roman" w:hAnsi="Times New Roman"/>
          <w:sz w:val="20"/>
          <w:szCs w:val="20"/>
          <w:b w:val="1"/>
          <w:bCs w:val="1"/>
          <w:color w:val="auto"/>
        </w:rPr>
        <w:t>Study Intellectual Property</w:t>
      </w:r>
      <w:r>
        <w:rPr>
          <w:rFonts w:ascii="Times New Roman" w:cs="Times New Roman" w:eastAsia="Times New Roman" w:hAnsi="Times New Roman"/>
          <w:sz w:val="20"/>
          <w:szCs w:val="20"/>
          <w:color w:val="auto"/>
        </w:rPr>
        <w:t xml:space="preserve">”) shall be solely owned by MacroGenics and MacroGenics shall have the sole right to use the Study Intellectual Property in any way it sees fit, subject to the last sentence of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(Research Target Nomination Right) of the Collaboration Agreement and the last sentence of this Section 3 of this Second Agreement Letter. MacroGenics shall have no obligation to provide any financial consideration to Gilead or any other consideration (except as set forth in this Second Agreement Letter) for MacroGenics’ ownership and any use of the Study Intellectual Property. If the Research Target Combination of [***] becomes a Licensed Research Target Combination, then the Study Intellectual Property will be deemed MacroGenics Research Know-How or MacroGenics Research Patents under the Collaboration Agreement, as applicable, and will be licensed to Gilead under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(Research Term License) of the Collaboration Agreement.</w:t>
      </w:r>
    </w:p>
    <w:p>
      <w:pPr>
        <w:spacing w:after="0" w:line="189" w:lineRule="exact"/>
        <w:rPr>
          <w:rFonts w:ascii="Times New Roman" w:cs="Times New Roman" w:eastAsia="Times New Roman" w:hAnsi="Times New Roman"/>
          <w:sz w:val="20"/>
          <w:szCs w:val="20"/>
          <w:color w:val="auto"/>
        </w:rPr>
      </w:pPr>
    </w:p>
    <w:p>
      <w:pPr>
        <w:ind w:left="940" w:hanging="338"/>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Collaboration Agreement Amendments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1580" w:right="180" w:hanging="324"/>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Section 1.154 of the Collaboration Agreement is hereby renumbered as Section 1.155 and each section thereafter in Article 1 is renumbered accordingly and the following text is inserted as a new Section 1.154 of the Collaboration Agreement:</w:t>
      </w:r>
    </w:p>
    <w:p>
      <w:pPr>
        <w:sectPr>
          <w:pgSz w:w="11900" w:h="16838" w:orient="portrait"/>
          <w:cols w:equalWidth="0" w:num="1">
            <w:col w:w="11240"/>
          </w:cols>
          <w:pgMar w:left="320" w:top="585" w:right="339" w:bottom="1440" w:gutter="0" w:footer="0" w:header="0"/>
        </w:sectPr>
      </w:pPr>
    </w:p>
    <w:bookmarkStart w:id="35" w:name="page36"/>
    <w:bookmarkEnd w:id="35"/>
    <w:p>
      <w:pPr>
        <w:spacing w:after="0" w:line="200" w:lineRule="exact"/>
        <w:rPr>
          <w:sz w:val="20"/>
          <w:szCs w:val="20"/>
          <w:color w:val="auto"/>
        </w:rPr>
      </w:pPr>
    </w:p>
    <w:p>
      <w:pPr>
        <w:spacing w:after="0" w:line="336" w:lineRule="exact"/>
        <w:rPr>
          <w:sz w:val="20"/>
          <w:szCs w:val="20"/>
          <w:color w:val="auto"/>
        </w:rPr>
      </w:pPr>
    </w:p>
    <w:p>
      <w:pPr>
        <w:jc w:val="both"/>
        <w:ind w:left="460" w:right="140"/>
        <w:spacing w:after="0" w:line="264" w:lineRule="auto"/>
        <w:rPr>
          <w:sz w:val="20"/>
          <w:szCs w:val="20"/>
          <w:color w:val="auto"/>
        </w:rPr>
      </w:pPr>
      <w:r>
        <w:rPr>
          <w:rFonts w:ascii="Times New Roman" w:cs="Times New Roman" w:eastAsia="Times New Roman" w:hAnsi="Times New Roman"/>
          <w:sz w:val="20"/>
          <w:szCs w:val="20"/>
          <w:color w:val="010101"/>
        </w:rPr>
        <w:t xml:space="preserve">1.154 </w:t>
      </w:r>
      <w:r>
        <w:rPr>
          <w:rFonts w:ascii="Times New Roman" w:cs="Times New Roman" w:eastAsia="Times New Roman" w:hAnsi="Times New Roman"/>
          <w:sz w:val="20"/>
          <w:szCs w:val="20"/>
          <w:i w:val="1"/>
          <w:iCs w:val="1"/>
          <w:color w:val="010101"/>
        </w:rPr>
        <w:t>“</w:t>
      </w:r>
      <w:r>
        <w:rPr>
          <w:rFonts w:ascii="Times New Roman" w:cs="Times New Roman" w:eastAsia="Times New Roman" w:hAnsi="Times New Roman"/>
          <w:sz w:val="20"/>
          <w:szCs w:val="20"/>
          <w:b w:val="1"/>
          <w:bCs w:val="1"/>
          <w:color w:val="000000"/>
        </w:rPr>
        <w:t>[***] Data Package</w:t>
      </w:r>
      <w:r>
        <w:rPr>
          <w:rFonts w:ascii="Times New Roman" w:cs="Times New Roman" w:eastAsia="Times New Roman" w:hAnsi="Times New Roman"/>
          <w:sz w:val="20"/>
          <w:szCs w:val="20"/>
          <w:color w:val="000000"/>
        </w:rPr>
        <w:t>” means the data package containing data generated from the [***] study conducted by</w:t>
      </w:r>
      <w:r>
        <w:rPr>
          <w:rFonts w:ascii="Times New Roman" w:cs="Times New Roman" w:eastAsia="Times New Roman" w:hAnsi="Times New Roman"/>
          <w:sz w:val="20"/>
          <w:szCs w:val="20"/>
          <w:color w:val="010101"/>
        </w:rPr>
        <w:t xml:space="preserve"> </w:t>
      </w:r>
      <w:r>
        <w:rPr>
          <w:rFonts w:ascii="Times New Roman" w:cs="Times New Roman" w:eastAsia="Times New Roman" w:hAnsi="Times New Roman"/>
          <w:sz w:val="20"/>
          <w:szCs w:val="20"/>
          <w:color w:val="000000"/>
        </w:rPr>
        <w:t xml:space="preserve">MacroGenics pursuant to the Second Letter Agreement between the Parties dated August 30, 2024 to evaluate [***] a molecule being developed by MacroGenics which binds the Research Target Combination [***] (such study, the “[***] </w:t>
      </w:r>
      <w:r>
        <w:rPr>
          <w:rFonts w:ascii="Times New Roman" w:cs="Times New Roman" w:eastAsia="Times New Roman" w:hAnsi="Times New Roman"/>
          <w:sz w:val="20"/>
          <w:szCs w:val="20"/>
          <w:b w:val="1"/>
          <w:bCs w:val="1"/>
          <w:color w:val="000000"/>
        </w:rPr>
        <w:t>Study</w:t>
      </w:r>
      <w:r>
        <w:rPr>
          <w:rFonts w:ascii="Times New Roman" w:cs="Times New Roman" w:eastAsia="Times New Roman" w:hAnsi="Times New Roman"/>
          <w:sz w:val="20"/>
          <w:szCs w:val="20"/>
          <w:color w:val="000000"/>
        </w:rPr>
        <w:t>”). The data to be included in [***] Data Package is set forth in</w:t>
      </w:r>
      <w:r>
        <w:rPr>
          <w:rFonts w:ascii="Times New Roman" w:cs="Times New Roman" w:eastAsia="Times New Roman" w:hAnsi="Times New Roman"/>
          <w:sz w:val="20"/>
          <w:szCs w:val="20"/>
          <w:b w:val="1"/>
          <w:bCs w:val="1"/>
          <w:color w:val="000000"/>
        </w:rPr>
        <w:t xml:space="preserve"> Schedule 1.154</w:t>
      </w:r>
      <w:r>
        <w:rPr>
          <w:rFonts w:ascii="Times New Roman" w:cs="Times New Roman" w:eastAsia="Times New Roman" w:hAnsi="Times New Roman"/>
          <w:sz w:val="20"/>
          <w:szCs w:val="20"/>
          <w:color w:val="000000"/>
        </w:rPr>
        <w:t>.</w:t>
      </w:r>
    </w:p>
    <w:p>
      <w:pPr>
        <w:spacing w:after="0" w:line="113" w:lineRule="exact"/>
        <w:rPr>
          <w:sz w:val="20"/>
          <w:szCs w:val="20"/>
          <w:color w:val="auto"/>
        </w:rPr>
      </w:pPr>
    </w:p>
    <w:p>
      <w:pPr>
        <w:ind w:left="460" w:right="340" w:hanging="330"/>
        <w:spacing w:after="0" w:line="269" w:lineRule="auto"/>
        <w:tabs>
          <w:tab w:leader="none" w:pos="48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(Research Target Nomination Right) of the Collaboration Agreement is hereby deleted and replaced in its entirety as follows:</w:t>
      </w:r>
    </w:p>
    <w:p>
      <w:pPr>
        <w:spacing w:after="0" w:line="209" w:lineRule="exact"/>
        <w:rPr>
          <w:sz w:val="20"/>
          <w:szCs w:val="20"/>
          <w:color w:val="auto"/>
        </w:rPr>
      </w:pPr>
    </w:p>
    <w:p>
      <w:pPr>
        <w:ind w:left="460" w:right="160" w:firstLine="648"/>
        <w:spacing w:after="0" w:line="262" w:lineRule="auto"/>
        <w:rPr>
          <w:sz w:val="20"/>
          <w:szCs w:val="20"/>
          <w:color w:val="auto"/>
        </w:rPr>
      </w:pPr>
      <w:r>
        <w:rPr>
          <w:rFonts w:ascii="Times New Roman" w:cs="Times New Roman" w:eastAsia="Times New Roman" w:hAnsi="Times New Roman"/>
          <w:sz w:val="19"/>
          <w:szCs w:val="19"/>
          <w:b w:val="1"/>
          <w:bCs w:val="1"/>
          <w:color w:val="auto"/>
        </w:rPr>
        <w:t>Research Target Nomination Right</w:t>
      </w:r>
      <w:r>
        <w:rPr>
          <w:rFonts w:ascii="Times New Roman" w:cs="Times New Roman" w:eastAsia="Times New Roman" w:hAnsi="Times New Roman"/>
          <w:sz w:val="19"/>
          <w:szCs w:val="19"/>
          <w:color w:val="auto"/>
        </w:rPr>
        <w:t>. During the period commencing on the Effective Date and, subject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last sentence of Section 5.1(e) [***] Study Report), ending [***] following submission of the [***] Data Package by MacroGenics to Gilead (“</w:t>
      </w:r>
      <w:r>
        <w:rPr>
          <w:rFonts w:ascii="Times New Roman" w:cs="Times New Roman" w:eastAsia="Times New Roman" w:hAnsi="Times New Roman"/>
          <w:sz w:val="19"/>
          <w:szCs w:val="19"/>
          <w:b w:val="1"/>
          <w:bCs w:val="1"/>
          <w:color w:val="auto"/>
        </w:rPr>
        <w:t>Research Target Selection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submission of the [***] Data Package shall be in sufficient time for such [***] period to expire no later than [***] of the initiation of the [***] Study, Gilead shall have the right, in its sole discretion (subject to the remainder of this Article 5 (Research Target Nomination; Research Plans; Licensed Research Target Combinations)), to nominate [***] (such combination, a “</w:t>
      </w:r>
      <w:r>
        <w:rPr>
          <w:rFonts w:ascii="Times New Roman" w:cs="Times New Roman" w:eastAsia="Times New Roman" w:hAnsi="Times New Roman"/>
          <w:sz w:val="19"/>
          <w:szCs w:val="19"/>
          <w:b w:val="1"/>
          <w:bCs w:val="1"/>
          <w:color w:val="auto"/>
        </w:rPr>
        <w:t>Research Target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Combination</w:t>
      </w:r>
      <w:r>
        <w:rPr>
          <w:rFonts w:ascii="Times New Roman" w:cs="Times New Roman" w:eastAsia="Times New Roman" w:hAnsi="Times New Roman"/>
          <w:sz w:val="19"/>
          <w:szCs w:val="19"/>
          <w:color w:val="auto"/>
        </w:rPr>
        <w:t>” and such right, the “</w:t>
      </w:r>
      <w:r>
        <w:rPr>
          <w:rFonts w:ascii="Times New Roman" w:cs="Times New Roman" w:eastAsia="Times New Roman" w:hAnsi="Times New Roman"/>
          <w:sz w:val="19"/>
          <w:szCs w:val="19"/>
          <w:b w:val="1"/>
          <w:bCs w:val="1"/>
          <w:color w:val="auto"/>
        </w:rPr>
        <w:t>Research Target Nomination Right</w:t>
      </w:r>
      <w:r>
        <w:rPr>
          <w:rFonts w:ascii="Times New Roman" w:cs="Times New Roman" w:eastAsia="Times New Roman" w:hAnsi="Times New Roman"/>
          <w:sz w:val="19"/>
          <w:szCs w:val="19"/>
          <w:color w:val="auto"/>
        </w:rPr>
        <w:t>”) for each of up to two (2) Research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Programs for which the Parties would Develop Research Molecules and Research Products in accordance with the remainder of this Article 5 (Research Target Nomination; Research Plans; Licensed Research Target Combinations). During the Research Target Selection Period, (a) MacroGenics shall not grant any Third Party any right to Exploit [***], in each case, in a manner that would preclude [***] from becoming a Confirmed Research Target Combination pursuant to Section 5.1(c) (Confirmed Research Target Combinations) if Gilead were to nominate such Research Target Combination and (b) notwithstanding anything to the contrary in this Agreement, the Research Target Combination of</w:t>
      </w:r>
    </w:p>
    <w:p>
      <w:pPr>
        <w:spacing w:after="0" w:line="10" w:lineRule="exact"/>
        <w:rPr>
          <w:sz w:val="20"/>
          <w:szCs w:val="20"/>
          <w:color w:val="auto"/>
        </w:rPr>
      </w:pPr>
    </w:p>
    <w:p>
      <w:pPr>
        <w:ind w:left="940" w:hanging="486"/>
        <w:spacing w:after="0"/>
        <w:tabs>
          <w:tab w:leader="none" w:pos="9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be deemed an Unavailable Target Combination.</w:t>
      </w:r>
    </w:p>
    <w:p>
      <w:pPr>
        <w:spacing w:after="0" w:line="200" w:lineRule="exact"/>
        <w:rPr>
          <w:rFonts w:ascii="Times New Roman" w:cs="Times New Roman" w:eastAsia="Times New Roman" w:hAnsi="Times New Roman"/>
          <w:sz w:val="20"/>
          <w:szCs w:val="20"/>
          <w:color w:val="auto"/>
        </w:rPr>
      </w:pPr>
    </w:p>
    <w:p>
      <w:pPr>
        <w:ind w:left="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The following text is inserted as a new </w:t>
      </w:r>
      <w:r>
        <w:rPr>
          <w:rFonts w:ascii="Times New Roman" w:cs="Times New Roman" w:eastAsia="Times New Roman" w:hAnsi="Times New Roman"/>
          <w:sz w:val="20"/>
          <w:szCs w:val="20"/>
          <w:u w:val="single" w:color="auto"/>
          <w:color w:val="auto"/>
        </w:rPr>
        <w:t>Section 5.1(e)</w:t>
      </w:r>
      <w:r>
        <w:rPr>
          <w:rFonts w:ascii="Times New Roman" w:cs="Times New Roman" w:eastAsia="Times New Roman" w:hAnsi="Times New Roman"/>
          <w:sz w:val="20"/>
          <w:szCs w:val="20"/>
          <w:color w:val="auto"/>
        </w:rPr>
        <w:t xml:space="preserve"> [***] Study Report) of the Collaboration Agreement</w:t>
      </w:r>
    </w:p>
    <w:p>
      <w:pPr>
        <w:spacing w:after="0" w:line="225" w:lineRule="exact"/>
        <w:rPr>
          <w:rFonts w:ascii="Times New Roman" w:cs="Times New Roman" w:eastAsia="Times New Roman" w:hAnsi="Times New Roman"/>
          <w:sz w:val="20"/>
          <w:szCs w:val="20"/>
          <w:color w:val="auto"/>
        </w:rPr>
      </w:pPr>
    </w:p>
    <w:p>
      <w:pPr>
        <w:ind w:left="460" w:firstLine="641"/>
        <w:spacing w:after="0" w:line="251" w:lineRule="auto"/>
        <w:tabs>
          <w:tab w:leader="none" w:pos="1586" w:val="left"/>
        </w:tabs>
        <w:numPr>
          <w:ilvl w:val="2"/>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Package</w:t>
      </w:r>
      <w:r>
        <w:rPr>
          <w:rFonts w:ascii="Times New Roman" w:cs="Times New Roman" w:eastAsia="Times New Roman" w:hAnsi="Times New Roman"/>
          <w:sz w:val="20"/>
          <w:szCs w:val="20"/>
          <w:color w:val="auto"/>
        </w:rPr>
        <w:t>. MacroGenics shall deliver the [***] Data Package to Gilead as promptly as possible,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no event more than [***]after completion of the [***] Study. [***] following Gilead’s receipt of the [***] Data Package, Gilead may provide MacroGenics with written notice if Gilead believes in good faith that the purported [***] Data Package provided by MacroGenics does not contain all of the information required to be provided in such study report, as set forth in </w:t>
      </w:r>
      <w:r>
        <w:rPr>
          <w:rFonts w:ascii="Times New Roman" w:cs="Times New Roman" w:eastAsia="Times New Roman" w:hAnsi="Times New Roman"/>
          <w:sz w:val="20"/>
          <w:szCs w:val="20"/>
          <w:b w:val="1"/>
          <w:bCs w:val="1"/>
          <w:color w:val="auto"/>
        </w:rPr>
        <w:t>Schedule 1.154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Deficiency Notice</w:t>
      </w:r>
      <w:r>
        <w:rPr>
          <w:rFonts w:ascii="Times New Roman" w:cs="Times New Roman" w:eastAsia="Times New Roman" w:hAnsi="Times New Roman"/>
          <w:sz w:val="20"/>
          <w:szCs w:val="20"/>
          <w:color w:val="auto"/>
        </w:rPr>
        <w:t xml:space="preserve">”), which Deficiency Notice will reasonably specify the missing item(s). MacroGenics will modify such [***] Data Package to reflect such comments and will provide an updated [***] Data Package that includes the missing information as promptly as practicable, and in any event, [***] after receipt of the Deficiency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clarity, MacroGenics shall not be required to generate any additional data that is not in existence as of the date of</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80"/>
          </w:cols>
          <w:pgMar w:left="1440" w:top="1440" w:right="379" w:bottom="1440" w:gutter="0" w:footer="0" w:header="0"/>
        </w:sectPr>
      </w:pPr>
    </w:p>
    <w:bookmarkStart w:id="36" w:name="page37"/>
    <w:bookmarkEnd w:id="36"/>
    <w:p>
      <w:pPr>
        <w:spacing w:after="0" w:line="135"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20"/>
          <w:szCs w:val="20"/>
          <w:color w:val="auto"/>
        </w:rPr>
        <w:t>delivery of the [***] Data Package (including re-running previously performed studies) to the extent such data is supplementary and not required to be set forth in such [***] Data Package or comply with any requests to modify the presentation or formatting of the then-existing data unless required to be set forth in such [***] Data Package. If Gilead provides a Deficiency Notice, then the Research Target Selection Period will end on the date that is the later of (a) [***] following the provision [***] Data Package that includes the missing information and (b) [***] following the initial submission of the [***] Data Package by MacroGenics to Gilead.</w:t>
      </w:r>
    </w:p>
    <w:p>
      <w:pPr>
        <w:spacing w:after="0" w:line="188" w:lineRule="exact"/>
        <w:rPr>
          <w:sz w:val="20"/>
          <w:szCs w:val="20"/>
          <w:color w:val="auto"/>
        </w:rPr>
      </w:pPr>
    </w:p>
    <w:p>
      <w:pPr>
        <w:ind w:left="1000" w:hanging="350"/>
        <w:spacing w:after="0"/>
        <w:tabs>
          <w:tab w:leader="none" w:pos="10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hereby added as a new </w:t>
      </w:r>
      <w:r>
        <w:rPr>
          <w:rFonts w:ascii="Times New Roman" w:cs="Times New Roman" w:eastAsia="Times New Roman" w:hAnsi="Times New Roman"/>
          <w:sz w:val="20"/>
          <w:szCs w:val="20"/>
          <w:b w:val="1"/>
          <w:bCs w:val="1"/>
          <w:color w:val="auto"/>
        </w:rPr>
        <w:t>Schedule 1.154</w:t>
      </w:r>
      <w:r>
        <w:rPr>
          <w:rFonts w:ascii="Times New Roman" w:cs="Times New Roman" w:eastAsia="Times New Roman" w:hAnsi="Times New Roman"/>
          <w:sz w:val="20"/>
          <w:szCs w:val="20"/>
          <w:color w:val="auto"/>
        </w:rPr>
        <w:t xml:space="preserve"> of the Collaboration Agreement.</w:t>
      </w:r>
    </w:p>
    <w:p>
      <w:pPr>
        <w:spacing w:after="0" w:line="229" w:lineRule="exact"/>
        <w:rPr>
          <w:rFonts w:ascii="Times New Roman" w:cs="Times New Roman" w:eastAsia="Times New Roman" w:hAnsi="Times New Roman"/>
          <w:sz w:val="20"/>
          <w:szCs w:val="20"/>
          <w:color w:val="auto"/>
        </w:rPr>
      </w:pPr>
    </w:p>
    <w:p>
      <w:pPr>
        <w:ind w:left="320" w:right="60" w:hanging="318"/>
        <w:spacing w:after="0" w:line="287" w:lineRule="auto"/>
        <w:tabs>
          <w:tab w:leader="none" w:pos="36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JSC Responsibilities</w:t>
      </w:r>
      <w:r>
        <w:rPr>
          <w:rFonts w:ascii="Times New Roman" w:cs="Times New Roman" w:eastAsia="Times New Roman" w:hAnsi="Times New Roman"/>
          <w:sz w:val="20"/>
          <w:szCs w:val="20"/>
          <w:color w:val="auto"/>
        </w:rPr>
        <w:t>. The Parties agree that the JSC will be responsible for facilitating the exchange of information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with respect to the [***] Study.</w:t>
      </w:r>
    </w:p>
    <w:p>
      <w:pPr>
        <w:spacing w:after="0" w:line="151" w:lineRule="exact"/>
        <w:rPr>
          <w:rFonts w:ascii="Times New Roman" w:cs="Times New Roman" w:eastAsia="Times New Roman" w:hAnsi="Times New Roman"/>
          <w:sz w:val="20"/>
          <w:szCs w:val="20"/>
          <w:color w:val="auto"/>
        </w:rPr>
      </w:pPr>
    </w:p>
    <w:p>
      <w:pPr>
        <w:ind w:left="320" w:right="60" w:hanging="319"/>
        <w:spacing w:after="0" w:line="287" w:lineRule="auto"/>
        <w:tabs>
          <w:tab w:leader="none" w:pos="42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Effector Target</w:t>
      </w:r>
      <w:r>
        <w:rPr>
          <w:rFonts w:ascii="Times New Roman" w:cs="Times New Roman" w:eastAsia="Times New Roman" w:hAnsi="Times New Roman"/>
          <w:sz w:val="20"/>
          <w:szCs w:val="20"/>
          <w:color w:val="auto"/>
        </w:rPr>
        <w:t>. The Parties agree that the [***] shall be available as an Effector Target for combination with the Cancer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w:t>
      </w:r>
    </w:p>
    <w:p>
      <w:pPr>
        <w:spacing w:after="0" w:line="151" w:lineRule="exact"/>
        <w:rPr>
          <w:rFonts w:ascii="Times New Roman" w:cs="Times New Roman" w:eastAsia="Times New Roman" w:hAnsi="Times New Roman"/>
          <w:sz w:val="20"/>
          <w:szCs w:val="20"/>
          <w:color w:val="auto"/>
        </w:rPr>
      </w:pPr>
    </w:p>
    <w:p>
      <w:pPr>
        <w:jc w:val="both"/>
        <w:ind w:left="320" w:right="60" w:hanging="318"/>
        <w:spacing w:after="0" w:line="250" w:lineRule="auto"/>
        <w:tabs>
          <w:tab w:leader="none" w:pos="34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Provisions</w:t>
      </w:r>
      <w:r>
        <w:rPr>
          <w:rFonts w:ascii="Times New Roman" w:cs="Times New Roman" w:eastAsia="Times New Roman" w:hAnsi="Times New Roman"/>
          <w:sz w:val="20"/>
          <w:szCs w:val="20"/>
          <w:color w:val="auto"/>
        </w:rPr>
        <w:t>. This Second Letter Agreement will be deemed to be incorporated into, and made a part of, the First Letter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and Collaboration Agreement, and the First Letter Agreement, Collaboration Agreement, and this Second Letter Agreement will be read, taken, and construed as one and the same agreement (including with respect to the provisions set forth in Article 19 (Miscellaneous) of the Collaboration Agreement which will, as applicable, be deemed to apply to this Second Letter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In the event of any express conflict or inconsistency between this Second Letter Agreement, on one hand, and the First Letter Agreement or Collaboration Agreement on the other hand, the terms and conditions of this Second Letter Agreement will control. This Second Letter Agreement, together with the First Letter Agreement and the Collaboration Agreement, sets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Second Letter Agreement Effective Date with respect to the subject matter hereof. Except as expressly set forth in this Second Letter Agreement, all terms and conditions of the First Letter Agreement and Collaboration Agreement will remain in full force and effect during the effective period thereof.</w:t>
      </w:r>
    </w:p>
    <w:p>
      <w:pPr>
        <w:spacing w:after="0" w:line="1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920" w:top="1440" w:right="459" w:bottom="1440" w:gutter="0" w:footer="0" w:header="0"/>
        </w:sectPr>
      </w:pPr>
    </w:p>
    <w:bookmarkStart w:id="37" w:name="page38"/>
    <w:bookmarkEnd w:id="37"/>
    <w:p>
      <w:pPr>
        <w:spacing w:after="0" w:line="145" w:lineRule="exact"/>
        <w:rPr>
          <w:sz w:val="20"/>
          <w:szCs w:val="20"/>
          <w:color w:val="auto"/>
        </w:rPr>
      </w:pPr>
    </w:p>
    <w:p>
      <w:pPr>
        <w:ind w:left="60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Second Letter Agreement to be executed by their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 as of the Second Letter Agreement Effective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GILEAD SCIENCES, INC.</w:t>
      </w:r>
    </w:p>
    <w:p>
      <w:pPr>
        <w:spacing w:after="0" w:line="1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By</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Jackson Egen</w:t>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Title: VP, Research Oncology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MACROGENICS, INC.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1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 Scott Koenig CEO</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Title: CEO</w:t>
      </w:r>
    </w:p>
    <w:p>
      <w:pPr>
        <w:sectPr>
          <w:pgSz w:w="11900" w:h="16838" w:orient="portrait"/>
          <w:cols w:equalWidth="0" w:num="1">
            <w:col w:w="10560"/>
          </w:cols>
          <w:pgMar w:left="320" w:top="1440" w:right="1019" w:bottom="1440" w:gutter="0" w:footer="0" w:header="0"/>
        </w:sectPr>
      </w:pPr>
    </w:p>
    <w:bookmarkStart w:id="38" w:name="page39"/>
    <w:bookmarkEnd w:id="38"/>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ind w:left="4280" w:right="4019" w:hanging="262"/>
        <w:spacing w:after="0" w:line="540" w:lineRule="auto"/>
        <w:tabs>
          <w:tab w:leader="none" w:pos="4486"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Study [***]</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1.154</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9019"/>
          </w:cols>
          <w:pgMar w:left="1440" w:top="1440" w:right="1440" w:bottom="1440" w:gutter="0" w:footer="0" w:header="0"/>
        </w:sectPr>
      </w:pPr>
    </w:p>
    <w:bookmarkStart w:id="40" w:name="page41"/>
    <w:bookmarkEnd w:id="40"/>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Koenig, certify that:</w:t>
      </w:r>
    </w:p>
    <w:p>
      <w:pPr>
        <w:spacing w:after="0" w:line="234"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I, Scott Koenig, President and Chief Executive Officer (principal executive officer) of MacroGenics, Inc. (the Registrant), certify, to the best of my knowledge, based upon a review of the Quarterly Report on Form 10-Q for the period ended September 30, 2024 of the Registrant (the Report), that:</w:t>
      </w:r>
    </w:p>
    <w:p>
      <w:pPr>
        <w:spacing w:after="0" w:line="16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November 5, 2024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September 30, 2024 of the Registrant (the Report), that:</w:t>
      </w:r>
    </w:p>
    <w:p>
      <w:pPr>
        <w:spacing w:after="0" w:line="189"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November 5,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606"/>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2443A85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6">
    <w:nsid w:val="2D1D5A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2">
    <w:nsid w:val="B03E0C6"/>
    <w:multiLevelType w:val="hybridMultilevel"/>
    <w:lvl w:ilvl="0">
      <w:lvlJc w:val="left"/>
      <w:lvlText w:val="%1"/>
      <w:numFmt w:val="decimal"/>
      <w:start w:val="1"/>
    </w:lvl>
    <w:lvl w:ilvl="1">
      <w:lvlJc w:val="left"/>
      <w:lvlText w:val="%2."/>
      <w:numFmt w:val="lowerLetter"/>
      <w:start w:val="4"/>
    </w:lvl>
  </w:abstractNum>
  <w:abstractNum w:abstractNumId="23">
    <w:nsid w:val="189A769B"/>
    <w:multiLevelType w:val="hybridMultilevel"/>
    <w:lvl w:ilvl="0">
      <w:lvlJc w:val="left"/>
      <w:lvlText w:val="%1."/>
      <w:numFmt w:val="decimal"/>
      <w:start w:val="5"/>
    </w:lvl>
    <w:lvl w:ilvl="1">
      <w:lvlJc w:val="left"/>
      <w:lvlText w:val="%2"/>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2024-11-05T15:14:54Z</dcterms:created>
  <dcterms:modified xsi:type="dcterms:W3CDTF">2024-11-05T15:14:54Z</dcterms:modified>
</cp:coreProperties>
</file>