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4"/>
          <w:szCs w:val="24"/>
          <w:b w:val="1"/>
          <w:bCs w:val="1"/>
          <w:color w:val="auto"/>
        </w:rPr>
        <w:t>UNITED STATES</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10-K</w:t>
      </w: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52" w:lineRule="exact"/>
        <w:rPr>
          <w:sz w:val="24"/>
          <w:szCs w:val="24"/>
          <w:color w:val="auto"/>
        </w:rPr>
      </w:pPr>
    </w:p>
    <w:p>
      <w:pPr>
        <w:ind w:left="3980" w:right="1740" w:hanging="3959"/>
        <w:spacing w:after="0" w:line="335" w:lineRule="auto"/>
        <w:tabs>
          <w:tab w:leader="none" w:pos="1019" w:val="left"/>
        </w:tabs>
        <w:numPr>
          <w:ilvl w:val="0"/>
          <w:numId w:val="1"/>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ANNUAL REPORT PURSUANT TO SECTION 13 OR 15(d) OF THE SECURITIES EXCHANGE ACT OF 1934 For the fiscal year ended December 31, 2024</w:t>
      </w:r>
    </w:p>
    <w:p>
      <w:pPr>
        <w:spacing w:after="0" w:line="1" w:lineRule="exact"/>
        <w:rPr>
          <w:rFonts w:ascii="MS PGothic" w:cs="MS PGothic" w:eastAsia="MS PGothic" w:hAnsi="MS PGothic"/>
          <w:sz w:val="17"/>
          <w:szCs w:val="17"/>
          <w:color w:val="auto"/>
          <w:highlight w:val="black"/>
        </w:rPr>
      </w:pPr>
    </w:p>
    <w:p>
      <w:pPr>
        <w:ind w:left="5500"/>
        <w:spacing w:after="0"/>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OR</w:t>
      </w:r>
    </w:p>
    <w:p>
      <w:pPr>
        <w:spacing w:after="0" w:line="260" w:lineRule="exact"/>
        <w:rPr>
          <w:sz w:val="24"/>
          <w:szCs w:val="24"/>
          <w:color w:val="auto"/>
        </w:rPr>
      </w:pPr>
    </w:p>
    <w:p>
      <w:pPr>
        <w:ind w:left="1020" w:hanging="999"/>
        <w:spacing w:after="0"/>
        <w:tabs>
          <w:tab w:leader="none" w:pos="102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312" w:lineRule="exact"/>
        <w:rPr>
          <w:sz w:val="24"/>
          <w:szCs w:val="24"/>
          <w:color w:val="auto"/>
        </w:rPr>
      </w:pPr>
    </w:p>
    <w:p>
      <w:pPr>
        <w:ind w:left="4120"/>
        <w:spacing w:after="0"/>
        <w:tabs>
          <w:tab w:leader="none" w:pos="6820" w:val="left"/>
        </w:tabs>
        <w:rPr>
          <w:sz w:val="20"/>
          <w:szCs w:val="20"/>
          <w:color w:val="auto"/>
        </w:rPr>
      </w:pPr>
      <w:r>
        <w:rPr>
          <w:rFonts w:ascii="Times New Roman" w:cs="Times New Roman" w:eastAsia="Times New Roman" w:hAnsi="Times New Roman"/>
          <w:sz w:val="17"/>
          <w:szCs w:val="17"/>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w:t>
      </w:r>
    </w:p>
    <w:p>
      <w:pPr>
        <w:spacing w:after="0" w:line="65"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7"/>
          <w:szCs w:val="17"/>
          <w:color w:val="auto"/>
        </w:rPr>
        <w:t xml:space="preserve">Commission File Number </w:t>
      </w:r>
      <w:r>
        <w:rPr>
          <w:rFonts w:ascii="Times New Roman" w:cs="Times New Roman" w:eastAsia="Times New Roman" w:hAnsi="Times New Roman"/>
          <w:sz w:val="17"/>
          <w:szCs w:val="17"/>
          <w:b w:val="1"/>
          <w:bCs w:val="1"/>
          <w:color w:val="auto"/>
        </w:rPr>
        <w:t>001-36112</w:t>
      </w:r>
    </w:p>
    <w:p>
      <w:pPr>
        <w:spacing w:after="0" w:line="3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MACROGENICS,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(Exact name of registrant)</w:t>
      </w:r>
    </w:p>
    <w:p>
      <w:pPr>
        <w:sectPr>
          <w:pgSz w:w="11900" w:h="16838" w:orient="portrait"/>
          <w:cols w:equalWidth="0" w:num="1">
            <w:col w:w="11240"/>
          </w:cols>
          <w:pgMar w:left="320" w:top="959" w:right="339" w:bottom="1440" w:gutter="0" w:footer="0" w:header="0"/>
        </w:sectPr>
      </w:pPr>
    </w:p>
    <w:p>
      <w:pPr>
        <w:spacing w:after="0" w:line="240" w:lineRule="exact"/>
        <w:rPr>
          <w:sz w:val="24"/>
          <w:szCs w:val="24"/>
          <w:color w:val="auto"/>
        </w:rPr>
      </w:pPr>
    </w:p>
    <w:p>
      <w:pPr>
        <w:ind w:left="2380"/>
        <w:spacing w:after="0"/>
        <w:rPr>
          <w:sz w:val="20"/>
          <w:szCs w:val="20"/>
          <w:color w:val="auto"/>
        </w:rPr>
      </w:pPr>
      <w:r>
        <w:rPr>
          <w:rFonts w:ascii="Times New Roman" w:cs="Times New Roman" w:eastAsia="Times New Roman" w:hAnsi="Times New Roman"/>
          <w:sz w:val="17"/>
          <w:szCs w:val="17"/>
          <w:color w:val="auto"/>
        </w:rPr>
        <w:t>Delaware</w:t>
      </w:r>
    </w:p>
    <w:p>
      <w:pPr>
        <w:spacing w:after="0" w:line="31" w:lineRule="exact"/>
        <w:rPr>
          <w:sz w:val="24"/>
          <w:szCs w:val="24"/>
          <w:color w:val="auto"/>
        </w:rPr>
      </w:pPr>
    </w:p>
    <w:p>
      <w:pPr>
        <w:ind w:left="1880"/>
        <w:spacing w:after="0"/>
        <w:rPr>
          <w:sz w:val="20"/>
          <w:szCs w:val="20"/>
          <w:color w:val="auto"/>
        </w:rPr>
      </w:pPr>
      <w:r>
        <w:rPr>
          <w:rFonts w:ascii="Times New Roman" w:cs="Times New Roman" w:eastAsia="Times New Roman" w:hAnsi="Times New Roman"/>
          <w:sz w:val="17"/>
          <w:szCs w:val="17"/>
          <w:i w:val="1"/>
          <w:iCs w:val="1"/>
          <w:color w:val="auto"/>
        </w:rPr>
        <w:t>(State of organization)</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color w:val="auto"/>
        </w:rPr>
        <w:t>06-1591613</w:t>
      </w:r>
    </w:p>
    <w:p>
      <w:pPr>
        <w:spacing w:after="0" w:line="31"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7"/>
          <w:szCs w:val="17"/>
          <w:i w:val="1"/>
          <w:iCs w:val="1"/>
          <w:color w:val="auto"/>
        </w:rPr>
        <w:t>(I.R.S. Employer Identification Number)</w:t>
      </w:r>
    </w:p>
    <w:p>
      <w:pPr>
        <w:spacing w:after="0" w:line="200" w:lineRule="exact"/>
        <w:rPr>
          <w:sz w:val="24"/>
          <w:szCs w:val="24"/>
          <w:color w:val="auto"/>
        </w:rPr>
      </w:pPr>
    </w:p>
    <w:p>
      <w:pPr>
        <w:sectPr>
          <w:pgSz w:w="11900" w:h="16838" w:orient="portrait"/>
          <w:cols w:equalWidth="0" w:num="2">
            <w:col w:w="6400" w:space="720"/>
            <w:col w:w="4120"/>
          </w:cols>
          <w:pgMar w:left="320" w:top="959" w:right="339" w:bottom="1440" w:gutter="0" w:footer="0" w:header="0"/>
          <w:type w:val="continuous"/>
        </w:sectPr>
      </w:pPr>
    </w:p>
    <w:p>
      <w:pPr>
        <w:spacing w:after="0" w:line="1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9704 Medical Center Drive, Rockville, Maryland 20850</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i w:val="1"/>
          <w:iCs w:val="1"/>
          <w:color w:val="auto"/>
        </w:rPr>
        <w:t>(Address of principal executive offices and zip code)</w:t>
      </w: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301</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251-5172</w:t>
      </w:r>
    </w:p>
    <w:p>
      <w:pPr>
        <w:spacing w:after="0" w:line="3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(Registrant's telephone number)</w:t>
      </w:r>
    </w:p>
    <w:p>
      <w:pPr>
        <w:sectPr>
          <w:pgSz w:w="11900" w:h="16838" w:orient="portrait"/>
          <w:cols w:equalWidth="0" w:num="1">
            <w:col w:w="11240"/>
          </w:cols>
          <w:pgMar w:left="320" w:top="959" w:right="339" w:bottom="1440" w:gutter="0" w:footer="0" w:header="0"/>
          <w:type w:val="continuous"/>
        </w:sectPr>
      </w:pPr>
    </w:p>
    <w:p>
      <w:pPr>
        <w:spacing w:after="0" w:line="2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p>
      <w:pPr>
        <w:spacing w:after="0" w:line="39" w:lineRule="exact"/>
        <w:rPr>
          <w:sz w:val="24"/>
          <w:szCs w:val="24"/>
          <w:color w:val="auto"/>
        </w:rPr>
      </w:pPr>
    </w:p>
    <w:tbl>
      <w:tblPr>
        <w:tblLayout w:type="fixed"/>
        <w:tblInd w:w="210" w:type="dxa"/>
        <w:tblCellMar>
          <w:top w:w="0" w:type="dxa"/>
          <w:left w:w="0" w:type="dxa"/>
          <w:bottom w:w="0" w:type="dxa"/>
          <w:right w:w="0" w:type="dxa"/>
        </w:tblCellMar>
      </w:tblPr>
      <w:tr>
        <w:trPr>
          <w:trHeight w:val="234"/>
        </w:trPr>
        <w:tc>
          <w:tcPr>
            <w:tcW w:w="42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Title of each class</w:t>
            </w:r>
          </w:p>
        </w:tc>
        <w:tc>
          <w:tcPr>
            <w:tcW w:w="18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Trading Symbol(s)</w:t>
            </w:r>
          </w:p>
        </w:tc>
        <w:tc>
          <w:tcPr>
            <w:tcW w:w="48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Name of each exchange on which registered</w:t>
            </w:r>
          </w:p>
        </w:tc>
      </w:tr>
      <w:tr>
        <w:trPr>
          <w:trHeight w:val="214"/>
        </w:trPr>
        <w:tc>
          <w:tcPr>
            <w:tcW w:w="422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Common Stock, par value $0.01 per share</w:t>
            </w:r>
          </w:p>
        </w:tc>
        <w:tc>
          <w:tcPr>
            <w:tcW w:w="18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MGNX</w:t>
            </w:r>
          </w:p>
        </w:tc>
        <w:tc>
          <w:tcPr>
            <w:tcW w:w="48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7"/>
                <w:szCs w:val="17"/>
                <w:color w:val="auto"/>
              </w:rPr>
              <w:t>Nasdaq Global Select Market</w:t>
            </w:r>
          </w:p>
        </w:tc>
      </w:tr>
    </w:tbl>
    <w:p>
      <w:pPr>
        <w:spacing w:after="0" w:line="2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Securities registered pursuant to Section 12(g) of the Act: None</w:t>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a well-known seasoned issuer, as defined in Rule 405 of the Securities Act.</w:t>
      </w:r>
    </w:p>
    <w:p>
      <w:pPr>
        <w:spacing w:after="0" w:line="26"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222222"/>
        </w:rPr>
        <w:t>☑</w:t>
      </w:r>
    </w:p>
    <w:p>
      <w:pPr>
        <w:spacing w:after="0" w:line="20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if the registrant is not required to file reports pursuant to Section 13 or 15(d) of the Exchange Act.</w:t>
      </w:r>
    </w:p>
    <w:p>
      <w:pPr>
        <w:spacing w:after="0" w:line="3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222222"/>
        </w:rPr>
        <w:t>☑</w:t>
      </w:r>
    </w:p>
    <w:p>
      <w:pPr>
        <w:spacing w:after="0" w:line="20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222222"/>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5"/>
          <w:szCs w:val="15"/>
          <w:color w:val="auto"/>
        </w:rPr>
        <w:t>☐</w:t>
      </w:r>
    </w:p>
    <w:p>
      <w:pPr>
        <w:spacing w:after="0" w:line="208" w:lineRule="exact"/>
        <w:rPr>
          <w:sz w:val="24"/>
          <w:szCs w:val="24"/>
          <w:color w:val="auto"/>
        </w:rPr>
      </w:pPr>
    </w:p>
    <w:p>
      <w:pPr>
        <w:jc w:val="both"/>
        <w:spacing w:after="0" w:line="264" w:lineRule="auto"/>
        <w:rPr>
          <w:sz w:val="20"/>
          <w:szCs w:val="20"/>
          <w:color w:val="auto"/>
        </w:rPr>
      </w:pPr>
      <w:r>
        <w:rPr>
          <w:rFonts w:ascii="Times New Roman" w:cs="Times New Roman" w:eastAsia="Times New Roman" w:hAnsi="Times New Roman"/>
          <w:sz w:val="17"/>
          <w:szCs w:val="17"/>
          <w:color w:val="auto"/>
        </w:rPr>
        <w:t>Indicate by check mark whether the registrant has submitted electronically every Interactive Data File required to be submitted pursuant to Rule 405 of Regulation S-T during the preceding 12 months (or for such shorter period that the registrant was required to submit such files).</w:t>
      </w: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7"/>
          <w:szCs w:val="17"/>
          <w:color w:val="222222"/>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-9525</wp:posOffset>
            </wp:positionH>
            <wp:positionV relativeFrom="paragraph">
              <wp:posOffset>668655</wp:posOffset>
            </wp:positionV>
            <wp:extent cx="7162800"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59" w:right="339" w:bottom="1440" w:gutter="0" w:footer="0" w:header="0"/>
          <w:type w:val="continuous"/>
        </w:sectPr>
      </w:pPr>
    </w:p>
    <w:bookmarkStart w:id="1" w:name="page2"/>
    <w:bookmarkEnd w:id="1"/>
    <w:p>
      <w:pPr>
        <w:spacing w:after="0" w:line="267"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w:t>
      </w:r>
    </w:p>
    <w:tbl>
      <w:tblPr>
        <w:tblLayout w:type="fixed"/>
        <w:tblInd w:w="0" w:type="dxa"/>
        <w:tblCellMar>
          <w:top w:w="0" w:type="dxa"/>
          <w:left w:w="0" w:type="dxa"/>
          <w:bottom w:w="0" w:type="dxa"/>
          <w:right w:w="0" w:type="dxa"/>
        </w:tblCellMar>
      </w:tblPr>
      <w:tr>
        <w:trPr>
          <w:trHeight w:val="191"/>
        </w:trPr>
        <w:tc>
          <w:tcPr>
            <w:tcW w:w="2220" w:type="dxa"/>
            <w:vAlign w:val="bottom"/>
          </w:tcPr>
          <w:p>
            <w:pPr>
              <w:spacing w:after="0" w:line="191" w:lineRule="exact"/>
              <w:rPr>
                <w:sz w:val="20"/>
                <w:szCs w:val="20"/>
                <w:color w:val="auto"/>
              </w:rPr>
            </w:pPr>
            <w:r>
              <w:rPr>
                <w:rFonts w:ascii="Times New Roman" w:cs="Times New Roman" w:eastAsia="Times New Roman" w:hAnsi="Times New Roman"/>
                <w:sz w:val="17"/>
                <w:szCs w:val="17"/>
                <w:color w:val="auto"/>
              </w:rPr>
              <w:t>of</w:t>
            </w:r>
          </w:p>
        </w:tc>
        <w:tc>
          <w:tcPr>
            <w:tcW w:w="3080" w:type="dxa"/>
            <w:vAlign w:val="bottom"/>
          </w:tcPr>
          <w:p>
            <w:pPr>
              <w:ind w:left="1220"/>
              <w:spacing w:after="0" w:line="191" w:lineRule="exact"/>
              <w:rPr>
                <w:sz w:val="20"/>
                <w:szCs w:val="20"/>
                <w:color w:val="auto"/>
              </w:rPr>
            </w:pPr>
            <w:r>
              <w:rPr>
                <w:rFonts w:ascii="Times New Roman" w:cs="Times New Roman" w:eastAsia="Times New Roman" w:hAnsi="Times New Roman"/>
                <w:sz w:val="17"/>
                <w:szCs w:val="17"/>
                <w:color w:val="auto"/>
              </w:rPr>
              <w:t>the</w:t>
            </w:r>
          </w:p>
        </w:tc>
        <w:tc>
          <w:tcPr>
            <w:tcW w:w="4800" w:type="dxa"/>
            <w:vAlign w:val="bottom"/>
          </w:tcPr>
          <w:p>
            <w:pPr>
              <w:ind w:left="1660"/>
              <w:spacing w:after="0" w:line="191" w:lineRule="exact"/>
              <w:rPr>
                <w:sz w:val="20"/>
                <w:szCs w:val="20"/>
                <w:color w:val="auto"/>
              </w:rPr>
            </w:pPr>
            <w:r>
              <w:rPr>
                <w:rFonts w:ascii="Times New Roman" w:cs="Times New Roman" w:eastAsia="Times New Roman" w:hAnsi="Times New Roman"/>
                <w:sz w:val="17"/>
                <w:szCs w:val="17"/>
                <w:color w:val="auto"/>
              </w:rPr>
              <w:t>Exchange</w:t>
            </w:r>
          </w:p>
        </w:tc>
        <w:tc>
          <w:tcPr>
            <w:tcW w:w="1140" w:type="dxa"/>
            <w:vAlign w:val="bottom"/>
          </w:tcPr>
          <w:p>
            <w:pPr>
              <w:ind w:left="840"/>
              <w:spacing w:after="0" w:line="191" w:lineRule="exact"/>
              <w:rPr>
                <w:sz w:val="20"/>
                <w:szCs w:val="20"/>
                <w:color w:val="auto"/>
              </w:rPr>
            </w:pPr>
            <w:r>
              <w:rPr>
                <w:rFonts w:ascii="Times New Roman" w:cs="Times New Roman" w:eastAsia="Times New Roman" w:hAnsi="Times New Roman"/>
                <w:sz w:val="17"/>
                <w:szCs w:val="17"/>
                <w:color w:val="auto"/>
                <w:w w:val="97"/>
              </w:rPr>
              <w:t>Act.</w:t>
            </w:r>
          </w:p>
        </w:tc>
      </w:tr>
      <w:tr>
        <w:trPr>
          <w:trHeight w:val="274"/>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Large accelerated filer</w:t>
            </w:r>
          </w:p>
        </w:tc>
        <w:tc>
          <w:tcPr>
            <w:tcW w:w="308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480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Accelerated filer</w:t>
            </w:r>
          </w:p>
        </w:tc>
        <w:tc>
          <w:tcPr>
            <w:tcW w:w="114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r>
      <w:tr>
        <w:trPr>
          <w:trHeight w:val="274"/>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Non-accelerated filer</w:t>
            </w:r>
          </w:p>
        </w:tc>
        <w:tc>
          <w:tcPr>
            <w:tcW w:w="308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4800" w:type="dxa"/>
            <w:vAlign w:val="bottom"/>
          </w:tcPr>
          <w:p>
            <w:pPr>
              <w:ind w:left="2580"/>
              <w:spacing w:after="0"/>
              <w:rPr>
                <w:sz w:val="20"/>
                <w:szCs w:val="20"/>
                <w:color w:val="auto"/>
              </w:rPr>
            </w:pPr>
            <w:r>
              <w:rPr>
                <w:rFonts w:ascii="Times New Roman" w:cs="Times New Roman" w:eastAsia="Times New Roman" w:hAnsi="Times New Roman"/>
                <w:sz w:val="17"/>
                <w:szCs w:val="17"/>
                <w:color w:val="auto"/>
              </w:rPr>
              <w:t>Smaller reporting company</w:t>
            </w:r>
          </w:p>
        </w:tc>
        <w:tc>
          <w:tcPr>
            <w:tcW w:w="1140" w:type="dxa"/>
            <w:vAlign w:val="bottom"/>
          </w:tcPr>
          <w:p>
            <w:pPr>
              <w:ind w:left="320"/>
              <w:spacing w:after="0" w:line="171" w:lineRule="exact"/>
              <w:rPr>
                <w:sz w:val="20"/>
                <w:szCs w:val="20"/>
                <w:color w:val="auto"/>
              </w:rPr>
            </w:pPr>
            <w:r>
              <w:rPr>
                <w:rFonts w:ascii="MS PGothic" w:cs="MS PGothic" w:eastAsia="MS PGothic" w:hAnsi="MS PGothic"/>
                <w:sz w:val="17"/>
                <w:szCs w:val="17"/>
                <w:color w:val="auto"/>
              </w:rPr>
              <w:t>☒</w:t>
            </w:r>
          </w:p>
        </w:tc>
      </w:tr>
      <w:tr>
        <w:trPr>
          <w:trHeight w:val="293"/>
        </w:trPr>
        <w:tc>
          <w:tcPr>
            <w:tcW w:w="22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Emerging growth company</w:t>
            </w:r>
          </w:p>
        </w:tc>
        <w:tc>
          <w:tcPr>
            <w:tcW w:w="3080" w:type="dxa"/>
            <w:vAlign w:val="bottom"/>
          </w:tcPr>
          <w:p>
            <w:pPr>
              <w:ind w:left="300"/>
              <w:spacing w:after="0" w:line="171" w:lineRule="exact"/>
              <w:rPr>
                <w:sz w:val="20"/>
                <w:szCs w:val="20"/>
                <w:color w:val="auto"/>
              </w:rPr>
            </w:pPr>
            <w:r>
              <w:rPr>
                <w:rFonts w:ascii="MS PGothic" w:cs="MS PGothic" w:eastAsia="MS PGothic" w:hAnsi="MS PGothic"/>
                <w:sz w:val="17"/>
                <w:szCs w:val="17"/>
                <w:color w:val="auto"/>
              </w:rPr>
              <w:t>☐</w:t>
            </w:r>
          </w:p>
        </w:tc>
        <w:tc>
          <w:tcPr>
            <w:tcW w:w="48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w:t>
      </w:r>
    </w:p>
    <w:p>
      <w:pPr>
        <w:spacing w:after="0" w:line="31"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29" w:lineRule="exact"/>
        <w:rPr>
          <w:sz w:val="20"/>
          <w:szCs w:val="20"/>
          <w:color w:val="auto"/>
        </w:rPr>
      </w:pPr>
    </w:p>
    <w:p>
      <w:pPr>
        <w:jc w:val="both"/>
        <w:ind w:right="80"/>
        <w:spacing w:after="0" w:line="224" w:lineRule="exact"/>
        <w:rPr>
          <w:sz w:val="20"/>
          <w:szCs w:val="20"/>
          <w:color w:val="auto"/>
        </w:rPr>
      </w:pPr>
      <w:r>
        <w:rPr>
          <w:rFonts w:ascii="Times New Roman" w:cs="Times New Roman" w:eastAsia="Times New Roman" w:hAnsi="Times New Roman"/>
          <w:sz w:val="17"/>
          <w:szCs w:val="17"/>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222222"/>
        </w:rPr>
        <w:t>☑</w:t>
      </w:r>
    </w:p>
    <w:p>
      <w:pPr>
        <w:spacing w:after="0" w:line="190" w:lineRule="exact"/>
        <w:rPr>
          <w:sz w:val="20"/>
          <w:szCs w:val="20"/>
          <w:color w:val="auto"/>
        </w:rPr>
      </w:pPr>
    </w:p>
    <w:p>
      <w:pPr>
        <w:ind w:right="280"/>
        <w:spacing w:after="0" w:line="259" w:lineRule="exact"/>
        <w:rPr>
          <w:sz w:val="20"/>
          <w:szCs w:val="20"/>
          <w:color w:val="auto"/>
        </w:rPr>
      </w:pPr>
      <w:r>
        <w:rPr>
          <w:rFonts w:ascii="Times New Roman" w:cs="Times New Roman" w:eastAsia="Times New Roman" w:hAnsi="Times New Roman"/>
          <w:sz w:val="17"/>
          <w:szCs w:val="17"/>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20"/>
          <w:szCs w:val="20"/>
          <w:color w:val="auto"/>
        </w:rPr>
        <w:t>☐</w:t>
      </w:r>
    </w:p>
    <w:p>
      <w:pPr>
        <w:spacing w:after="0" w:line="173" w:lineRule="exact"/>
        <w:rPr>
          <w:sz w:val="20"/>
          <w:szCs w:val="20"/>
          <w:color w:val="auto"/>
        </w:rPr>
      </w:pPr>
    </w:p>
    <w:p>
      <w:pPr>
        <w:ind w:right="280"/>
        <w:spacing w:after="0" w:line="259" w:lineRule="exact"/>
        <w:rPr>
          <w:sz w:val="20"/>
          <w:szCs w:val="20"/>
          <w:color w:val="auto"/>
        </w:rPr>
      </w:pPr>
      <w:r>
        <w:rPr>
          <w:rFonts w:ascii="Times New Roman" w:cs="Times New Roman" w:eastAsia="Times New Roman" w:hAnsi="Times New Roman"/>
          <w:sz w:val="17"/>
          <w:szCs w:val="17"/>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20"/>
          <w:szCs w:val="20"/>
          <w:color w:val="auto"/>
        </w:rPr>
        <w:t>☐</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Indicate by check mark whether the registrant is a shell company (as defined in Rule 12b-2 of the Exchange Act).</w:t>
      </w:r>
    </w:p>
    <w:p>
      <w:pPr>
        <w:spacing w:after="0" w:line="26" w:lineRule="exact"/>
        <w:rPr>
          <w:sz w:val="20"/>
          <w:szCs w:val="20"/>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Yes  </w:t>
      </w:r>
      <w:r>
        <w:rPr>
          <w:rFonts w:ascii="MS PGothic" w:cs="MS PGothic" w:eastAsia="MS PGothic" w:hAnsi="MS PGothic"/>
          <w:sz w:val="15"/>
          <w:szCs w:val="15"/>
          <w:color w:val="auto"/>
        </w:rPr>
        <w:t>☐</w:t>
      </w:r>
      <w:r>
        <w:rPr>
          <w:rFonts w:ascii="Times New Roman" w:cs="Times New Roman" w:eastAsia="Times New Roman" w:hAnsi="Times New Roman"/>
          <w:sz w:val="17"/>
          <w:szCs w:val="17"/>
          <w:color w:val="auto"/>
        </w:rPr>
        <w:t xml:space="preserve"> No  </w:t>
      </w:r>
      <w:r>
        <w:rPr>
          <w:rFonts w:ascii="MS PGothic" w:cs="MS PGothic" w:eastAsia="MS PGothic" w:hAnsi="MS PGothic"/>
          <w:sz w:val="17"/>
          <w:szCs w:val="17"/>
          <w:color w:val="222222"/>
        </w:rPr>
        <w:t>☑</w:t>
      </w:r>
    </w:p>
    <w:p>
      <w:pPr>
        <w:spacing w:after="0" w:line="20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aggregate market value of the registrant's common stock, par value $0.01 per share, held by non-affiliates of the registrant on June 28, 2024, the last business day of the registrant's most recently completed second fiscal quarter, was approximately $259.4 million based on the closing price of the registrant's common stock on the Nasdaq Global Select Market on that date. Exclusion of shares held by any person should not be construed to indicate that such person possesses the power, direct or indirect, to direct or cause the direction of management or policies of the registrant, or that such person is controlled by or under common control with the registrant.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number of shares of the registrant's common stock outstanding on March 14, 2025 was 63,090,323.</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DOCUMENTS INCORPORATED BY REFERENCE</w:t>
      </w:r>
    </w:p>
    <w:p>
      <w:pPr>
        <w:spacing w:after="0" w:line="249" w:lineRule="exact"/>
        <w:rPr>
          <w:sz w:val="20"/>
          <w:szCs w:val="20"/>
          <w:color w:val="auto"/>
        </w:rPr>
      </w:pPr>
    </w:p>
    <w:p>
      <w:pPr>
        <w:jc w:val="both"/>
        <w:spacing w:after="0" w:line="294" w:lineRule="auto"/>
        <w:rPr>
          <w:sz w:val="20"/>
          <w:szCs w:val="20"/>
          <w:color w:val="auto"/>
        </w:rPr>
      </w:pPr>
      <w:r>
        <w:rPr>
          <w:rFonts w:ascii="Times New Roman" w:cs="Times New Roman" w:eastAsia="Times New Roman" w:hAnsi="Times New Roman"/>
          <w:sz w:val="17"/>
          <w:szCs w:val="17"/>
          <w:color w:val="auto"/>
        </w:rPr>
        <w:t>Portions of MacroGenics, Inc.'s definitive proxy statement for the 2025 annual meeting of stockholders are incorporated by reference into Part III of this Annual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497205</wp:posOffset>
            </wp:positionV>
            <wp:extent cx="7162800"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7"/>
          <w:szCs w:val="17"/>
          <w:b w:val="1"/>
          <w:bCs w:val="1"/>
          <w:color w:val="auto"/>
        </w:rPr>
        <w:t>MACROGENICS,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ANNUAL REPORT ON FORM 10-K</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5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b w:val="1"/>
                <w:bCs w:val="1"/>
                <w:color w:val="0000FF"/>
                <w:w w:val="94"/>
              </w:rPr>
              <w:t>PART I</w:t>
            </w: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w:t>
            </w:r>
          </w:p>
        </w:tc>
        <w:tc>
          <w:tcPr>
            <w:tcW w:w="6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w w:val="99"/>
              </w:rPr>
              <w:t>Business</w:t>
            </w:r>
          </w:p>
        </w:tc>
        <w:tc>
          <w:tcPr>
            <w:tcW w:w="3920" w:type="dxa"/>
            <w:vAlign w:val="bottom"/>
            <w:gridSpan w:val="8"/>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1A</w:t>
            </w:r>
          </w:p>
        </w:tc>
        <w:tc>
          <w:tcPr>
            <w:tcW w:w="45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Risk Factors</w:t>
            </w:r>
          </w:p>
        </w:tc>
      </w:tr>
      <w:tr>
        <w:trPr>
          <w:trHeight w:val="20"/>
        </w:trPr>
        <w:tc>
          <w:tcPr>
            <w:tcW w:w="13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580" w:type="dxa"/>
            <w:vAlign w:val="bottom"/>
            <w:gridSpan w:val="2"/>
          </w:tcPr>
          <w:p>
            <w:pPr>
              <w:spacing w:after="0" w:line="20" w:lineRule="exact"/>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1B</w:t>
            </w:r>
          </w:p>
        </w:tc>
        <w:tc>
          <w:tcPr>
            <w:tcW w:w="45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Unresolved Staff Comments</w:t>
            </w: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1C</w:t>
            </w:r>
          </w:p>
        </w:tc>
        <w:tc>
          <w:tcPr>
            <w:tcW w:w="19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Cybersecurity</w:t>
            </w:r>
          </w:p>
        </w:tc>
        <w:tc>
          <w:tcPr>
            <w:tcW w:w="2580" w:type="dxa"/>
            <w:vAlign w:val="bottom"/>
            <w:gridSpan w:val="2"/>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2</w:t>
            </w:r>
          </w:p>
        </w:tc>
        <w:tc>
          <w:tcPr>
            <w:tcW w:w="96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Properties</w:t>
            </w:r>
          </w:p>
        </w:tc>
        <w:tc>
          <w:tcPr>
            <w:tcW w:w="3580" w:type="dxa"/>
            <w:vAlign w:val="bottom"/>
            <w:gridSpan w:val="5"/>
          </w:tcPr>
          <w:p>
            <w:pPr>
              <w:spacing w:after="0"/>
              <w:rPr>
                <w:sz w:val="17"/>
                <w:szCs w:val="17"/>
                <w:color w:val="auto"/>
              </w:rPr>
            </w:pPr>
          </w:p>
        </w:tc>
      </w:tr>
      <w:tr>
        <w:trPr>
          <w:trHeight w:val="20"/>
        </w:trPr>
        <w:tc>
          <w:tcPr>
            <w:tcW w:w="1320" w:type="dxa"/>
            <w:vAlign w:val="bottom"/>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3</w:t>
            </w:r>
          </w:p>
        </w:tc>
        <w:tc>
          <w:tcPr>
            <w:tcW w:w="45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Legal Proceedings</w:t>
            </w:r>
          </w:p>
        </w:tc>
      </w:tr>
      <w:tr>
        <w:trPr>
          <w:trHeight w:val="20"/>
        </w:trPr>
        <w:tc>
          <w:tcPr>
            <w:tcW w:w="1320" w:type="dxa"/>
            <w:vAlign w:val="bottom"/>
          </w:tcPr>
          <w:p>
            <w:pPr>
              <w:spacing w:after="0" w:line="20" w:lineRule="exact"/>
              <w:rPr>
                <w:sz w:val="1"/>
                <w:szCs w:val="1"/>
                <w:color w:val="auto"/>
              </w:rPr>
            </w:pPr>
          </w:p>
        </w:tc>
        <w:tc>
          <w:tcPr>
            <w:tcW w:w="1280" w:type="dxa"/>
            <w:vAlign w:val="bottom"/>
            <w:gridSpan w:val="5"/>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4</w:t>
            </w:r>
          </w:p>
        </w:tc>
        <w:tc>
          <w:tcPr>
            <w:tcW w:w="4540" w:type="dxa"/>
            <w:vAlign w:val="bottom"/>
            <w:gridSpan w:val="9"/>
          </w:tcPr>
          <w:p>
            <w:pPr>
              <w:spacing w:after="0"/>
              <w:rPr>
                <w:sz w:val="20"/>
                <w:szCs w:val="20"/>
                <w:color w:val="auto"/>
              </w:rPr>
            </w:pPr>
            <w:r>
              <w:rPr>
                <w:rFonts w:ascii="Times New Roman" w:cs="Times New Roman" w:eastAsia="Times New Roman" w:hAnsi="Times New Roman"/>
                <w:sz w:val="17"/>
                <w:szCs w:val="17"/>
                <w:color w:val="0000FF"/>
              </w:rPr>
              <w:t>Mine Safety Disclosures</w:t>
            </w:r>
          </w:p>
        </w:tc>
      </w:tr>
      <w:tr>
        <w:trPr>
          <w:trHeight w:val="20"/>
        </w:trPr>
        <w:tc>
          <w:tcPr>
            <w:tcW w:w="1320" w:type="dxa"/>
            <w:vAlign w:val="bottom"/>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bl>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b w:val="1"/>
                <w:bCs w:val="1"/>
                <w:color w:val="0000FF"/>
                <w:w w:val="97"/>
              </w:rPr>
              <w:t>PART II</w:t>
            </w:r>
          </w:p>
        </w:tc>
        <w:tc>
          <w:tcPr>
            <w:tcW w:w="3180" w:type="dxa"/>
            <w:vAlign w:val="bottom"/>
            <w:gridSpan w:val="4"/>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5</w:t>
            </w:r>
          </w:p>
        </w:tc>
        <w:tc>
          <w:tcPr>
            <w:tcW w:w="77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7"/>
                <w:szCs w:val="17"/>
                <w:color w:val="0000FF"/>
              </w:rPr>
              <w:t>Market for Registrant's Common Equity, Related Stockholder Matters and Issuer Purchases of Equity Securities</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6</w:t>
            </w:r>
          </w:p>
        </w:tc>
        <w:tc>
          <w:tcPr>
            <w:tcW w:w="77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Reserved</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7</w:t>
            </w:r>
          </w:p>
        </w:tc>
        <w:tc>
          <w:tcPr>
            <w:tcW w:w="77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Management's Discussion and Analysis of Financial Condition and Results of Operations</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7A</w:t>
            </w:r>
          </w:p>
        </w:tc>
        <w:tc>
          <w:tcPr>
            <w:tcW w:w="416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Quantitative and Qualitative Disclosures about Market Risk</w:t>
            </w:r>
          </w:p>
        </w:tc>
        <w:tc>
          <w:tcPr>
            <w:tcW w:w="2040" w:type="dxa"/>
            <w:vAlign w:val="bottom"/>
            <w:tcBorders>
              <w:top w:val="single" w:sz="8" w:color="0000FF"/>
            </w:tcBorders>
            <w:gridSpan w:val="3"/>
          </w:tcPr>
          <w:p>
            <w:pPr>
              <w:spacing w:after="0"/>
              <w:rPr>
                <w:sz w:val="17"/>
                <w:szCs w:val="17"/>
                <w:color w:val="auto"/>
              </w:rPr>
            </w:pPr>
          </w:p>
        </w:tc>
        <w:tc>
          <w:tcPr>
            <w:tcW w:w="15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8</w:t>
            </w:r>
          </w:p>
        </w:tc>
        <w:tc>
          <w:tcPr>
            <w:tcW w:w="77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Financial Statements and Supplementary Data</w:t>
            </w: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500" w:type="dxa"/>
            <w:vAlign w:val="bottom"/>
            <w:shd w:val="clear" w:color="auto" w:fill="0000FF"/>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9</w:t>
            </w:r>
          </w:p>
        </w:tc>
        <w:tc>
          <w:tcPr>
            <w:tcW w:w="77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Changes in and Disagreements with Accountants on Accounting and Financial Disclosure</w:t>
            </w: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9A</w:t>
            </w:r>
          </w:p>
        </w:tc>
        <w:tc>
          <w:tcPr>
            <w:tcW w:w="6240" w:type="dxa"/>
            <w:vAlign w:val="bottom"/>
            <w:tcBorders>
              <w:top w:val="single" w:sz="8" w:color="0000FF"/>
            </w:tcBorders>
            <w:gridSpan w:val="10"/>
          </w:tcPr>
          <w:p>
            <w:pPr>
              <w:spacing w:after="0"/>
              <w:rPr>
                <w:sz w:val="20"/>
                <w:szCs w:val="20"/>
                <w:color w:val="auto"/>
              </w:rPr>
            </w:pPr>
            <w:r>
              <w:rPr>
                <w:rFonts w:ascii="Times New Roman" w:cs="Times New Roman" w:eastAsia="Times New Roman" w:hAnsi="Times New Roman"/>
                <w:sz w:val="17"/>
                <w:szCs w:val="17"/>
                <w:color w:val="0000FF"/>
              </w:rPr>
              <w:t>Controls and Procedures</w:t>
            </w: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9B</w:t>
            </w:r>
          </w:p>
        </w:tc>
        <w:tc>
          <w:tcPr>
            <w:tcW w:w="170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7"/>
                <w:szCs w:val="17"/>
                <w:color w:val="0000FF"/>
              </w:rPr>
              <w:t>Other Information</w:t>
            </w:r>
          </w:p>
        </w:tc>
        <w:tc>
          <w:tcPr>
            <w:tcW w:w="6060" w:type="dxa"/>
            <w:vAlign w:val="bottom"/>
            <w:gridSpan w:val="8"/>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20" w:type="dxa"/>
            <w:vAlign w:val="bottom"/>
          </w:tcPr>
          <w:p>
            <w:pPr>
              <w:spacing w:after="0" w:line="20" w:lineRule="exact"/>
              <w:rPr>
                <w:sz w:val="1"/>
                <w:szCs w:val="1"/>
                <w:color w:val="auto"/>
              </w:rPr>
            </w:pPr>
          </w:p>
        </w:tc>
        <w:tc>
          <w:tcPr>
            <w:tcW w:w="1260" w:type="dxa"/>
            <w:vAlign w:val="bottom"/>
            <w:gridSpan w:val="2"/>
            <w:shd w:val="clear" w:color="auto" w:fill="0000FF"/>
          </w:tcPr>
          <w:p>
            <w:pPr>
              <w:spacing w:after="0" w:line="20" w:lineRule="exact"/>
              <w:rPr>
                <w:sz w:val="1"/>
                <w:szCs w:val="1"/>
                <w:color w:val="auto"/>
              </w:rPr>
            </w:pPr>
          </w:p>
        </w:tc>
        <w:tc>
          <w:tcPr>
            <w:tcW w:w="3460" w:type="dxa"/>
            <w:vAlign w:val="bottom"/>
            <w:gridSpan w:val="6"/>
          </w:tcPr>
          <w:p>
            <w:pPr>
              <w:spacing w:after="0" w:line="20" w:lineRule="exact"/>
              <w:rPr>
                <w:sz w:val="1"/>
                <w:szCs w:val="1"/>
                <w:color w:val="auto"/>
              </w:rPr>
            </w:pPr>
          </w:p>
        </w:tc>
        <w:tc>
          <w:tcPr>
            <w:tcW w:w="30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13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Item 9C</w:t>
            </w:r>
          </w:p>
        </w:tc>
        <w:tc>
          <w:tcPr>
            <w:tcW w:w="4720" w:type="dxa"/>
            <w:vAlign w:val="bottom"/>
            <w:tcBorders>
              <w:bottom w:val="single" w:sz="8" w:color="0000FF"/>
            </w:tcBorders>
            <w:gridSpan w:val="8"/>
          </w:tcPr>
          <w:p>
            <w:pPr>
              <w:spacing w:after="0" w:line="189" w:lineRule="exact"/>
              <w:rPr>
                <w:sz w:val="20"/>
                <w:szCs w:val="20"/>
                <w:color w:val="auto"/>
              </w:rPr>
            </w:pPr>
            <w:r>
              <w:rPr>
                <w:rFonts w:ascii="Times New Roman" w:cs="Times New Roman" w:eastAsia="Times New Roman" w:hAnsi="Times New Roman"/>
                <w:sz w:val="17"/>
                <w:szCs w:val="17"/>
                <w:color w:val="0000FF"/>
              </w:rPr>
              <w:t>Disclosure Regarding Foreign Jurisdictions that Prevent Inspections</w:t>
            </w:r>
          </w:p>
        </w:tc>
        <w:tc>
          <w:tcPr>
            <w:tcW w:w="3040" w:type="dxa"/>
            <w:vAlign w:val="bottom"/>
            <w:gridSpan w:val="3"/>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1320" w:type="dxa"/>
            <w:vAlign w:val="bottom"/>
            <w:vMerge w:val="continue"/>
          </w:tcPr>
          <w:p>
            <w:pPr>
              <w:spacing w:after="0"/>
              <w:rPr>
                <w:sz w:val="3"/>
                <w:szCs w:val="3"/>
                <w:color w:val="auto"/>
              </w:rPr>
            </w:pPr>
          </w:p>
        </w:tc>
        <w:tc>
          <w:tcPr>
            <w:tcW w:w="4720" w:type="dxa"/>
            <w:vAlign w:val="bottom"/>
            <w:gridSpan w:val="8"/>
          </w:tcPr>
          <w:p>
            <w:pPr>
              <w:spacing w:after="0"/>
              <w:rPr>
                <w:sz w:val="3"/>
                <w:szCs w:val="3"/>
                <w:color w:val="auto"/>
              </w:rPr>
            </w:pPr>
          </w:p>
        </w:tc>
        <w:tc>
          <w:tcPr>
            <w:tcW w:w="304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3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b w:val="1"/>
                <w:bCs w:val="1"/>
                <w:color w:val="0000FF"/>
                <w:w w:val="96"/>
              </w:rPr>
              <w:t>PART III</w:t>
            </w:r>
          </w:p>
        </w:tc>
        <w:tc>
          <w:tcPr>
            <w:tcW w:w="2400" w:type="dxa"/>
            <w:vAlign w:val="bottom"/>
            <w:gridSpan w:val="2"/>
          </w:tcPr>
          <w:p>
            <w:pPr>
              <w:spacing w:after="0"/>
              <w:rPr>
                <w:sz w:val="16"/>
                <w:szCs w:val="16"/>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10</w:t>
            </w:r>
          </w:p>
        </w:tc>
        <w:tc>
          <w:tcPr>
            <w:tcW w:w="70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Directors, Executive Officers and Corporate Governance</w:t>
            </w: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11</w:t>
            </w:r>
          </w:p>
        </w:tc>
        <w:tc>
          <w:tcPr>
            <w:tcW w:w="1740" w:type="dxa"/>
            <w:vAlign w:val="bottom"/>
            <w:tcBorders>
              <w:top w:val="single" w:sz="8" w:color="0000FF"/>
              <w:bottom w:val="single" w:sz="8" w:color="0000FF"/>
            </w:tcBorders>
          </w:tcPr>
          <w:p>
            <w:pPr>
              <w:spacing w:after="0"/>
              <w:rPr>
                <w:sz w:val="20"/>
                <w:szCs w:val="20"/>
                <w:color w:val="auto"/>
              </w:rPr>
            </w:pPr>
            <w:r>
              <w:rPr>
                <w:rFonts w:ascii="Times New Roman" w:cs="Times New Roman" w:eastAsia="Times New Roman" w:hAnsi="Times New Roman"/>
                <w:sz w:val="17"/>
                <w:szCs w:val="17"/>
                <w:color w:val="0000FF"/>
              </w:rPr>
              <w:t>Executive Compensation</w:t>
            </w:r>
          </w:p>
        </w:tc>
        <w:tc>
          <w:tcPr>
            <w:tcW w:w="2200" w:type="dxa"/>
            <w:vAlign w:val="bottom"/>
            <w:tcBorders>
              <w:top w:val="single" w:sz="8" w:color="0000FF"/>
            </w:tcBorders>
            <w:gridSpan w:val="3"/>
          </w:tcPr>
          <w:p>
            <w:pPr>
              <w:spacing w:after="0"/>
              <w:rPr>
                <w:sz w:val="17"/>
                <w:szCs w:val="17"/>
                <w:color w:val="auto"/>
              </w:rPr>
            </w:pPr>
          </w:p>
        </w:tc>
        <w:tc>
          <w:tcPr>
            <w:tcW w:w="3080" w:type="dxa"/>
            <w:vAlign w:val="bottom"/>
            <w:gridSpan w:val="3"/>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12</w:t>
            </w:r>
          </w:p>
        </w:tc>
        <w:tc>
          <w:tcPr>
            <w:tcW w:w="70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7"/>
                <w:szCs w:val="17"/>
                <w:color w:val="0000FF"/>
              </w:rPr>
              <w:t>Security Ownership of Certain Beneficial Owners and Management and Related Stockholder Matters</w:t>
            </w: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13</w:t>
            </w:r>
          </w:p>
        </w:tc>
        <w:tc>
          <w:tcPr>
            <w:tcW w:w="526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7"/>
                <w:szCs w:val="17"/>
                <w:color w:val="0000FF"/>
              </w:rPr>
              <w:t>Certain Relationships and Related Transactions, and Director Independence</w:t>
            </w:r>
          </w:p>
        </w:tc>
        <w:tc>
          <w:tcPr>
            <w:tcW w:w="1760" w:type="dxa"/>
            <w:vAlign w:val="bottom"/>
          </w:tcPr>
          <w:p>
            <w:pPr>
              <w:spacing w:after="0"/>
              <w:rPr>
                <w:sz w:val="17"/>
                <w:szCs w:val="17"/>
                <w:color w:val="auto"/>
              </w:rPr>
            </w:pPr>
          </w:p>
        </w:tc>
      </w:tr>
      <w:tr>
        <w:trPr>
          <w:trHeight w:val="201"/>
        </w:trPr>
        <w:tc>
          <w:tcPr>
            <w:tcW w:w="1320" w:type="dxa"/>
            <w:vAlign w:val="bottom"/>
          </w:tcPr>
          <w:p>
            <w:pPr>
              <w:spacing w:after="0"/>
              <w:rPr>
                <w:sz w:val="20"/>
                <w:szCs w:val="20"/>
                <w:color w:val="auto"/>
              </w:rPr>
            </w:pPr>
            <w:r>
              <w:rPr>
                <w:rFonts w:ascii="Times New Roman" w:cs="Times New Roman" w:eastAsia="Times New Roman" w:hAnsi="Times New Roman"/>
                <w:sz w:val="17"/>
                <w:szCs w:val="17"/>
                <w:color w:val="auto"/>
              </w:rPr>
              <w:t>Item 14</w:t>
            </w:r>
          </w:p>
        </w:tc>
        <w:tc>
          <w:tcPr>
            <w:tcW w:w="276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Principal Accountant Fees and Services</w:t>
            </w:r>
          </w:p>
        </w:tc>
        <w:tc>
          <w:tcPr>
            <w:tcW w:w="4260" w:type="dxa"/>
            <w:vAlign w:val="bottom"/>
            <w:gridSpan w:val="5"/>
          </w:tcPr>
          <w:p>
            <w:pPr>
              <w:spacing w:after="0"/>
              <w:rPr>
                <w:sz w:val="17"/>
                <w:szCs w:val="17"/>
                <w:color w:val="auto"/>
              </w:rPr>
            </w:pPr>
          </w:p>
        </w:tc>
      </w:tr>
    </w:tbl>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3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6840" w:type="dxa"/>
            <w:vAlign w:val="bottom"/>
            <w:gridSpan w:val="3"/>
          </w:tcPr>
          <w:p>
            <w:pPr>
              <w:ind w:left="880"/>
              <w:spacing w:after="0"/>
              <w:rPr>
                <w:sz w:val="20"/>
                <w:szCs w:val="20"/>
                <w:color w:val="auto"/>
              </w:rPr>
            </w:pPr>
            <w:r>
              <w:rPr>
                <w:rFonts w:ascii="Times New Roman" w:cs="Times New Roman" w:eastAsia="Times New Roman" w:hAnsi="Times New Roman"/>
                <w:sz w:val="17"/>
                <w:szCs w:val="17"/>
                <w:b w:val="1"/>
                <w:bCs w:val="1"/>
                <w:color w:val="0000FF"/>
              </w:rPr>
              <w:t>PART IV</w:t>
            </w:r>
          </w:p>
        </w:tc>
      </w:tr>
      <w:tr>
        <w:trPr>
          <w:trHeight w:val="201"/>
        </w:trPr>
        <w:tc>
          <w:tcPr>
            <w:tcW w:w="1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Item 15</w:t>
            </w:r>
          </w:p>
        </w:tc>
        <w:tc>
          <w:tcPr>
            <w:tcW w:w="3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Exhibits and Financial Statement Schedules</w:t>
            </w:r>
          </w:p>
        </w:tc>
        <w:tc>
          <w:tcPr>
            <w:tcW w:w="680" w:type="dxa"/>
            <w:vAlign w:val="bottom"/>
            <w:tcBorders>
              <w:top w:val="single" w:sz="8" w:color="0000FF"/>
            </w:tcBorders>
          </w:tcPr>
          <w:p>
            <w:pPr>
              <w:spacing w:after="0"/>
              <w:rPr>
                <w:sz w:val="17"/>
                <w:szCs w:val="17"/>
                <w:color w:val="auto"/>
              </w:rPr>
            </w:pPr>
          </w:p>
        </w:tc>
        <w:tc>
          <w:tcPr>
            <w:tcW w:w="5280" w:type="dxa"/>
            <w:vAlign w:val="bottom"/>
          </w:tcPr>
          <w:p>
            <w:pPr>
              <w:spacing w:after="0"/>
              <w:rPr>
                <w:sz w:val="17"/>
                <w:szCs w:val="17"/>
                <w:color w:val="auto"/>
              </w:rPr>
            </w:pPr>
          </w:p>
        </w:tc>
      </w:tr>
      <w:tr>
        <w:trPr>
          <w:trHeight w:val="201"/>
        </w:trPr>
        <w:tc>
          <w:tcPr>
            <w:tcW w:w="136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Item 16</w:t>
            </w:r>
          </w:p>
        </w:tc>
        <w:tc>
          <w:tcPr>
            <w:tcW w:w="15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Form 10-K Summary</w:t>
            </w:r>
          </w:p>
        </w:tc>
        <w:tc>
          <w:tcPr>
            <w:tcW w:w="1540" w:type="dxa"/>
            <w:vAlign w:val="bottom"/>
            <w:tcBorders>
              <w:top w:val="single" w:sz="8" w:color="0000FF"/>
            </w:tcBorders>
          </w:tcPr>
          <w:p>
            <w:pPr>
              <w:spacing w:after="0"/>
              <w:rPr>
                <w:sz w:val="17"/>
                <w:szCs w:val="17"/>
                <w:color w:val="auto"/>
              </w:rPr>
            </w:pPr>
          </w:p>
        </w:tc>
        <w:tc>
          <w:tcPr>
            <w:tcW w:w="6840" w:type="dxa"/>
            <w:vAlign w:val="bottom"/>
            <w:gridSpan w:val="3"/>
          </w:tcPr>
          <w:p>
            <w:pPr>
              <w:spacing w:after="0"/>
              <w:rPr>
                <w:sz w:val="17"/>
                <w:szCs w:val="17"/>
                <w:color w:val="auto"/>
              </w:rPr>
            </w:pPr>
          </w:p>
        </w:tc>
      </w:tr>
      <w:tr>
        <w:trPr>
          <w:trHeight w:val="201"/>
        </w:trPr>
        <w:tc>
          <w:tcPr>
            <w:tcW w:w="1360" w:type="dxa"/>
            <w:vAlign w:val="bottom"/>
          </w:tcPr>
          <w:p>
            <w:pPr>
              <w:spacing w:after="0"/>
              <w:rPr>
                <w:sz w:val="17"/>
                <w:szCs w:val="17"/>
                <w:color w:val="auto"/>
              </w:rPr>
            </w:pPr>
          </w:p>
        </w:tc>
        <w:tc>
          <w:tcPr>
            <w:tcW w:w="988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Signatures</w:t>
            </w:r>
          </w:p>
        </w:tc>
      </w:tr>
      <w:tr>
        <w:trPr>
          <w:trHeight w:val="1406"/>
        </w:trPr>
        <w:tc>
          <w:tcPr>
            <w:tcW w:w="1360" w:type="dxa"/>
            <w:vAlign w:val="bottom"/>
            <w:tcBorders>
              <w:bottom w:val="single" w:sz="8" w:color="9A9A9A"/>
            </w:tcBorders>
          </w:tcPr>
          <w:p>
            <w:pPr>
              <w:spacing w:after="0"/>
              <w:rPr>
                <w:sz w:val="24"/>
                <w:szCs w:val="24"/>
                <w:color w:val="auto"/>
              </w:rPr>
            </w:pPr>
          </w:p>
        </w:tc>
        <w:tc>
          <w:tcPr>
            <w:tcW w:w="720" w:type="dxa"/>
            <w:vAlign w:val="bottom"/>
            <w:tcBorders>
              <w:top w:val="single" w:sz="8" w:color="0000FF"/>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2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FORWARD-LOOKING STATEMENTS</w:t>
      </w:r>
    </w:p>
    <w:p>
      <w:pPr>
        <w:spacing w:after="0" w:line="171" w:lineRule="exact"/>
        <w:rPr>
          <w:sz w:val="20"/>
          <w:szCs w:val="20"/>
          <w:color w:val="auto"/>
        </w:rPr>
      </w:pPr>
    </w:p>
    <w:p>
      <w:pPr>
        <w:ind w:right="40" w:firstLine="625"/>
        <w:spacing w:after="0" w:line="262" w:lineRule="auto"/>
        <w:rPr>
          <w:sz w:val="20"/>
          <w:szCs w:val="20"/>
          <w:color w:val="auto"/>
        </w:rPr>
      </w:pPr>
      <w:r>
        <w:rPr>
          <w:rFonts w:ascii="Times New Roman" w:cs="Times New Roman" w:eastAsia="Times New Roman" w:hAnsi="Times New Roman"/>
          <w:sz w:val="17"/>
          <w:szCs w:val="17"/>
          <w:color w:val="auto"/>
        </w:rPr>
        <w:t>This report includes forward-looking statements within the meaning of Section 27A of the Securities Act of 1933 and Section 21E of the Securities Exchange Act of 1934. Forward-looking statements include statements that may relate to our plans, objectives, goals, strategies, future events, future revenues or performance, capital expenditures, financing needs and other information that is not historical information. Many of these statements appear, in particular, under the headings "Risk Factors" and "Management's Discussion and Analysis of Financial Condition and Results of Operations" in this Annual Report on Form 10-K. Forward-looking statements can often be identified by the use of terminology such as "subject to", "believe", "anticipate", "plan", "expect", "intend", "estimate", "project", "may", "will", "should", "would", "could", "can", the negatives thereof, variations thereon and similar expressions, or by discussions of strategy.</w:t>
      </w:r>
    </w:p>
    <w:p>
      <w:pPr>
        <w:spacing w:after="0" w:line="282"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All forward-looking statements, including, without limitation, our examination of historical operating trends, are based upon our current expectations and various assumptions. We believe there is a reasonable basis for our expectations and beliefs, but they are inherently uncertain. We may not realize our expectations, and our beliefs may not prove correct. Actual results could differ materially from those described or implied by such forward-looking statements. The following uncertainties and factors, among others (including those set forth under "Risk Factors"), could affect future performance and cause actual results to differ materially from those matters expressed in or implied by forward-looking statements:</w:t>
      </w:r>
    </w:p>
    <w:p>
      <w:pPr>
        <w:spacing w:after="0" w:line="67" w:lineRule="exact"/>
        <w:rPr>
          <w:sz w:val="20"/>
          <w:szCs w:val="20"/>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plans to develop and commercialize our product candidates;</w:t>
      </w:r>
    </w:p>
    <w:p>
      <w:pPr>
        <w:spacing w:after="0" w:line="64" w:lineRule="exact"/>
        <w:rPr>
          <w:rFonts w:ascii="Times New Roman" w:cs="Times New Roman" w:eastAsia="Times New Roman" w:hAnsi="Times New Roman"/>
          <w:sz w:val="17"/>
          <w:szCs w:val="17"/>
          <w:color w:val="auto"/>
        </w:rPr>
      </w:pPr>
    </w:p>
    <w:p>
      <w:pPr>
        <w:ind w:left="500" w:right="340" w:hanging="322"/>
        <w:spacing w:after="0" w:line="287"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outcomes of our ongoing and planned clinical trials and the timing of those outcomes, including when clinical trials will be initiated or completed, enrollment of trials, and when data will be reported or regulatory filings will be made;</w:t>
      </w:r>
    </w:p>
    <w:p>
      <w:pPr>
        <w:spacing w:after="0" w:line="1"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of and our ability to obtain and maintain regulatory approvals for our product candidates and the labeling for any approved products;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estimates regarding expenses, future revenue, capital requirements and needs for additional financing;</w:t>
      </w:r>
    </w:p>
    <w:p>
      <w:pPr>
        <w:spacing w:after="0" w:line="64" w:lineRule="exact"/>
        <w:rPr>
          <w:rFonts w:ascii="Times New Roman" w:cs="Times New Roman" w:eastAsia="Times New Roman" w:hAnsi="Times New Roman"/>
          <w:sz w:val="17"/>
          <w:szCs w:val="17"/>
          <w:color w:val="auto"/>
        </w:rPr>
      </w:pPr>
    </w:p>
    <w:p>
      <w:pPr>
        <w:ind w:left="500" w:right="680" w:hanging="322"/>
        <w:spacing w:after="0" w:line="287"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raise additional capital through the capital markets or through one or more corporate partnerships, equity offerings, debt financings, collaborations, licensing arrangements or asset sales;</w:t>
      </w:r>
    </w:p>
    <w:p>
      <w:pPr>
        <w:spacing w:after="0" w:line="1"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expectations regarding product candidates currently being developed by our collaborators;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anticipated receipt of sales milestone payments in connection with the sale of MARGENZA to TerSera Therapeutics, LLC, or TerSera;</w:t>
      </w:r>
    </w:p>
    <w:p>
      <w:pPr>
        <w:spacing w:after="0" w:line="64" w:lineRule="exact"/>
        <w:rPr>
          <w:rFonts w:ascii="Times New Roman" w:cs="Times New Roman" w:eastAsia="Times New Roman" w:hAnsi="Times New Roman"/>
          <w:sz w:val="17"/>
          <w:szCs w:val="17"/>
          <w:color w:val="auto"/>
        </w:rPr>
      </w:pPr>
    </w:p>
    <w:p>
      <w:pPr>
        <w:ind w:left="500" w:right="400" w:hanging="322"/>
        <w:spacing w:after="0" w:line="287"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compromise of our or our third parties’ information technology systems and resultant costs, disruptions in our operations or related impact on our reputation;</w:t>
      </w:r>
    </w:p>
    <w:p>
      <w:pPr>
        <w:spacing w:after="0" w:line="1" w:lineRule="exact"/>
        <w:rPr>
          <w:rFonts w:ascii="Times New Roman" w:cs="Times New Roman" w:eastAsia="Times New Roman" w:hAnsi="Times New Roman"/>
          <w:sz w:val="17"/>
          <w:szCs w:val="17"/>
          <w:color w:val="auto"/>
        </w:rPr>
      </w:pPr>
    </w:p>
    <w:p>
      <w:pPr>
        <w:ind w:left="500" w:right="720" w:hanging="322"/>
        <w:spacing w:after="0" w:line="287"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enter into new collaborations or to identify additional products or product candidates with significant commercial potential that are consistent with our commercial objectives;</w:t>
      </w:r>
    </w:p>
    <w:p>
      <w:pPr>
        <w:spacing w:after="0" w:line="1"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potential benefits and future operation of our existing collaborations;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recover the investment in our manufacturing capabilities;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rate and degree of market acceptance and clinical utility of our products;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commercialization, marketing and manufacturing capabilities and strategy;</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competition in our industry;</w:t>
      </w:r>
    </w:p>
    <w:p>
      <w:pPr>
        <w:spacing w:after="0" w:line="64" w:lineRule="exact"/>
        <w:rPr>
          <w:rFonts w:ascii="Times New Roman" w:cs="Times New Roman" w:eastAsia="Times New Roman" w:hAnsi="Times New Roman"/>
          <w:sz w:val="17"/>
          <w:szCs w:val="17"/>
          <w:color w:val="auto"/>
        </w:rPr>
      </w:pPr>
    </w:p>
    <w:p>
      <w:pPr>
        <w:ind w:left="500" w:right="60" w:hanging="322"/>
        <w:spacing w:after="0" w:line="287"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litigation and the failure to successfully defend lawsuits and other claims against us and our expectations regarding the outcome of any regulatory or legal proceedings;</w:t>
      </w:r>
    </w:p>
    <w:p>
      <w:pPr>
        <w:spacing w:after="0" w:line="1"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political and other risks associated with our international operations;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receive research funding and achieve anticipated milestones under our collaborations;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protect and enforce patents and other intellectual property;</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compliance and our failure to comply with new and existing governmental regulations including, but not limited to, tax regulations;</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or retirement of key members of management;</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execute our growth strategy, including any delays in our planned future growth;</w:t>
      </w:r>
    </w:p>
    <w:p>
      <w:pPr>
        <w:spacing w:after="0" w:line="64" w:lineRule="exact"/>
        <w:rPr>
          <w:rFonts w:ascii="Times New Roman" w:cs="Times New Roman" w:eastAsia="Times New Roman" w:hAnsi="Times New Roman"/>
          <w:sz w:val="17"/>
          <w:szCs w:val="17"/>
          <w:color w:val="auto"/>
        </w:rPr>
      </w:pPr>
    </w:p>
    <w:p>
      <w:pPr>
        <w:ind w:left="480" w:hanging="302"/>
        <w:spacing w:after="0"/>
        <w:tabs>
          <w:tab w:leader="none" w:pos="4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failure to maintain effective internal controls; and</w:t>
      </w:r>
    </w:p>
    <w:p>
      <w:pPr>
        <w:spacing w:after="0" w:line="64" w:lineRule="exact"/>
        <w:rPr>
          <w:rFonts w:ascii="Times New Roman" w:cs="Times New Roman" w:eastAsia="Times New Roman" w:hAnsi="Times New Roman"/>
          <w:sz w:val="17"/>
          <w:szCs w:val="17"/>
          <w:color w:val="auto"/>
        </w:rPr>
      </w:pPr>
    </w:p>
    <w:p>
      <w:pPr>
        <w:ind w:left="500" w:right="660" w:hanging="322"/>
        <w:spacing w:after="0" w:line="294" w:lineRule="auto"/>
        <w:tabs>
          <w:tab w:leader="none" w:pos="49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of legislative and regulatory developments, public health crises, geopolitical tensions or other macroeconomic factors on our business, operations, clinical programs, manufacturing, financial results and other aspects of our business.</w:t>
      </w:r>
    </w:p>
    <w:p>
      <w:pPr>
        <w:spacing w:after="0" w:line="42"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Consequently, forward-looking statements speak only as of the date that they are made and should be regarded solely as our current plans, estimates and beliefs. You should not place undue reliance on forward-looking statements. We cannot guarantee future results, events, levels of activity, performance or achievements. Except as required by law, we do not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549910</wp:posOffset>
            </wp:positionV>
            <wp:extent cx="7162800"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4" w:name="page5"/>
    <w:bookmarkEnd w:id="4"/>
    <w:p>
      <w:pPr>
        <w:spacing w:after="0" w:line="294" w:lineRule="auto"/>
        <w:rPr>
          <w:sz w:val="20"/>
          <w:szCs w:val="20"/>
          <w:color w:val="auto"/>
        </w:rPr>
      </w:pPr>
      <w:r>
        <w:rPr>
          <w:rFonts w:ascii="Times New Roman" w:cs="Times New Roman" w:eastAsia="Times New Roman" w:hAnsi="Times New Roman"/>
          <w:sz w:val="17"/>
          <w:szCs w:val="17"/>
          <w:color w:val="auto"/>
        </w:rPr>
        <w:t>undertake and specifically decline any obligation to update, republish or revise forward-looking statements to reflect future events or circumstances or to reflect the occurrences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538480</wp:posOffset>
            </wp:positionV>
            <wp:extent cx="7162800"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00"/>
          </w:cols>
          <w:pgMar w:left="320" w:top="863" w:right="479" w:bottom="1440" w:gutter="0" w:footer="0" w:header="0"/>
        </w:sectPr>
      </w:pPr>
    </w:p>
    <w:bookmarkStart w:id="5" w:name="page6"/>
    <w:bookmarkEnd w:id="5"/>
    <w:p>
      <w:pPr>
        <w:ind w:left="5660"/>
        <w:spacing w:after="0"/>
        <w:rPr>
          <w:sz w:val="20"/>
          <w:szCs w:val="20"/>
          <w:color w:val="auto"/>
        </w:rPr>
      </w:pPr>
      <w:r>
        <w:rPr>
          <w:rFonts w:ascii="Times New Roman" w:cs="Times New Roman" w:eastAsia="Times New Roman" w:hAnsi="Times New Roman"/>
          <w:sz w:val="17"/>
          <w:szCs w:val="17"/>
          <w:b w:val="1"/>
          <w:bCs w:val="1"/>
          <w:color w:val="auto"/>
        </w:rPr>
        <w:t>PART I</w:t>
      </w:r>
    </w:p>
    <w:p>
      <w:pPr>
        <w:spacing w:after="0" w:line="169"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1.</w:t>
        <w:tab/>
        <w:t>BUSINESS</w:t>
      </w:r>
    </w:p>
    <w:p>
      <w:pPr>
        <w:spacing w:after="0" w:line="169" w:lineRule="exact"/>
        <w:rPr>
          <w:sz w:val="20"/>
          <w:szCs w:val="20"/>
          <w:color w:val="auto"/>
        </w:rPr>
      </w:pPr>
    </w:p>
    <w:p>
      <w:pPr>
        <w:ind w:right="100"/>
        <w:spacing w:after="0" w:line="228" w:lineRule="auto"/>
        <w:rPr>
          <w:sz w:val="20"/>
          <w:szCs w:val="20"/>
          <w:color w:val="auto"/>
        </w:rPr>
      </w:pPr>
      <w:r>
        <w:rPr>
          <w:rFonts w:ascii="Times New Roman" w:cs="Times New Roman" w:eastAsia="Times New Roman" w:hAnsi="Times New Roman"/>
          <w:sz w:val="17"/>
          <w:szCs w:val="17"/>
          <w:i w:val="1"/>
          <w:iCs w:val="1"/>
          <w:color w:val="auto"/>
        </w:rPr>
        <w:t>Except as otherwise indicated herein or as the context otherwise requires, references in this annual report on Form 10-K to "MacroGenics," the "company," "we," "us" and "our" refer to MacroGenics, Inc. and its consolidated subsidiaries. “MacroGenics</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the MacroGenics logo, DART</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TRIDENT</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and the phrases Breakthrough Biologics, Life-Changing Medicines</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and Developing Breakthrough Biologics, Life-Changing Medicines</w:t>
      </w:r>
      <w:r>
        <w:rPr>
          <w:rFonts w:ascii="Times New Roman" w:cs="Times New Roman" w:eastAsia="Times New Roman" w:hAnsi="Times New Roman"/>
          <w:sz w:val="22"/>
          <w:szCs w:val="22"/>
          <w:i w:val="1"/>
          <w:iCs w:val="1"/>
          <w:color w:val="auto"/>
          <w:vertAlign w:val="superscript"/>
        </w:rPr>
        <w:t>®</w:t>
      </w:r>
      <w:r>
        <w:rPr>
          <w:rFonts w:ascii="Times New Roman" w:cs="Times New Roman" w:eastAsia="Times New Roman" w:hAnsi="Times New Roman"/>
          <w:sz w:val="17"/>
          <w:szCs w:val="17"/>
          <w:i w:val="1"/>
          <w:iCs w:val="1"/>
          <w:color w:val="auto"/>
        </w:rPr>
        <w:t xml:space="preserve"> are our trademarks. The other trademarks, trade names and service marks appearing in this report are the property of their respective owners.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58"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We are a clinical-stage biopharmaceutical company focused on discovering, developing, manufacturing and commercializing innovative antibody-based therapeutics for the treatment of cancer. We generate our pipeline of product candidates from our proprietary suite of antibody technology platforms. We are currently developing therapeutics utilizing multiple modalities, including antibody-drug conjugates (ADCs) and multi-specific antibodies (which we refer to as DART and TRIDENT molecules). The combination of our technology platforms and antibody engineering expertise has allowed us to generate promising product candidates – three of which have received marketing approval by the U.S. Food and Drug Administration (FDA) – and to enter into several strategic collaborations with global biopharmaceutical companies. These collaborations have provided us with over $1.4 billion of non-dilutive funding since our inception in 2000, and have enabled us to leverage the additional expertise of our collaborators to advance the development of multiple partnered product candidates. In addition, we operate a 5 × 2,000 liter commercial-scale cGMP antibody manufacturing facility in our Maryland headquarters to support our clinical programs. We also provide outsourced contract development and manufacturing services to our collaborators and other third parties for commercial and clinical products to offset a portion of the operating costs of this facility.</w:t>
      </w:r>
    </w:p>
    <w:p>
      <w:pPr>
        <w:spacing w:after="0" w:line="122"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We are currently advancing three proprietary product candidates in clinical development: lorigerlimab, a bispecific DART molecule that targets checkpoint inhibitors PD-1 and CTLA-4; MGC026, an ADC that targets B7-H3 and delivers a novel topoisomerase I inhibitor (TOP1i)-based linker-payload, and MGC028, an ADC that targets ADAM9 and delivers a novel TOP1i-based linker-payload. We are also actively developing multiple preclinical-stage ADC and next generation T-cell engager programs.</w:t>
      </w:r>
    </w:p>
    <w:p>
      <w:pPr>
        <w:spacing w:after="0" w:line="195" w:lineRule="exact"/>
        <w:rPr>
          <w:sz w:val="20"/>
          <w:szCs w:val="20"/>
          <w:color w:val="auto"/>
        </w:rPr>
      </w:pPr>
    </w:p>
    <w:p>
      <w:pPr>
        <w:ind w:right="100" w:firstLine="625"/>
        <w:spacing w:after="0" w:line="232" w:lineRule="auto"/>
        <w:rPr>
          <w:sz w:val="20"/>
          <w:szCs w:val="20"/>
          <w:color w:val="auto"/>
        </w:rPr>
      </w:pPr>
      <w:r>
        <w:rPr>
          <w:rFonts w:ascii="Times New Roman" w:cs="Times New Roman" w:eastAsia="Times New Roman" w:hAnsi="Times New Roman"/>
          <w:sz w:val="17"/>
          <w:szCs w:val="17"/>
          <w:color w:val="auto"/>
        </w:rPr>
        <w:t>We and our partners are developing or commercializing product candidates for which we retain certain economic rights. These include three products approved by the FDA: MARGENZA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(margetuximab-cmkb), an anti-HER2 monoclonal antibody (mAb) that we recently sold to a partner, ZYNYZ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(retifanlimab-dlwr), an anti-PD-1 mAb that we out-licensed; and TZIELD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(teplizumab-mzwv), an anti-CD3 mAb that we sold to a partner. We are also collaborating with Gilead Sciences, Inc. (Gilead) on the development of MGD024, a bispecific DART antibody targeting CD123 and CD3 that utilizes our next-generation T-cell engager technology, as well as two additional undisclosed pre-clinical DART development programs.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Wholly Owned Pipeline in Active Development</w:t>
      </w:r>
    </w:p>
    <w:p>
      <w:pPr>
        <w:spacing w:after="0" w:line="171" w:lineRule="exact"/>
        <w:rPr>
          <w:sz w:val="20"/>
          <w:szCs w:val="20"/>
          <w:color w:val="auto"/>
        </w:rPr>
      </w:pPr>
    </w:p>
    <w:p>
      <w:pPr>
        <w:ind w:right="400" w:firstLine="625"/>
        <w:spacing w:after="0" w:line="294" w:lineRule="auto"/>
        <w:rPr>
          <w:sz w:val="20"/>
          <w:szCs w:val="20"/>
          <w:color w:val="auto"/>
        </w:rPr>
      </w:pPr>
      <w:r>
        <w:rPr>
          <w:rFonts w:ascii="Times New Roman" w:cs="Times New Roman" w:eastAsia="Times New Roman" w:hAnsi="Times New Roman"/>
          <w:sz w:val="17"/>
          <w:szCs w:val="17"/>
          <w:color w:val="auto"/>
        </w:rPr>
        <w:t>The table below depicts the status of our diverse portfolio of investigational oncology product candidates for which we retain commercialization or other important rights in the U.S. or more broadly: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121285</wp:posOffset>
            </wp:positionV>
            <wp:extent cx="5656580" cy="1438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6580" cy="143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7"/>
          <w:szCs w:val="17"/>
          <w:b w:val="1"/>
          <w:bCs w:val="1"/>
          <w:i w:val="1"/>
          <w:iCs w:val="1"/>
          <w:color w:val="auto"/>
        </w:rPr>
        <w:t>Lorigerlimab</w:t>
      </w:r>
    </w:p>
    <w:p>
      <w:pPr>
        <w:spacing w:after="0" w:line="173" w:lineRule="exact"/>
        <w:rPr>
          <w:sz w:val="20"/>
          <w:szCs w:val="20"/>
          <w:color w:val="auto"/>
        </w:rPr>
      </w:pPr>
    </w:p>
    <w:p>
      <w:pPr>
        <w:ind w:right="140" w:firstLine="625"/>
        <w:spacing w:after="0" w:line="265" w:lineRule="auto"/>
        <w:rPr>
          <w:sz w:val="20"/>
          <w:szCs w:val="20"/>
          <w:color w:val="auto"/>
        </w:rPr>
      </w:pPr>
      <w:r>
        <w:rPr>
          <w:rFonts w:ascii="Times New Roman" w:cs="Times New Roman" w:eastAsia="Times New Roman" w:hAnsi="Times New Roman"/>
          <w:sz w:val="17"/>
          <w:szCs w:val="17"/>
          <w:color w:val="auto"/>
        </w:rPr>
        <w:t>Lorigerlimab (previously known as MGD019) is an investigational, bispecific tetravalent DART molecule designed to enable simultaneous and/or independent blockade of PD-1 and CTLA-4, with potentially enhanced CTLA-4 blockade on T cells co-expressing these immune checkpoint molecules. Approved mAbs that target the immune checkpoints PD-1 and CTLA-4 have shown enhanced clinical antitumor activity when given in combination in various cancers, including renal cell carcinoma, melanoma, non-small cell lung cancer (NSCLC), esophageal cancer and microsatellite instability-high (MSI-H) colorectal cancer.</w:t>
      </w:r>
    </w:p>
    <w:p>
      <w:pPr>
        <w:spacing w:after="0" w:line="197"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We initiated the randomized Phase 2 LORIKEET study in the second half of 2023. This trial is evaluating lorigerlimab combined with docetaxel versus docetaxel alone in second-line, chemotherapy-naïve, metastatic castration-resistant prostate cancer (mCRPC) patients. The study’s primary endpoint is radiographic progression-free survival (rPFS). In late 2024, we completed enrollment of the 150 patient, 2:1 randomized study. In February 2025, the LORIKEET Independent Data Monitoring Committee (IDMC) recommended that the study may continue as planned.</w:t>
      </w:r>
    </w:p>
    <w:p>
      <w:pPr>
        <w:spacing w:after="0" w:line="195"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Beyond the evaluation of lorigerlimab in patients with mCRPC, we intend to commence the LINNET study in patients with platinum-resistant ovarian cancer (PROC). This study will evaluate lorigerlimab as monotherapy in a Simon two-stage trial in eligible patients who have previously received up to three prior lines of therapy. If a certain predefined threshold of activity is achieved in part 1 of the two-stage design, the study will be expanded with a total of up to 40 patients evaluated. In addition, the LINNET study will evaluate up to 20 patients with clear cell gynecologic cancer (CCGC) who have received at least one prior line of therapy. Any patients with PROC or CCGC who have primary platinum-refractory disease are excluded from study participation. The study’s primary endpoint is ORR, with multiple secondary endpoints. We expect to commence the LINNET study by mid-2025.</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MGC026</w:t>
      </w:r>
    </w:p>
    <w:p>
      <w:pPr>
        <w:spacing w:after="0" w:line="251"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MGC026 is an investigational ADC incorporating a B7-H3-targeting antibody and a novel TOP1i-based linker-payload, SYNtecan E™. This cleavable linker-payload is based on exatecan, a clinically validated and potent camptothecin, and is site-specifically conjugated using the GlycoConnect® technology developed by our collaboration partner, Synaffix (a Lonza company).</w:t>
      </w:r>
    </w:p>
    <w:p>
      <w:pPr>
        <w:spacing w:after="0" w:line="190" w:lineRule="exact"/>
        <w:rPr>
          <w:sz w:val="20"/>
          <w:szCs w:val="20"/>
          <w:color w:val="auto"/>
        </w:rPr>
      </w:pPr>
    </w:p>
    <w:p>
      <w:pPr>
        <w:ind w:right="560" w:firstLine="625"/>
        <w:spacing w:after="0" w:line="294" w:lineRule="auto"/>
        <w:rPr>
          <w:sz w:val="20"/>
          <w:szCs w:val="20"/>
          <w:color w:val="auto"/>
        </w:rPr>
      </w:pPr>
      <w:r>
        <w:rPr>
          <w:rFonts w:ascii="Times New Roman" w:cs="Times New Roman" w:eastAsia="Times New Roman" w:hAnsi="Times New Roman"/>
          <w:sz w:val="17"/>
          <w:szCs w:val="17"/>
          <w:color w:val="auto"/>
        </w:rPr>
        <w:t>A Phase 1 dose escalation study of MGC026 in patients with advanced solid tumors is ongoing. We expect to initiate dose expansion in selected indications in 2025.</w:t>
      </w:r>
    </w:p>
    <w:p>
      <w:pPr>
        <w:spacing w:after="0" w:line="172" w:lineRule="exact"/>
        <w:rPr>
          <w:sz w:val="20"/>
          <w:szCs w:val="20"/>
          <w:color w:val="auto"/>
        </w:rPr>
      </w:pPr>
    </w:p>
    <w:p>
      <w:pPr>
        <w:ind w:firstLine="625"/>
        <w:spacing w:after="0" w:line="264" w:lineRule="auto"/>
        <w:rPr>
          <w:sz w:val="20"/>
          <w:szCs w:val="20"/>
          <w:color w:val="auto"/>
        </w:rPr>
      </w:pPr>
      <w:r>
        <w:rPr>
          <w:rFonts w:ascii="Times New Roman" w:cs="Times New Roman" w:eastAsia="Times New Roman" w:hAnsi="Times New Roman"/>
          <w:sz w:val="17"/>
          <w:szCs w:val="17"/>
          <w:color w:val="auto"/>
        </w:rPr>
        <w:t>In preclinical studies, MGC026 exhibited a favorable profile, with potent in vivo activity toward B7-H3-expressing tumor xenografts representing a range of cancer indications. MGC026 was tolerated in cynomolgus monkeys, a relevant toxicology model, at exposure levels exceeding those likely required for antitumor activity in patients. MGC026 preclinical data was presented at the American Association for Cancer Research (AACR) Annual Meeting in April 2024. In preclinical studies, MGC026 was shown to have greater potency than B7-H3-directed antibodies conjugated to deruxtecan, or DXd, a topoisomerase-based payload utilized in other ADCs. In addition, the MGC026 payload has been shown to be less susceptible to multi-drug resistance (MDR) mechanisms than DXd and SN-38.</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MGC028</w:t>
      </w:r>
    </w:p>
    <w:p>
      <w:pPr>
        <w:spacing w:after="0" w:line="251" w:lineRule="exact"/>
        <w:rPr>
          <w:sz w:val="20"/>
          <w:szCs w:val="20"/>
          <w:color w:val="auto"/>
        </w:rPr>
      </w:pPr>
    </w:p>
    <w:p>
      <w:pPr>
        <w:ind w:right="360" w:firstLine="625"/>
        <w:spacing w:after="0" w:line="274" w:lineRule="auto"/>
        <w:rPr>
          <w:sz w:val="20"/>
          <w:szCs w:val="20"/>
          <w:color w:val="auto"/>
        </w:rPr>
      </w:pPr>
      <w:r>
        <w:rPr>
          <w:rFonts w:ascii="Times New Roman" w:cs="Times New Roman" w:eastAsia="Times New Roman" w:hAnsi="Times New Roman"/>
          <w:sz w:val="17"/>
          <w:szCs w:val="17"/>
          <w:color w:val="auto"/>
        </w:rPr>
        <w:t>MGC028 is the second of our ADC molecules incorporating Synaffix’s novel glycan-linked TOP1i-based linker payload, and the second ADAM9-targeted ADC that we have pursued. ADAM9 is a member of the ADAM family of multifunctional type 1 transmembrane proteins that play a role in tumorigenesis and cancer progression and is overexpressed in multiple cancers, making it an attractive target for cancer treatment.</w:t>
      </w:r>
    </w:p>
    <w:p>
      <w:pPr>
        <w:spacing w:after="0" w:line="190" w:lineRule="exact"/>
        <w:rPr>
          <w:sz w:val="20"/>
          <w:szCs w:val="20"/>
          <w:color w:val="auto"/>
        </w:rPr>
      </w:pPr>
    </w:p>
    <w:p>
      <w:pPr>
        <w:jc w:val="both"/>
        <w:ind w:right="60" w:firstLine="625"/>
        <w:spacing w:after="0" w:line="274" w:lineRule="auto"/>
        <w:rPr>
          <w:sz w:val="20"/>
          <w:szCs w:val="20"/>
          <w:color w:val="auto"/>
        </w:rPr>
      </w:pPr>
      <w:r>
        <w:rPr>
          <w:rFonts w:ascii="Times New Roman" w:cs="Times New Roman" w:eastAsia="Times New Roman" w:hAnsi="Times New Roman"/>
          <w:sz w:val="17"/>
          <w:szCs w:val="17"/>
          <w:color w:val="auto"/>
        </w:rPr>
        <w:t>In preclinical studies, MGC028 exhibited specific, dose-dependent in vivo antitumor activity toward ADAM9-positive cell-derived and patient-derived xenograft models, including in gastric, lung, pancreatic, colorectal, and head and neck cancers as well as in cholangiocarcinoma. In addition, MGC028 was well tolerated in a repeat-dose non-human primate toxicology study at high dose levels.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Phase 1 dose escalation study of MGC028 was recently initiated.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7"/>
          <w:szCs w:val="17"/>
          <w:b w:val="1"/>
          <w:bCs w:val="1"/>
          <w:i w:val="1"/>
          <w:iCs w:val="1"/>
          <w:color w:val="auto"/>
        </w:rPr>
        <w:t>MGC030</w:t>
      </w:r>
    </w:p>
    <w:p>
      <w:pPr>
        <w:spacing w:after="0" w:line="251" w:lineRule="exact"/>
        <w:rPr>
          <w:sz w:val="20"/>
          <w:szCs w:val="20"/>
          <w:color w:val="auto"/>
        </w:rPr>
      </w:pPr>
    </w:p>
    <w:p>
      <w:pPr>
        <w:jc w:val="both"/>
        <w:ind w:right="340" w:firstLine="625"/>
        <w:spacing w:after="0" w:line="268" w:lineRule="auto"/>
        <w:rPr>
          <w:sz w:val="20"/>
          <w:szCs w:val="20"/>
          <w:color w:val="auto"/>
        </w:rPr>
      </w:pPr>
      <w:r>
        <w:rPr>
          <w:rFonts w:ascii="Times New Roman" w:cs="Times New Roman" w:eastAsia="Times New Roman" w:hAnsi="Times New Roman"/>
          <w:sz w:val="17"/>
          <w:szCs w:val="17"/>
          <w:color w:val="auto"/>
        </w:rPr>
        <w:t>MGC030 is a preclinical ADC molecule incorporating Synaffix’s novel glycan-linked TOP1i-based linker payload, which targets a non-disclosed antigen expressed across several solid tumor types. In early preclinical studies, MGC030 was well tolerated in a pilot toxicology study, with a planned GLP toxicology study to be initiated. In addition, MGC030 showed encouraging anti-tumor activity across multiple cell-derived xenograft models, with patient-derived xenograft models initiated.</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An Investigational New Drug (IND) application submission to the FDA is targeted for 2026.</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Additional Wholly Owned Programs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Vobramitamab Duocarmazine</w:t>
      </w:r>
    </w:p>
    <w:p>
      <w:pPr>
        <w:spacing w:after="0" w:line="251"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Vobra duo is an investigational ADC with a cleavable peptide linker designed to deliver a DNA-alkylating duocarmycin payload to dividing and non-dividing cells on solid tumors that express B7-H3. The underlying ADC technology was licensed from Byondis B.V. (Byondis). We conducted a Phase 2 study, which we refer to as the TAMARACK study, of vobra duo in a total of 177 mCRPC patients and four patients with other cancer types. On July 30, 2024, we reported that after a review of accumulated study data though a July 9, 2024 data cut-off, at which time there had been an aggregate of eight investigator-reported, treatment-related deaths on the TAMARACK study, we agreed with the study’s IDMC recommendation that study treatment be discontinued for the remaining mCRPC study participants who potentially could have received additional doses. At that point in time, there were a limited number of mCRPC patients still potentially eligible to receive additional doses of vobra duo and the study had reached its primary endpoint. Although treatment was discontinued for mCRPC patients as of such time, those patients remaining on the study continued to be monitored through study completion per study protocol. Investigators for the study reported an aggregate of eleven treatment-related deaths (11 of 180 patients who received treatment, or 6.1%) for all indications. These eleven patient deaths occurred between 87 days and 339 days after commencing treatment with vobra duo.</w:t>
      </w:r>
    </w:p>
    <w:p>
      <w:pPr>
        <w:spacing w:after="0" w:line="201"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As of a February 21, 2025 data cut-off, with 95 PFS events (52.5%), the median rPFS was approximately 9.5 months for the 2.0 mg/kg cohort (95% CI, 8.5-11.2) and 10.0 months for the 2.7 mg/kg cohort (95% CI, 7.4-11.4).</w:t>
      </w:r>
    </w:p>
    <w:p>
      <w:pPr>
        <w:spacing w:after="0" w:line="172" w:lineRule="exact"/>
        <w:rPr>
          <w:sz w:val="20"/>
          <w:szCs w:val="20"/>
          <w:color w:val="auto"/>
        </w:rPr>
      </w:pPr>
    </w:p>
    <w:p>
      <w:pPr>
        <w:ind w:right="300" w:firstLine="625"/>
        <w:spacing w:after="0" w:line="294" w:lineRule="auto"/>
        <w:rPr>
          <w:sz w:val="20"/>
          <w:szCs w:val="20"/>
          <w:color w:val="auto"/>
        </w:rPr>
      </w:pPr>
      <w:r>
        <w:rPr>
          <w:rFonts w:ascii="Times New Roman" w:cs="Times New Roman" w:eastAsia="Times New Roman" w:hAnsi="Times New Roman"/>
          <w:sz w:val="17"/>
          <w:szCs w:val="17"/>
          <w:color w:val="auto"/>
        </w:rPr>
        <w:t>The TAMARACK study has been completed, and no patients are currently being treated with vobra duo in a Company-sponsored trial, although an investigator-sponsored study in small cell lung cancer is ongoing.</w:t>
      </w:r>
    </w:p>
    <w:p>
      <w:pPr>
        <w:spacing w:after="0" w:line="172"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Based on our assessment of the safety and efficacy profile from the TAMARACK study and a review of our portfolio and internal resources, vobra duo does not meet our threshold for further financial investment and we have decided not to pursue further internal development. We believe additional studies to mitigate certain adverse events potentially linked to prolonged exposure might improve the safety of vobra duo in mCRPC patients. However, any further development would require external partnering, which may or may not materialize.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859" w:right="41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7"/>
          <w:szCs w:val="17"/>
          <w:b w:val="1"/>
          <w:bCs w:val="1"/>
          <w:color w:val="auto"/>
        </w:rPr>
        <w:t>Partnered Programs</w:t>
      </w:r>
    </w:p>
    <w:p>
      <w:pPr>
        <w:spacing w:after="0" w:line="171" w:lineRule="exact"/>
        <w:rPr>
          <w:sz w:val="20"/>
          <w:szCs w:val="20"/>
          <w:color w:val="auto"/>
        </w:rPr>
      </w:pPr>
    </w:p>
    <w:p>
      <w:pPr>
        <w:ind w:right="480" w:firstLine="625"/>
        <w:spacing w:after="0" w:line="294" w:lineRule="auto"/>
        <w:rPr>
          <w:sz w:val="20"/>
          <w:szCs w:val="20"/>
          <w:color w:val="auto"/>
        </w:rPr>
      </w:pPr>
      <w:r>
        <w:rPr>
          <w:rFonts w:ascii="Times New Roman" w:cs="Times New Roman" w:eastAsia="Times New Roman" w:hAnsi="Times New Roman"/>
          <w:sz w:val="17"/>
          <w:szCs w:val="17"/>
          <w:color w:val="auto"/>
        </w:rPr>
        <w:t>In addition to the molecules identified above, we have out-licensed various product candidates for which we retain certain economic rights. These molecules provide potential sources of future cash flow and platform validation and are identified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71755</wp:posOffset>
            </wp:positionV>
            <wp:extent cx="5656580" cy="1960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6580" cy="19602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Partnered Marketed Products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MARGENZA</w:t>
      </w:r>
    </w:p>
    <w:p>
      <w:pPr>
        <w:spacing w:after="0" w:line="171" w:lineRule="exact"/>
        <w:rPr>
          <w:sz w:val="20"/>
          <w:szCs w:val="20"/>
          <w:color w:val="auto"/>
        </w:rPr>
      </w:pPr>
    </w:p>
    <w:p>
      <w:pPr>
        <w:ind w:right="140" w:firstLine="625"/>
        <w:spacing w:after="0" w:line="265" w:lineRule="auto"/>
        <w:rPr>
          <w:sz w:val="20"/>
          <w:szCs w:val="20"/>
          <w:color w:val="auto"/>
        </w:rPr>
      </w:pPr>
      <w:r>
        <w:rPr>
          <w:rFonts w:ascii="Times New Roman" w:cs="Times New Roman" w:eastAsia="Times New Roman" w:hAnsi="Times New Roman"/>
          <w:sz w:val="17"/>
          <w:szCs w:val="17"/>
          <w:color w:val="auto"/>
        </w:rPr>
        <w:t>In October 2024, we announced that we had entered into an agreement in which TerSera Therapeutics LLC (TerSera), a privately-held biopharmaceutical company with a focus in oncology and non-opioid pain management, would acquire global rights to MARGENZA® (margetuximab-cmkb). Pursuant to the terms of the agreement, TerSera paid MacroGenics $40.0 million at the closing in November 2024; in addition, we are eligible to receive sales milestone payments from TerSera of up to an aggregate of $35.0 million. In November 2024, we paid an $8.0 million amendment fee to Eversana Life Sciences Services, LLC (Eversana), our former partner that had previously commercialized MARGENZA.</w:t>
      </w:r>
    </w:p>
    <w:p>
      <w:pPr>
        <w:spacing w:after="0" w:line="197"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MARGENZA was approved by the FDA in December 2020 in combination with chemotherapy for the treatment of adult patients with metastatic HER2-positive breast cancer who have received two or more prior anti-HER2 regimens, at least one of which was for metastatic disease. The approval was based on results from the pivotal SOPHIA Phase 3 head-to-head clinical trial evaluating the safety and efficacy of MARGENZA vs. Herceptin® (trastuzumab), both combined with chemotherapy. Margetuximab is a mAb developed using our Fc Optimization platform and targets the HER2 oncoprotein, a protein found on the surface of some cancer cells that promotes growth and is associated with aggressive disease and poor prognosis.</w:t>
      </w:r>
    </w:p>
    <w:p>
      <w:pPr>
        <w:spacing w:after="0" w:line="197"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As part of our November 2018 license and collaboration agreement, Zai Lab received the rights to develop margetuximab in mainland China, Hong Kong, Macau and Taiwan. In August 2023, the China National Medical Products Administration approved the New Drug Application (NDA) for margetuximab for patients with pretreated metastatic HER2-positive breast cancer. Zai Lab terminated this agreement, effective May 2024. In November 2024, we received $7.0 million in fulfillment of an approval milestone from Zai Lab.</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ZYNYZ</w:t>
      </w:r>
    </w:p>
    <w:p>
      <w:pPr>
        <w:spacing w:after="0" w:line="249"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In 2017, we licensed retifanlimab (previously known as MGA012), a mAb targeting PD-1, to Incyte Corporation (Incyte) under a global collaboration and license agreement (Incyte Agreement); we retain the right to develop the molecule in combination with product candidates from our pipeline. In March 2023, the FDA approved ZYNYZ (retifanlimab-dlwr) for the treatment of adult patients with metastatic or recurrent locally advanced Merkel cell carcinoma. ZYNYZ is marketed by Incyte.</w:t>
      </w:r>
    </w:p>
    <w:p>
      <w:pPr>
        <w:spacing w:after="0" w:line="195"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In July 2024, Incyte announced positive Phase 3 top-line results for its registrational studies of retifanlimab in squamous cell carcinoma of the anal canal and non-small cell lung cancer. In February 2025, Incyte disclosed that its supplemental Biologics License Application (sBLA) for retifanlimab in advanced/metastatic squamous cell anal cancer was filed with the FDA in December 2024, with approval anticipated in the second half of 2025. Incyte continues to conduct global studies of retifanlimab across multiple indications. Also, in July 2024, we announced the achievement of $100.0 million in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9" w:name="page10"/>
    <w:bookmarkEnd w:id="9"/>
    <w:p>
      <w:pPr>
        <w:ind w:right="20"/>
        <w:spacing w:after="0" w:line="274" w:lineRule="auto"/>
        <w:rPr>
          <w:sz w:val="20"/>
          <w:szCs w:val="20"/>
          <w:color w:val="auto"/>
        </w:rPr>
      </w:pPr>
      <w:r>
        <w:rPr>
          <w:rFonts w:ascii="Times New Roman" w:cs="Times New Roman" w:eastAsia="Times New Roman" w:hAnsi="Times New Roman"/>
          <w:sz w:val="17"/>
          <w:szCs w:val="17"/>
          <w:color w:val="auto"/>
        </w:rPr>
        <w:t>milestones from Incyte related to development progress of retifanlimab, following an agreement, pursuant to which certain milestones were deemed to have been met. We remain eligible to receive up to a total of $210.0 million in potential development and regulatory milestones and up to $330.0 million in potential commercial milestones. We receive tiered royalties, which range from 15 to 24 percent, on worldwide net sales of ZYNYZ.</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TZIELD</w:t>
      </w:r>
    </w:p>
    <w:p>
      <w:pPr>
        <w:spacing w:after="0" w:line="249" w:lineRule="exact"/>
        <w:rPr>
          <w:sz w:val="20"/>
          <w:szCs w:val="20"/>
          <w:color w:val="auto"/>
        </w:rPr>
      </w:pPr>
    </w:p>
    <w:p>
      <w:pPr>
        <w:ind w:right="420" w:firstLine="625"/>
        <w:spacing w:after="0" w:line="274" w:lineRule="auto"/>
        <w:rPr>
          <w:sz w:val="20"/>
          <w:szCs w:val="20"/>
          <w:color w:val="auto"/>
        </w:rPr>
      </w:pPr>
      <w:r>
        <w:rPr>
          <w:rFonts w:ascii="Times New Roman" w:cs="Times New Roman" w:eastAsia="Times New Roman" w:hAnsi="Times New Roman"/>
          <w:sz w:val="17"/>
          <w:szCs w:val="17"/>
          <w:color w:val="auto"/>
        </w:rPr>
        <w:t>In 2018, we entered into an asset purchase agreement (Provention APA) with Provention Bio, Inc., subsequently acquired by Sanofi S.A. (Sanofi), pursuant to which they acquired our interest in teplizumab, a mAb we had been developing for the treatment of type 1 diabetes. Teplizumab was granted Breakthrough Therapy Designation by the FDA and PRIority MEdicines (PRIME) designation by the European Medicines Agency (EMA).</w:t>
      </w:r>
    </w:p>
    <w:p>
      <w:pPr>
        <w:spacing w:after="0" w:line="190" w:lineRule="exact"/>
        <w:rPr>
          <w:sz w:val="20"/>
          <w:szCs w:val="20"/>
          <w:color w:val="auto"/>
        </w:rPr>
      </w:pPr>
    </w:p>
    <w:p>
      <w:pPr>
        <w:ind w:right="140" w:firstLine="625"/>
        <w:spacing w:after="0" w:line="268" w:lineRule="auto"/>
        <w:rPr>
          <w:sz w:val="20"/>
          <w:szCs w:val="20"/>
          <w:color w:val="auto"/>
        </w:rPr>
      </w:pPr>
      <w:r>
        <w:rPr>
          <w:rFonts w:ascii="Times New Roman" w:cs="Times New Roman" w:eastAsia="Times New Roman" w:hAnsi="Times New Roman"/>
          <w:sz w:val="17"/>
          <w:szCs w:val="17"/>
          <w:color w:val="auto"/>
        </w:rPr>
        <w:t>In November 2022, the U.S. FDA approved TZIELD (teplizumab-mzwv) to delay the onset of Stage 3 type 1 diabetes (T1D) in adult and pediatric patients aged 8 years and older with Stage 2 T1D, which triggered a $60.0 million milestone payment to us. Under the Provention APA, Sanofi has a remaining obligation to pay us contingent milestone payments totaling $105.0 million upon the achievement of certain regulatory approval milestones, in addition to contingent milestone payments totaling $225.0 million upon the achievement of certain sales milestones.</w:t>
      </w:r>
    </w:p>
    <w:p>
      <w:pPr>
        <w:spacing w:after="0" w:line="19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March 2023, we sold our royalty interest in TZIELD to a wholly-owned subsidiary of DRI Healthcare Trust for $100.0 million. Such royalty interest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was subsequently acquired by Sanofi. In July 2023, Sanofi reported that the PROTECT placebo-controlled study investigating TZIELD in patients with newly-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diagnosed stage 3 T1D met its primary endpoint, having demonstrated preservation of beta cell function. This positive study outcome triggered payment of a</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$50.0 million milestone to us by Sanofi. We retain the right to receive a 50% share of the royalty on global net sales above a certain annual threshold. In addition,</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are eligible to receive $50.0 million if TZIELD achieves a certain level of net sales.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Product Candidates in Development under Collaborations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MGD024</w:t>
      </w:r>
    </w:p>
    <w:p>
      <w:pPr>
        <w:spacing w:after="0" w:line="249"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MGD024 is an investigational, next-generation, bispecific CD123 × CD3 DART molecule designed to engage CD3 expressed on immune effector cells, such as T cells, to kill CD123-expressing cancer cells for the potential treatment of certain hematologic malignancies, including AML. MGD024 was designed to minimize cytokine-release syndrome, while maintaining anti-tumor cytolytic activity, and permitting intermittent dosing through a longer half-life. CD123, the interleukin-3 receptor alpha chain, is widely overexpressed in various hematologic malignancies, including AML and myelodysplastic syndrome (MDS), making it an attractive therapeutic target.</w:t>
      </w:r>
    </w:p>
    <w:p>
      <w:pPr>
        <w:spacing w:after="0" w:line="197" w:lineRule="exact"/>
        <w:rPr>
          <w:sz w:val="20"/>
          <w:szCs w:val="20"/>
          <w:color w:val="auto"/>
        </w:rPr>
      </w:pPr>
    </w:p>
    <w:p>
      <w:pPr>
        <w:ind w:right="400" w:firstLine="625"/>
        <w:spacing w:after="0" w:line="294" w:lineRule="auto"/>
        <w:rPr>
          <w:sz w:val="20"/>
          <w:szCs w:val="20"/>
          <w:color w:val="auto"/>
        </w:rPr>
      </w:pPr>
      <w:r>
        <w:rPr>
          <w:rFonts w:ascii="Times New Roman" w:cs="Times New Roman" w:eastAsia="Times New Roman" w:hAnsi="Times New Roman"/>
          <w:sz w:val="17"/>
          <w:szCs w:val="17"/>
          <w:color w:val="auto"/>
        </w:rPr>
        <w:t>We continue to enroll patients in a Phase 1 dose-escalation study of MGD024 in patients with CD123-positive neoplasms, including acute myeloid leukemia and myelodysplastic syndromes.</w:t>
      </w:r>
    </w:p>
    <w:p>
      <w:pPr>
        <w:spacing w:after="0" w:line="172" w:lineRule="exact"/>
        <w:rPr>
          <w:sz w:val="20"/>
          <w:szCs w:val="20"/>
          <w:color w:val="auto"/>
        </w:rPr>
      </w:pPr>
    </w:p>
    <w:p>
      <w:pPr>
        <w:ind w:right="60" w:firstLine="625"/>
        <w:spacing w:after="0" w:line="260" w:lineRule="auto"/>
        <w:rPr>
          <w:sz w:val="20"/>
          <w:szCs w:val="20"/>
          <w:color w:val="auto"/>
        </w:rPr>
      </w:pPr>
      <w:r>
        <w:rPr>
          <w:rFonts w:ascii="Times New Roman" w:cs="Times New Roman" w:eastAsia="Times New Roman" w:hAnsi="Times New Roman"/>
          <w:sz w:val="17"/>
          <w:szCs w:val="17"/>
          <w:color w:val="auto"/>
        </w:rPr>
        <w:t>In October 2022, we and Gilead entered into an exclusive option and collaboration agreement (Gilead Agreement) to develop and commercialize MGD024 and create up to two separate bispecific cancer target research programs using our DART platform and undertake their early development. Under the Gilead Agreement, we will continue the ongoing phase 1 trial for MGD024 according to a development plan, during which Gilead will have the right to exercise an option granted to them to obtain an exclusive license to develop and commercialize MGD024 and other bispecific antibodies of ours that bind CD123 and CD3 (CD123 Option). The agreement also grants Gilead the right, within the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Gilead nominated the first of the two research programs in September 2023. In January 2024, the parties amended the Gilead Agreement to revise certain matters related to intellectual property in the performance of the research plans under the agreement. On August 30, 2024, the parties amended the agreement by entering into a second letter agreement under which Gilead will pay us to conduct certain research and which extends the period for Gilead to select its second research target combination.</w:t>
      </w:r>
    </w:p>
    <w:p>
      <w:pPr>
        <w:spacing w:after="0" w:line="201"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As part of the Gilead Agreement, Gilead paid us a non-refundable upfront payment of $60.0 million, and we are eligible to receive up to $1.7 billion in target nomination fees and option fees, as well as development, regulatory and commercial milestones, assuming Gilead exercises the CD123 Option and Research Program Option, successfully develops and commercializes MGD024 or other CD123 products developed under the agreement, and assuming products result from the two additional research programs. Assuming exercise of the CD123 Option, we will also be eligible to receive tiered, low double-digit royalties on worldwide net sales of MGD024 (or other CD123 products developed under the agreement) and assuming</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7"/>
          <w:szCs w:val="17"/>
          <w:color w:val="auto"/>
        </w:rPr>
        <w:t>exercise of the Research Program Option, a flat royalty on worldwide net sales of any products resulting from the two research programs.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Early Bispecific Research Program</w:t>
      </w:r>
    </w:p>
    <w:p>
      <w:pPr>
        <w:spacing w:after="0" w:line="249"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In September 2023, Gilead nominated the first of two potential research programs under the Research Program Option as part of the Gilead Agreement, leveraging our DART and TRIDENT platforms for generating bispecific antibodies. This nomination granted Gilead an exclusive option to license worldwide rights to the research program, upon achievement of a pre-defined preclinical milestone.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HIV DART Molecules</w:t>
      </w:r>
    </w:p>
    <w:p>
      <w:pPr>
        <w:spacing w:after="0" w:line="251"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We conducted clinical studies of MGD014 and MGD020 under a contract awarded to us in September 2015 by the National Institute of Allergy and Infectious Diseases (NIAID), part of the National Institutes of Health (NIH). These bispecific DART molecules are designed to target the viral envelope (Env) protein of human immunodeficiency virus (HIV) infected cells and CD3 on T cells to redirect the immune system's T cells to kill HIV-infected cells. Both the Phase 1 study of MGD014 in persons with HIV maintained on antiretroviral therapy and the Phase 1 study of MGD020 alone and combined with MGD014 have been completed and we are in the process of closing out the contract.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Ancillary Contract Development and Manufacturing Services</w:t>
      </w:r>
    </w:p>
    <w:p>
      <w:pPr>
        <w:spacing w:after="0" w:line="171"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In addition to manufacturing antibody-based products and product candidates in our commercial-scale facility for our own needs, we provide outsourced contract development and manufacturing services to a small number of clients, including collaboration partners.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Incyte</w:t>
      </w:r>
    </w:p>
    <w:p>
      <w:pPr>
        <w:spacing w:after="0" w:line="25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In January 2022, we entered into an agreement with Incyte to provide manufacturing services to produce certain Incyte bulk drug substance over a three-year period. Under the terms of this agreement, we received an upfront payment of $10.0 million and are eligible to receive annual fixed payments paid quarterly over the term of the contract totaling $14.4 million. We will also be reimbursed for materials used to manufacture product as well as other costs incurred to provide manufacturing services. In July 2022, we and Incyte executed an amendment to the agreement which extended the term for one year and provided for an additional annual fixed payment of $5.1 million. In December 2024, we and Incyte entered into a letter agreement whereby Incyte reserved additional manufacturing services with a fixed cost of $9.1 million.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Emergent BioSolutions</w:t>
      </w:r>
    </w:p>
    <w:p>
      <w:pPr>
        <w:spacing w:after="0" w:line="251"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In August 2023 and December 2023, we entered into agreements with Emergent BioSolutions (Emergent) to provide manufacturing services to produce certain Emergent bulk drug substances. Under the terms of the agreements, we receive payments in accordance with the manufacturing schedule and are reimbursed for materials used to manufacture product, as well as other costs incurred to provide manufacturing services.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TerSera</w:t>
      </w:r>
    </w:p>
    <w:p>
      <w:pPr>
        <w:spacing w:after="0" w:line="251"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In November 2024, we sold global rights to MARGENZA to TerSera. In connection with the sale, we entered into an agreement with TerSera to provide manufacturing services to produce MARGENZA. Under the terms of the agreement, we receive payments in accordance with the manufacturing schedule and are reimbursed for materials used to manufacture product, as well as other costs incurred to provide manufacturing services.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Therapeutic Area Focus: Cancer</w:t>
      </w:r>
    </w:p>
    <w:p>
      <w:pPr>
        <w:spacing w:after="0" w:line="249" w:lineRule="exact"/>
        <w:rPr>
          <w:sz w:val="20"/>
          <w:szCs w:val="20"/>
          <w:color w:val="auto"/>
        </w:rPr>
      </w:pPr>
    </w:p>
    <w:p>
      <w:pPr>
        <w:ind w:right="80" w:firstLine="625"/>
        <w:spacing w:after="0" w:line="262" w:lineRule="auto"/>
        <w:rPr>
          <w:sz w:val="20"/>
          <w:szCs w:val="20"/>
          <w:color w:val="auto"/>
        </w:rPr>
      </w:pPr>
      <w:r>
        <w:rPr>
          <w:rFonts w:ascii="Times New Roman" w:cs="Times New Roman" w:eastAsia="Times New Roman" w:hAnsi="Times New Roman"/>
          <w:sz w:val="17"/>
          <w:szCs w:val="17"/>
          <w:color w:val="auto"/>
        </w:rPr>
        <w:t>Cancer is a broad group of diseases in which cells divide and grow in an uncontrolled manner, forming malignancies that can invade other parts of the body. In normal tissues, the rates of new cell growth and cell death are tightly regulated and kept in balance. In cancerous tissues, this balance is disrupted as a result of mutations, causing unregulated cell division or proliferation that leads to tumor formation and growth. While tumors can grow slowly or rapidly, the dividing cells will nevertheless accumulate, and the normal organization of the tissue will become disrupted. Cancers subsequently can spread throughout the body by processes known as invasion and metastasis. Once cancer spreads to sites beyond the primary tumor, it generally becomes more difficult to treat and may be incurable. Cancer cells that arise in the lymphatic system and bone marrow are referred to as hematological malignancies. Cancer cells that arise in other tissues or organs are referred to as solid</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1" w:name="page12"/>
    <w:bookmarkEnd w:id="11"/>
    <w:p>
      <w:pPr>
        <w:ind w:right="220"/>
        <w:spacing w:after="0" w:line="294" w:lineRule="auto"/>
        <w:rPr>
          <w:sz w:val="20"/>
          <w:szCs w:val="20"/>
          <w:color w:val="auto"/>
        </w:rPr>
      </w:pPr>
      <w:r>
        <w:rPr>
          <w:rFonts w:ascii="Times New Roman" w:cs="Times New Roman" w:eastAsia="Times New Roman" w:hAnsi="Times New Roman"/>
          <w:sz w:val="17"/>
          <w:szCs w:val="17"/>
          <w:color w:val="auto"/>
        </w:rPr>
        <w:t>tumors. Cancer can arise in virtually any part of the body, with the most common types arising in the prostate gland, breast, lung, colon and skin. Cancer is the second leading cause of death in the United States, exceeded only by heart disease. An increasing number of people are also living longer with cancer.</w:t>
      </w:r>
    </w:p>
    <w:p>
      <w:pPr>
        <w:spacing w:after="0" w:line="172" w:lineRule="exact"/>
        <w:rPr>
          <w:sz w:val="20"/>
          <w:szCs w:val="20"/>
          <w:color w:val="auto"/>
        </w:rPr>
      </w:pPr>
    </w:p>
    <w:p>
      <w:pPr>
        <w:ind w:right="140" w:firstLine="625"/>
        <w:spacing w:after="0" w:line="294" w:lineRule="auto"/>
        <w:rPr>
          <w:sz w:val="20"/>
          <w:szCs w:val="20"/>
          <w:color w:val="auto"/>
        </w:rPr>
      </w:pPr>
      <w:r>
        <w:rPr>
          <w:rFonts w:ascii="Times New Roman" w:cs="Times New Roman" w:eastAsia="Times New Roman" w:hAnsi="Times New Roman"/>
          <w:sz w:val="17"/>
          <w:szCs w:val="17"/>
          <w:color w:val="auto"/>
        </w:rPr>
        <w:t>We believe that our platforms position us very well strategically to actively develop approaches for the treatment of both solid tumors and hematologic malignancies.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Platforms and Technology Expertise</w:t>
      </w:r>
    </w:p>
    <w:p>
      <w:pPr>
        <w:spacing w:after="0" w:line="249" w:lineRule="exact"/>
        <w:rPr>
          <w:sz w:val="20"/>
          <w:szCs w:val="20"/>
          <w:color w:val="auto"/>
        </w:rPr>
      </w:pPr>
    </w:p>
    <w:p>
      <w:pPr>
        <w:ind w:right="380" w:firstLine="625"/>
        <w:spacing w:after="0" w:line="263" w:lineRule="auto"/>
        <w:rPr>
          <w:sz w:val="20"/>
          <w:szCs w:val="20"/>
          <w:color w:val="auto"/>
        </w:rPr>
      </w:pPr>
      <w:r>
        <w:rPr>
          <w:rFonts w:ascii="Times New Roman" w:cs="Times New Roman" w:eastAsia="Times New Roman" w:hAnsi="Times New Roman"/>
          <w:sz w:val="17"/>
          <w:szCs w:val="17"/>
          <w:color w:val="auto"/>
        </w:rPr>
        <w:t>We apply our understanding of disease biology, immune-mediated mechanisms and next-generation antibody technologies to design specifically targeted antibody-based product candidates based on our DART and licensed ADC platforms. Through these platforms, we have designed antibody-based product candidates that have the potential to improve on standard treatments by having one or more of the following attributes: (1) multiple specificities; (2) increased abilities to interact with the body's immune system to fight tumors; (3) capacity to bind more avidly to antigen targets; (4) increased potency; (5) reduced immunogenicity or (6) the ability to target and kill cancer cells that are resistant to standard treatments. Moreover, these technology platforms are complementary in certain cases and can be combined to address the complex biology of cancer.</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DART and TRIDENT Platforms: Our Proprietary Approach to Engineer Multi-Specific Antibodies</w:t>
      </w:r>
    </w:p>
    <w:p>
      <w:pPr>
        <w:spacing w:after="0" w:line="251" w:lineRule="exact"/>
        <w:rPr>
          <w:sz w:val="20"/>
          <w:szCs w:val="20"/>
          <w:color w:val="auto"/>
        </w:rPr>
      </w:pPr>
    </w:p>
    <w:p>
      <w:pPr>
        <w:ind w:right="100" w:firstLine="625"/>
        <w:spacing w:after="0" w:line="294" w:lineRule="auto"/>
        <w:rPr>
          <w:sz w:val="20"/>
          <w:szCs w:val="20"/>
          <w:color w:val="auto"/>
        </w:rPr>
      </w:pPr>
      <w:r>
        <w:rPr>
          <w:rFonts w:ascii="Times New Roman" w:cs="Times New Roman" w:eastAsia="Times New Roman" w:hAnsi="Times New Roman"/>
          <w:sz w:val="17"/>
          <w:szCs w:val="17"/>
          <w:color w:val="auto"/>
        </w:rPr>
        <w:t>We use our DART platform to create derivatives of antibodies with the ability to bind to two distinct targets instead of a single target as with traditional mAbs. DART product candidates are therefore bispecific.</w:t>
      </w:r>
    </w:p>
    <w:p>
      <w:pPr>
        <w:spacing w:after="0" w:line="172"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Because cancer cells have developed ways to escape the immune system, we have created DART molecules, which are alternative antibody-like structures with more potent immune properties than the parent antibody molecules from which they are derived. The two variable regions of an antibody are mono-specific and are able to target only a single type structural component of an antigen. For many years, researchers have sought to create recombinant molecules that are capable of targeting two antigens or epitopes (i.e., specific part of an antigen bound by the antibody) within the same molecule. The challenges in creating such molecules have been the instability of the resulting bispecific molecules and their inherently short half-lives, as well as the inefficiencies in manufacturing these compounds. We believe our DART platform has overcome these engineering challenges by incorporating proprietary covalent di-sulfide linkages and particular amino acid sequences that efficiently pair the chains of the DART molecule. This is designed to provide a structure with enhanced manufacturability, long-term structural stability and the ability to tailor the half-lives of the DART molecules to their clinical needs. This engineered antibody-like protein has a compact and stable structure and enables the targeting of two different antigens with a single recombinant molecule.</w:t>
      </w:r>
    </w:p>
    <w:p>
      <w:pPr>
        <w:spacing w:after="0" w:line="204" w:lineRule="exact"/>
        <w:rPr>
          <w:sz w:val="20"/>
          <w:szCs w:val="20"/>
          <w:color w:val="auto"/>
        </w:rPr>
      </w:pPr>
    </w:p>
    <w:p>
      <w:pPr>
        <w:ind w:right="180" w:firstLine="625"/>
        <w:spacing w:after="0" w:line="274" w:lineRule="auto"/>
        <w:rPr>
          <w:sz w:val="20"/>
          <w:szCs w:val="20"/>
          <w:color w:val="auto"/>
        </w:rPr>
      </w:pPr>
      <w:r>
        <w:rPr>
          <w:rFonts w:ascii="Times New Roman" w:cs="Times New Roman" w:eastAsia="Times New Roman" w:hAnsi="Times New Roman"/>
          <w:sz w:val="17"/>
          <w:szCs w:val="17"/>
          <w:color w:val="auto"/>
        </w:rPr>
        <w:t>The DART platform has been specifically engineered to accommodate virtually any variable region sequence with predictable expression, folding and antigen recognition. We believe our multi-specific platforms may provide a significant advantage over current biological interventions in cancer, autoimmune disorders and infectious disease by enabling a range of modalities.</w:t>
      </w:r>
    </w:p>
    <w:p>
      <w:pPr>
        <w:spacing w:after="0" w:line="190" w:lineRule="exact"/>
        <w:rPr>
          <w:sz w:val="20"/>
          <w:szCs w:val="20"/>
          <w:color w:val="auto"/>
        </w:rPr>
      </w:pPr>
    </w:p>
    <w:p>
      <w:pPr>
        <w:ind w:right="380" w:firstLine="625"/>
        <w:spacing w:after="0" w:line="274" w:lineRule="auto"/>
        <w:rPr>
          <w:sz w:val="20"/>
          <w:szCs w:val="20"/>
          <w:color w:val="auto"/>
        </w:rPr>
      </w:pPr>
      <w:r>
        <w:rPr>
          <w:rFonts w:ascii="Times New Roman" w:cs="Times New Roman" w:eastAsia="Times New Roman" w:hAnsi="Times New Roman"/>
          <w:sz w:val="17"/>
          <w:szCs w:val="17"/>
          <w:color w:val="auto"/>
        </w:rPr>
        <w:t>In addition to the ability to tailor a DART molecule's valency, we have the capacity to modify the strength by which the binding sites attach to their targets and the molecule's half-life in the blood circulation after delivery to a patient. Furthermore, when an Fc domain is coupled with a DART molecule, additional changes can be included that can modulate the DART molecule's engagement with different immune cells.</w:t>
      </w:r>
    </w:p>
    <w:p>
      <w:pPr>
        <w:spacing w:after="0" w:line="190" w:lineRule="exact"/>
        <w:rPr>
          <w:sz w:val="20"/>
          <w:szCs w:val="20"/>
          <w:color w:val="auto"/>
        </w:rPr>
      </w:pPr>
    </w:p>
    <w:p>
      <w:pPr>
        <w:ind w:right="60" w:firstLine="625"/>
        <w:spacing w:after="0" w:line="294" w:lineRule="auto"/>
        <w:rPr>
          <w:sz w:val="20"/>
          <w:szCs w:val="20"/>
          <w:color w:val="auto"/>
        </w:rPr>
      </w:pPr>
      <w:r>
        <w:rPr>
          <w:rFonts w:ascii="Times New Roman" w:cs="Times New Roman" w:eastAsia="Times New Roman" w:hAnsi="Times New Roman"/>
          <w:sz w:val="17"/>
          <w:szCs w:val="17"/>
          <w:color w:val="auto"/>
        </w:rPr>
        <w:t>We are currently developing product candidates using our DART technology, including lorigerlimab and MGD024, in clinical trials, as well as others in preclinical development.</w:t>
      </w:r>
    </w:p>
    <w:p>
      <w:pPr>
        <w:spacing w:after="0" w:line="172" w:lineRule="exact"/>
        <w:rPr>
          <w:sz w:val="20"/>
          <w:szCs w:val="20"/>
          <w:color w:val="auto"/>
        </w:rPr>
      </w:pPr>
    </w:p>
    <w:p>
      <w:pPr>
        <w:ind w:right="140" w:firstLine="625"/>
        <w:spacing w:after="0" w:line="265" w:lineRule="auto"/>
        <w:rPr>
          <w:sz w:val="20"/>
          <w:szCs w:val="20"/>
          <w:color w:val="auto"/>
        </w:rPr>
      </w:pPr>
      <w:r>
        <w:rPr>
          <w:rFonts w:ascii="Times New Roman" w:cs="Times New Roman" w:eastAsia="Times New Roman" w:hAnsi="Times New Roman"/>
          <w:sz w:val="17"/>
          <w:szCs w:val="17"/>
          <w:color w:val="auto"/>
        </w:rPr>
        <w:t>We have also advanced beyond our DART platform to establish a TRIDENT platform, which reflects the continuing evolution of our multi-specific antibody-based targeting expertise. Built on the DART module, the trivalent TRIDENT platform incorporates in an Ig-like format an additional domain capable of engaging an independent antigen. With the inclusion of a third targeting arm, TRIDENT molecules enable a broader range of mechanisms of action than bispecific targeting, allowing, for instance, the engagement of multiple antigens on a single or on different cells or enabling enhanced target selectivity by modulating the avidity of one of two antigens. Product candidates using this technology are currently in preclinical development.</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7"/>
          <w:szCs w:val="17"/>
          <w:b w:val="1"/>
          <w:bCs w:val="1"/>
          <w:i w:val="1"/>
          <w:iCs w:val="1"/>
          <w:color w:val="auto"/>
        </w:rPr>
        <w:t>Licensed ADC Platforms</w:t>
      </w:r>
    </w:p>
    <w:p>
      <w:pPr>
        <w:spacing w:after="0" w:line="251" w:lineRule="exact"/>
        <w:rPr>
          <w:sz w:val="20"/>
          <w:szCs w:val="20"/>
          <w:color w:val="auto"/>
        </w:rPr>
      </w:pPr>
    </w:p>
    <w:p>
      <w:pPr>
        <w:ind w:right="260" w:firstLine="625"/>
        <w:spacing w:after="0" w:line="268" w:lineRule="auto"/>
        <w:rPr>
          <w:sz w:val="20"/>
          <w:szCs w:val="20"/>
          <w:color w:val="auto"/>
        </w:rPr>
      </w:pPr>
      <w:r>
        <w:rPr>
          <w:rFonts w:ascii="Times New Roman" w:cs="Times New Roman" w:eastAsia="Times New Roman" w:hAnsi="Times New Roman"/>
          <w:sz w:val="17"/>
          <w:szCs w:val="17"/>
          <w:color w:val="auto"/>
        </w:rPr>
        <w:t>We have licensed ADC platforms from collaboration partners to leverage their past investment in proprietary linker-toxin technology and know-how. While we don’t necessarily believe there is a single best linker-toxin technology capable of addressing all targets and indications, we have selected what we believe are best-in-class technologies for construction of each of our ADC product candidates. For example, to date we have utilized linker-toxin payloads developed by Byondis for vobra duo and by Synaffix B.V. (Synaffix) for multiple molecules, including MGC026 and MGC028.</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Our Collaborations</w:t>
      </w:r>
    </w:p>
    <w:p>
      <w:pPr>
        <w:spacing w:after="0" w:line="249" w:lineRule="exact"/>
        <w:rPr>
          <w:sz w:val="20"/>
          <w:szCs w:val="20"/>
          <w:color w:val="auto"/>
        </w:rPr>
      </w:pPr>
    </w:p>
    <w:p>
      <w:pPr>
        <w:ind w:firstLine="625"/>
        <w:spacing w:after="0" w:line="264" w:lineRule="auto"/>
        <w:rPr>
          <w:sz w:val="20"/>
          <w:szCs w:val="20"/>
          <w:color w:val="auto"/>
        </w:rPr>
      </w:pPr>
      <w:r>
        <w:rPr>
          <w:rFonts w:ascii="Times New Roman" w:cs="Times New Roman" w:eastAsia="Times New Roman" w:hAnsi="Times New Roman"/>
          <w:sz w:val="17"/>
          <w:szCs w:val="17"/>
          <w:color w:val="auto"/>
        </w:rPr>
        <w:t>Throughout our company's history, we have entered into collaborations with other biopharmaceutical companies and plan to continue to do so. We enter into collaborations when there is a strategic advantage to us and when we believe the financial terms of the collaboration are favorable for meeting our short-term and long-term strategic objectives. We are not dependent upon any one of these collaborations, but in many cases, we have rights to receive sales royalties and other significant financial payments if the partnered product candidates achieve certain development and sales milestones. We endeavor to establish collaborations that preserve our right to participate in future commercialization, for example by securing co-promotion or profit-sharing rights under certain circumstances.</w:t>
      </w:r>
    </w:p>
    <w:p>
      <w:pPr>
        <w:spacing w:after="0" w:line="200" w:lineRule="exact"/>
        <w:rPr>
          <w:sz w:val="20"/>
          <w:szCs w:val="20"/>
          <w:color w:val="auto"/>
        </w:rPr>
      </w:pPr>
    </w:p>
    <w:p>
      <w:pPr>
        <w:spacing w:after="0" w:line="210"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Each of our collaborations has a unique set of terms and conditions.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249" w:lineRule="exact"/>
        <w:rPr>
          <w:sz w:val="20"/>
          <w:szCs w:val="20"/>
          <w:color w:val="auto"/>
        </w:rPr>
      </w:pPr>
    </w:p>
    <w:p>
      <w:pPr>
        <w:ind w:right="240" w:firstLine="625"/>
        <w:spacing w:after="0" w:line="265" w:lineRule="auto"/>
        <w:rPr>
          <w:sz w:val="20"/>
          <w:szCs w:val="20"/>
          <w:color w:val="auto"/>
        </w:rPr>
      </w:pPr>
      <w:r>
        <w:rPr>
          <w:rFonts w:ascii="Times New Roman" w:cs="Times New Roman" w:eastAsia="Times New Roman" w:hAnsi="Times New Roman"/>
          <w:sz w:val="17"/>
          <w:szCs w:val="17"/>
          <w:color w:val="auto"/>
        </w:rPr>
        <w:t>We strive to protect the proprietary technologies that we believe are important to our business, including seeking and maintaining patents intended to protect, for example, the composition of matter of our product candidates, their methods of use, their formulation, the technology platforms used to generate them, related technologies and/or other aspects of the inventions that are important to our business. We also rely on trade secrets, confidentiality and invention assignment agreements and careful monitoring of our proprietary information to protect aspects of our business that are not amenable to, or that we do not consider appropriate for, patent protection.</w:t>
      </w:r>
    </w:p>
    <w:p>
      <w:pPr>
        <w:spacing w:after="0" w:line="197" w:lineRule="exact"/>
        <w:rPr>
          <w:sz w:val="20"/>
          <w:szCs w:val="20"/>
          <w:color w:val="auto"/>
        </w:rPr>
      </w:pPr>
    </w:p>
    <w:p>
      <w:pPr>
        <w:ind w:right="140" w:firstLine="625"/>
        <w:spacing w:after="0" w:line="263" w:lineRule="auto"/>
        <w:rPr>
          <w:sz w:val="20"/>
          <w:szCs w:val="20"/>
          <w:color w:val="auto"/>
        </w:rPr>
      </w:pPr>
      <w:r>
        <w:rPr>
          <w:rFonts w:ascii="Times New Roman" w:cs="Times New Roman" w:eastAsia="Times New Roman" w:hAnsi="Times New Roman"/>
          <w:sz w:val="17"/>
          <w:szCs w:val="17"/>
          <w:color w:val="auto"/>
        </w:rPr>
        <w:t>Our success will depend significantly on our ability to obtain and maintain patent and other proprietary protection for commercially important technology, inventions and know-how related to our business. In addition, there is cost and risk to our business in defending and enforcing our patents, maintaining our licenses to use intellectual property owned by third parties and preserving the confidentiality of our trade secrets and operating without infringing the valid and enforceable patents and other proprietary rights of third parties. We also rely on know-how, continuing technological innovation and in-licensing opportunities to develop, strengthen and maintain our proprietary positions. We currently use multiple industry-standard patent monitoring systems to monitor new United States Patent and Trademark Office (USPTO) filings for any applications by third parties that may infringe on our patents.</w:t>
      </w:r>
    </w:p>
    <w:p>
      <w:pPr>
        <w:spacing w:after="0" w:line="199" w:lineRule="exact"/>
        <w:rPr>
          <w:sz w:val="20"/>
          <w:szCs w:val="20"/>
          <w:color w:val="auto"/>
        </w:rPr>
      </w:pPr>
    </w:p>
    <w:p>
      <w:pPr>
        <w:ind w:right="180" w:firstLine="625"/>
        <w:spacing w:after="0" w:line="264" w:lineRule="auto"/>
        <w:rPr>
          <w:sz w:val="20"/>
          <w:szCs w:val="20"/>
          <w:color w:val="auto"/>
        </w:rPr>
      </w:pPr>
      <w:r>
        <w:rPr>
          <w:rFonts w:ascii="Times New Roman" w:cs="Times New Roman" w:eastAsia="Times New Roman" w:hAnsi="Times New Roman"/>
          <w:sz w:val="17"/>
          <w:szCs w:val="17"/>
          <w:color w:val="auto"/>
        </w:rPr>
        <w:t>The patent positions of biopharmaceutical companies like us are generally uncertain and involve complex legal, scientific and factual questions. In addition, the coverage claimed in a patent application can be significantly reduced before the patent is issued, and its scope can be reinterpreted by the courts after issuance. Consequently, we do not know whether any of our product candidates will be protectable or remain protected by enforceable patents. We cannot predict whether the patent applications we are currently pursuing will issue as patents in any particular jurisdiction or whether the claims of any issued patents will provide sufficient proprietary protection from competitors. Any patents that we hold may be challenged, narrowed, circumvented or invalidated by third parties.</w:t>
      </w:r>
    </w:p>
    <w:p>
      <w:pPr>
        <w:spacing w:after="0" w:line="200" w:lineRule="exact"/>
        <w:rPr>
          <w:sz w:val="20"/>
          <w:szCs w:val="20"/>
          <w:color w:val="auto"/>
        </w:rPr>
      </w:pPr>
    </w:p>
    <w:p>
      <w:pPr>
        <w:spacing w:after="0" w:line="210" w:lineRule="exact"/>
        <w:rPr>
          <w:sz w:val="20"/>
          <w:szCs w:val="20"/>
          <w:color w:val="auto"/>
        </w:rPr>
      </w:pPr>
    </w:p>
    <w:p>
      <w:pPr>
        <w:ind w:right="140" w:firstLine="625"/>
        <w:spacing w:after="0" w:line="262" w:lineRule="auto"/>
        <w:rPr>
          <w:sz w:val="20"/>
          <w:szCs w:val="20"/>
          <w:color w:val="auto"/>
        </w:rPr>
      </w:pPr>
      <w:r>
        <w:rPr>
          <w:rFonts w:ascii="Times New Roman" w:cs="Times New Roman" w:eastAsia="Times New Roman" w:hAnsi="Times New Roman"/>
          <w:sz w:val="17"/>
          <w:szCs w:val="17"/>
          <w:color w:val="auto"/>
        </w:rPr>
        <w:t>A third party may hold patents or other intellectual property rights that are important to or necessary for the development of our product candidates or use of our technology platforms. It may be necessary for us to use the patented or proprietary technology of third parties to commercialize our product candidates, in which case we would be required to obtain a license from these third parties on commercially reasonable terms, or our business could be harmed, possibly materially. Because patent applications in the United States and certain other jurisdictions can be maintained in secrecy for 18 months or potentially even longer, and because publication of discoveries in the scientific or patent literature often lags behind actual discoveries, we cannot be certain of the priority of inventions covered by pending patent applications. Moreover, we may have to participate in interference proceedings declared by the USPTO to determine priority of invention. In the ordinary course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3" w:name="page14"/>
    <w:bookmarkEnd w:id="13"/>
    <w:p>
      <w:pPr>
        <w:ind w:right="220"/>
        <w:spacing w:after="0" w:line="294" w:lineRule="auto"/>
        <w:rPr>
          <w:sz w:val="20"/>
          <w:szCs w:val="20"/>
          <w:color w:val="auto"/>
        </w:rPr>
      </w:pPr>
      <w:r>
        <w:rPr>
          <w:rFonts w:ascii="Times New Roman" w:cs="Times New Roman" w:eastAsia="Times New Roman" w:hAnsi="Times New Roman"/>
          <w:sz w:val="17"/>
          <w:szCs w:val="17"/>
          <w:color w:val="auto"/>
        </w:rPr>
        <w:t>business we participate in post-grant challenge proceedings, such as oppositions, that challenge the patentability of third party patents. Such proceedings could result in substantial cost, even if the eventual outcome is favorable to us.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Pipeline Patent Protection</w:t>
      </w:r>
    </w:p>
    <w:p>
      <w:pPr>
        <w:spacing w:after="0" w:line="173" w:lineRule="exact"/>
        <w:rPr>
          <w:sz w:val="20"/>
          <w:szCs w:val="20"/>
          <w:color w:val="auto"/>
        </w:rPr>
      </w:pPr>
    </w:p>
    <w:p>
      <w:pPr>
        <w:ind w:firstLine="625"/>
        <w:spacing w:after="0" w:line="267" w:lineRule="auto"/>
        <w:rPr>
          <w:sz w:val="20"/>
          <w:szCs w:val="20"/>
          <w:color w:val="auto"/>
        </w:rPr>
      </w:pPr>
      <w:r>
        <w:rPr>
          <w:rFonts w:ascii="Times New Roman" w:cs="Times New Roman" w:eastAsia="Times New Roman" w:hAnsi="Times New Roman"/>
          <w:sz w:val="17"/>
          <w:szCs w:val="17"/>
          <w:color w:val="auto"/>
        </w:rPr>
        <w:t>As of December 31, 2024, we held 73 patents in the United States with 35 patent applications pending and 891 patents in other countries of the world with 410 patent applications pending. In addition to patents and patent applications generally providing protection for various aspects of our Fc Optimization, DART, and TRIDENT platforms, we have patent and patent applications for the composition of matter of each of our clinical pipeline product candidates and, in some cases, we also have other patents and patent application related to various aspects of the technology underlying these product candidates or their methods of use.</w:t>
      </w:r>
    </w:p>
    <w:p>
      <w:pPr>
        <w:spacing w:after="0" w:line="328" w:lineRule="exact"/>
        <w:rPr>
          <w:sz w:val="20"/>
          <w:szCs w:val="20"/>
          <w:color w:val="auto"/>
        </w:rPr>
      </w:pPr>
    </w:p>
    <w:p>
      <w:pPr>
        <w:ind w:right="500" w:firstLine="625"/>
        <w:spacing w:after="0" w:line="294" w:lineRule="auto"/>
        <w:rPr>
          <w:sz w:val="20"/>
          <w:szCs w:val="20"/>
          <w:color w:val="auto"/>
        </w:rPr>
      </w:pPr>
      <w:r>
        <w:rPr>
          <w:rFonts w:ascii="Times New Roman" w:cs="Times New Roman" w:eastAsia="Times New Roman" w:hAnsi="Times New Roman"/>
          <w:sz w:val="17"/>
          <w:szCs w:val="17"/>
          <w:color w:val="auto"/>
        </w:rPr>
        <w:t>Patent terms may be adjusted or extended, as described in greater detail below, in certain circumstances. However, assuming no adjustments or extensions, the primary composition of matter patent for each of our clinical pipeline product candidates is expected to expire in the following timeframes: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00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7"/>
                <w:szCs w:val="17"/>
                <w:b w:val="1"/>
                <w:bCs w:val="1"/>
                <w:color w:val="auto"/>
              </w:rPr>
              <w:t>Product or Product Candidate</w:t>
            </w:r>
          </w:p>
        </w:tc>
        <w:tc>
          <w:tcPr>
            <w:tcW w:w="6240" w:type="dxa"/>
            <w:vAlign w:val="bottom"/>
            <w:shd w:val="clear" w:color="auto" w:fill="D9D9D9"/>
          </w:tcPr>
          <w:p>
            <w:pPr>
              <w:ind w:left="2720"/>
              <w:spacing w:after="0"/>
              <w:rPr>
                <w:sz w:val="20"/>
                <w:szCs w:val="20"/>
                <w:color w:val="auto"/>
              </w:rPr>
            </w:pPr>
            <w:r>
              <w:rPr>
                <w:rFonts w:ascii="Times New Roman" w:cs="Times New Roman" w:eastAsia="Times New Roman" w:hAnsi="Times New Roman"/>
                <w:sz w:val="17"/>
                <w:szCs w:val="17"/>
                <w:b w:val="1"/>
                <w:bCs w:val="1"/>
                <w:color w:val="auto"/>
              </w:rPr>
              <w:t>Expiration Date</w:t>
            </w:r>
          </w:p>
        </w:tc>
      </w:tr>
      <w:tr>
        <w:trPr>
          <w:trHeight w:val="216"/>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retifanlimab</w:t>
            </w:r>
          </w:p>
        </w:tc>
        <w:tc>
          <w:tcPr>
            <w:tcW w:w="624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auto"/>
                <w:w w:val="99"/>
              </w:rPr>
              <w:t>2036</w:t>
            </w:r>
          </w:p>
        </w:tc>
      </w:tr>
      <w:tr>
        <w:trPr>
          <w:trHeight w:val="221"/>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lorigerlimab</w:t>
            </w:r>
          </w:p>
        </w:tc>
        <w:tc>
          <w:tcPr>
            <w:tcW w:w="624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auto"/>
                <w:w w:val="99"/>
              </w:rPr>
              <w:t>2036</w:t>
            </w:r>
          </w:p>
        </w:tc>
      </w:tr>
      <w:tr>
        <w:trPr>
          <w:trHeight w:val="221"/>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vobramitamab duocarmazine</w:t>
            </w:r>
          </w:p>
        </w:tc>
        <w:tc>
          <w:tcPr>
            <w:tcW w:w="624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auto"/>
                <w:w w:val="99"/>
              </w:rPr>
              <w:t>2037</w:t>
            </w:r>
          </w:p>
        </w:tc>
      </w:tr>
      <w:tr>
        <w:trPr>
          <w:trHeight w:val="221"/>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MGD024</w:t>
            </w:r>
          </w:p>
        </w:tc>
        <w:tc>
          <w:tcPr>
            <w:tcW w:w="6240" w:type="dxa"/>
            <w:vAlign w:val="bottom"/>
          </w:tcPr>
          <w:p>
            <w:pPr>
              <w:jc w:val="center"/>
              <w:ind w:left="293"/>
              <w:spacing w:after="0"/>
              <w:rPr>
                <w:sz w:val="20"/>
                <w:szCs w:val="20"/>
                <w:color w:val="auto"/>
              </w:rPr>
            </w:pPr>
            <w:r>
              <w:rPr>
                <w:rFonts w:ascii="Times New Roman" w:cs="Times New Roman" w:eastAsia="Times New Roman" w:hAnsi="Times New Roman"/>
                <w:sz w:val="17"/>
                <w:szCs w:val="17"/>
                <w:color w:val="auto"/>
                <w:w w:val="99"/>
              </w:rPr>
              <w:t>2039</w:t>
            </w:r>
          </w:p>
        </w:tc>
      </w:tr>
      <w:tr>
        <w:trPr>
          <w:trHeight w:val="221"/>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MGC026</w:t>
            </w:r>
          </w:p>
        </w:tc>
        <w:tc>
          <w:tcPr>
            <w:tcW w:w="624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auto"/>
              </w:rPr>
              <w:t>2044*</w:t>
            </w:r>
          </w:p>
        </w:tc>
      </w:tr>
      <w:tr>
        <w:trPr>
          <w:trHeight w:val="227"/>
        </w:trPr>
        <w:tc>
          <w:tcPr>
            <w:tcW w:w="50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MGC028</w:t>
            </w:r>
          </w:p>
        </w:tc>
        <w:tc>
          <w:tcPr>
            <w:tcW w:w="6240" w:type="dxa"/>
            <w:vAlign w:val="bottom"/>
          </w:tcPr>
          <w:p>
            <w:pPr>
              <w:jc w:val="center"/>
              <w:ind w:left="313"/>
              <w:spacing w:after="0"/>
              <w:rPr>
                <w:sz w:val="20"/>
                <w:szCs w:val="20"/>
                <w:color w:val="auto"/>
              </w:rPr>
            </w:pPr>
            <w:r>
              <w:rPr>
                <w:rFonts w:ascii="Times New Roman" w:cs="Times New Roman" w:eastAsia="Times New Roman" w:hAnsi="Times New Roman"/>
                <w:sz w:val="17"/>
                <w:szCs w:val="17"/>
                <w:color w:val="auto"/>
              </w:rPr>
              <w:t>2045*</w:t>
            </w: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pending</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Patent Term Extension and Reference Product Exclusivity</w:t>
      </w:r>
    </w:p>
    <w:p>
      <w:pPr>
        <w:spacing w:after="0" w:line="173"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The Hatch-Waxman Act permits a patent term extension for FDA-approved drugs, including biological products, of up to five years beyond the expiration of the patent. The length of the patent term extension is related to the length of time the drug is under regulatory review. Patent extension cannot extend the remaining term of a patent beyond a total of 14 years from the date of product approval and only one patent applicable to an approved drug may be extended. Similar provisions are available in Europe and other jurisdictions to extend the term of a patent that covers an approved drug. If and when our pharmaceutical product candidates receive FDA approval, we expect to apply, or have applied, for patent term extensions on patents covering those products. We intend to seek, and are seeking, patent term extensions to our issued patents in any jurisdiction where these are available. For example, we have submitted a request to obtain patent term extension of U.S. Patent No. 10,577,422, the primary composition of matter of retifanlimab. However, there is no guarantee that the applicable authorities, including the FDA in the United States, will agree with our assessment of whether such extensions should be granted, and even if granted, the length of such extensions.</w:t>
      </w:r>
    </w:p>
    <w:p>
      <w:pPr>
        <w:spacing w:after="0" w:line="204" w:lineRule="exact"/>
        <w:rPr>
          <w:sz w:val="20"/>
          <w:szCs w:val="20"/>
          <w:color w:val="auto"/>
        </w:rPr>
      </w:pPr>
    </w:p>
    <w:p>
      <w:pPr>
        <w:ind w:right="80" w:firstLine="625"/>
        <w:spacing w:after="0" w:line="260" w:lineRule="auto"/>
        <w:rPr>
          <w:sz w:val="20"/>
          <w:szCs w:val="20"/>
          <w:color w:val="auto"/>
        </w:rPr>
      </w:pPr>
      <w:r>
        <w:rPr>
          <w:rFonts w:ascii="Times New Roman" w:cs="Times New Roman" w:eastAsia="Times New Roman" w:hAnsi="Times New Roman"/>
          <w:sz w:val="17"/>
          <w:szCs w:val="17"/>
          <w:color w:val="auto"/>
        </w:rPr>
        <w:t>The Patient Protection and Affordable Care Act, as amended by the Healthcare and Education Affordability Reconciliation Act (collectively the ACA) created a regulatory scheme authorizing the FDA to approve biosimilars via an abbreviated licensure pathway. In many cases, this allows biosimilars to be brought to market without conducting the full suite of clinical trials typically required of originators. Under the ACA, a manufacturer may submit an application for licensure of a biologic product that is "biosimilar to" or "interchangeable with" a previously approved biological product or "reference product." The "biosimilar" application must include specific information demonstrating biosimilarity based on data derived from: (1) analytical studies, (2) animal studies, and</w:t>
      </w:r>
    </w:p>
    <w:p>
      <w:pPr>
        <w:spacing w:after="0" w:line="1" w:lineRule="exact"/>
        <w:rPr>
          <w:sz w:val="20"/>
          <w:szCs w:val="20"/>
          <w:color w:val="auto"/>
        </w:rPr>
      </w:pPr>
    </w:p>
    <w:p>
      <w:pPr>
        <w:ind w:right="40" w:firstLine="4"/>
        <w:spacing w:after="0" w:line="258" w:lineRule="auto"/>
        <w:tabs>
          <w:tab w:leader="none" w:pos="24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clinical study or studies that are sufficient to demonstrate safety, purity, and potency in one or more appropriate conditions of use for which the reference product is licensed, except that FDA may waive some of these requirements for a given application. Under this new statutory scheme, an application for a biosimilar product may not be submitted to the FDA until four years after the date of first licensure. The FDA may not approve a biosimilar product until 12 years from the date on which the reference product was first licensed. The law does not change the duration of patents granted on biological products. Even if a product is considered to be a reference product eligible for exclusivity, another company could market a competing version of that product if the FDA approves a full biologics license application (BLA) for such product containing the sponsor's own preclinical data and data from adequate and well-controlled clinical trials to demonstrate the safety, purity and potency of their product. There have been persistent proposals to repeal or modify the ACA and it is uncertain how any of those proposals, if in the future approved, would affect these provisions.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7"/>
          <w:szCs w:val="17"/>
          <w:b w:val="1"/>
          <w:bCs w:val="1"/>
          <w:i w:val="1"/>
          <w:iCs w:val="1"/>
          <w:color w:val="auto"/>
        </w:rPr>
        <w:t>Trade Secrets</w:t>
      </w:r>
    </w:p>
    <w:p>
      <w:pPr>
        <w:spacing w:after="0" w:line="251" w:lineRule="exact"/>
        <w:rPr>
          <w:sz w:val="20"/>
          <w:szCs w:val="20"/>
          <w:color w:val="auto"/>
        </w:rPr>
      </w:pPr>
    </w:p>
    <w:p>
      <w:pPr>
        <w:ind w:right="20" w:firstLine="625"/>
        <w:spacing w:after="0" w:line="259" w:lineRule="auto"/>
        <w:rPr>
          <w:sz w:val="20"/>
          <w:szCs w:val="20"/>
          <w:color w:val="auto"/>
        </w:rPr>
      </w:pPr>
      <w:r>
        <w:rPr>
          <w:rFonts w:ascii="Times New Roman" w:cs="Times New Roman" w:eastAsia="Times New Roman" w:hAnsi="Times New Roman"/>
          <w:sz w:val="17"/>
          <w:szCs w:val="17"/>
          <w:color w:val="auto"/>
        </w:rPr>
        <w:t>We also rely on trade secret protection for our confidential and proprietary information. Although we take steps to protect our proprietary information and trade secrets, including through contractual means with our employees and consultants, third parties may independently develop substantially equivalent proprietary information and techniques or otherwise gain access to our trade secrets or disclose our technology. Thus, we may not be able to meaningfully protect our trade secrets. It is our policy to require our employees, consultants, outside scientific collaborators, sponsored researchers and other advisors to enter into agreements with confidentiality terms prior to sharing any of our proprietary and confidential information with them. These agreements provide that all confidential information concerning our business or financial affairs developed or made known to the individual during the course of the individual's relationship with us is to be kept confidential and not disclosed to third parties except in specific circumstances. In the case of employees, the agreements provide that all inventions made, conceived, created or reduced to practice by the individual, and which are related to our current or planned business or research and development or made during normal working hours, on our premises or using our equipment or proprietary information, are our exclusive property. In many cases our agreements with consultants, outside scientific collaborators, sponsored researchers and other advisors require them to assign or grant us licenses to inventions they invent as a result the work or services they render under such agreements or grant us an option to negotiate a license to use such inventions.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In-Licensed Intellectual Property</w:t>
      </w:r>
    </w:p>
    <w:p>
      <w:pPr>
        <w:spacing w:after="0" w:line="251"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We have entered into patent and know-how license agreements that grant us the rights to use certain technologies related to biological manufacturing for our commercial and clinical product candidates such as, but not limited to, technology related to the conjugation of cytotoxic payloads to our antibody molecules. We anticipate using these technologies for future product candidates. These licensors have businesses dedicated to licensing this type of technology and we anticipate that licenses to use these technologies for our future products will be available. The licenses typically include yearly maintenance payments and sales royalties, and may also include upfront payments or milestone payments.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w:t>
      </w:r>
    </w:p>
    <w:p>
      <w:pPr>
        <w:spacing w:after="0" w:line="249"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We currently manufacture drug substance for most of our clinical trials at our manufacturing facility located in Rockville, Maryland. We also rely on our licensees and contract manufacturers, including Byondis, Synaffix and Millipore Sigma, for producing components of our ADC candidates. We have an FDA-approved commercial manufacturing site at 9704 Medical Center Drive in Rockville, Maryland for the manufacture of MARGENZA and ZYNYZ drug substance. We commercially produce MARGENZA and ZYNYZ for TerSera and Incyte, respectively, and intend to commercially produce any of our product candidates when, and if approved, by the FDA. In addition, we currently rely on and will continue to rely on contract fill-finish service providers, primarily Ajinomoto Bio-Pharma Services, BSP Pharmaceuticals, and Simtra BioPharma Solutions, to fulfill our fill-finish needs for our current and future product candidates.</w:t>
      </w:r>
    </w:p>
    <w:p>
      <w:pPr>
        <w:spacing w:after="0" w:line="200" w:lineRule="exact"/>
        <w:rPr>
          <w:sz w:val="20"/>
          <w:szCs w:val="20"/>
          <w:color w:val="auto"/>
        </w:rPr>
      </w:pPr>
    </w:p>
    <w:p>
      <w:pPr>
        <w:spacing w:after="0" w:line="213" w:lineRule="exact"/>
        <w:rPr>
          <w:sz w:val="20"/>
          <w:szCs w:val="20"/>
          <w:color w:val="auto"/>
        </w:rPr>
      </w:pPr>
    </w:p>
    <w:p>
      <w:pPr>
        <w:ind w:right="160" w:firstLine="625"/>
        <w:spacing w:after="0" w:line="265" w:lineRule="auto"/>
        <w:rPr>
          <w:sz w:val="20"/>
          <w:szCs w:val="20"/>
          <w:color w:val="auto"/>
        </w:rPr>
      </w:pPr>
      <w:r>
        <w:rPr>
          <w:rFonts w:ascii="Times New Roman" w:cs="Times New Roman" w:eastAsia="Times New Roman" w:hAnsi="Times New Roman"/>
          <w:sz w:val="17"/>
          <w:szCs w:val="17"/>
          <w:color w:val="auto"/>
        </w:rPr>
        <w:t>Most of the principal materials we use in our manufacturing operations are available from more than one source. However, we obtain certain raw materials principally from only one source. In the event one of these suppliers was unable to provide the materials or product, we generally seek to maintain sufficient inventory to supply the market until an alternative source of supply can be implemented. However, in the event of an extended failure of a supplier or general national supply chain disruption, it is possible that we could experience an interruption in supply until we established new sources or, in some cases, implemented alternative processes.</w:t>
      </w:r>
    </w:p>
    <w:p>
      <w:pPr>
        <w:spacing w:after="0" w:line="197"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Production processes for biological therapeutic products are complex, highly regulated, and vary widely from product to product. Shifting or adding manufacturing capacity can be a very lengthy process requiring significant capital expenditures, process modifications, and regulatory approvals. Accordingly, if we were to experience extended plant shutdowns at our own facility, extended failure of a contract supplier or contract manufacturing organization, or extraordinary unplanned increases in demand, we could experience an interruption in supply of certain products or product shortages until production could be resumed or expanded.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Commercialization</w:t>
      </w:r>
    </w:p>
    <w:p>
      <w:pPr>
        <w:spacing w:after="0" w:line="249" w:lineRule="exact"/>
        <w:rPr>
          <w:sz w:val="20"/>
          <w:szCs w:val="20"/>
          <w:color w:val="auto"/>
        </w:rPr>
      </w:pPr>
    </w:p>
    <w:p>
      <w:pPr>
        <w:ind w:right="180" w:firstLine="625"/>
        <w:spacing w:after="0" w:line="265" w:lineRule="auto"/>
        <w:rPr>
          <w:sz w:val="20"/>
          <w:szCs w:val="20"/>
          <w:color w:val="auto"/>
        </w:rPr>
      </w:pPr>
      <w:r>
        <w:rPr>
          <w:rFonts w:ascii="Times New Roman" w:cs="Times New Roman" w:eastAsia="Times New Roman" w:hAnsi="Times New Roman"/>
          <w:sz w:val="17"/>
          <w:szCs w:val="17"/>
          <w:color w:val="auto"/>
        </w:rPr>
        <w:t>Of the three products that originated from our pipeline and for which U.S. approval for commercialization has been received, MARGENZA was the only product for which we retained the majority of commercial rights, until we sold global rights to MARGENZA to TerSera in November 2024. In November 2020, we partnered with Eversana, a pioneer of next-generation commercial services to the global life sciences industry, to commercialize margetuximab in the U.S. by leveraging their integrated commercial services. Under the terms of the Eversana agreement, we maintained ownership of margetuximab, including all manufacturing, regulatory and development responsibilities for the product. Eversana received a co-exclusive right</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15" w:name="page16"/>
    <w:bookmarkEnd w:id="15"/>
    <w:p>
      <w:pPr>
        <w:ind w:right="140"/>
        <w:spacing w:after="0" w:line="265" w:lineRule="auto"/>
        <w:rPr>
          <w:sz w:val="20"/>
          <w:szCs w:val="20"/>
          <w:color w:val="auto"/>
        </w:rPr>
      </w:pPr>
      <w:r>
        <w:rPr>
          <w:rFonts w:ascii="Times New Roman" w:cs="Times New Roman" w:eastAsia="Times New Roman" w:hAnsi="Times New Roman"/>
          <w:sz w:val="17"/>
          <w:szCs w:val="17"/>
          <w:color w:val="auto"/>
        </w:rPr>
        <w:t>to conduct approved commercialization activities. Eversana utilized its internal capabilities to support marketing, channel management services, medical affairs and other commercial and patient access related services; we booked MARGENZA sales. We and Eversana equally shared in funding Eversana’s commercialization expenses. In exchange for co-funding these expenses, Eversana was eligible to earn future revenue share payments which were capped at 125% of Eversana’s cumulative service fees. The term of the agreement was five years following the date of FDA approval, subject to predefined termination provisions. Pursuant to the sale of MARGENZA to TerSera, we paid Eversana an amendment fee.</w:t>
      </w:r>
    </w:p>
    <w:p>
      <w:pPr>
        <w:spacing w:after="0" w:line="197"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For our product candidates, we cannot market or promote a new product in a country until a marketing application has been approved by the appropriate regulatory authority for that jurisdiction. Subject to receiving marketing authorization in a jurisdiction, we believe we will be able to commercialize in that market through arrangements with third-party commercial partners. If we are unable to enter into third-party commercial arrangements for our product candidates that may be approved in the future, with respect to the United States we believe that we could potentially build the capabilities to commercialize our approved product or products. Outside the United States, our strategy is to enter into arrangements with third-party commercial partners for any of our product candidates that obtain marketing approval.</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Competition</w:t>
      </w:r>
    </w:p>
    <w:p>
      <w:pPr>
        <w:spacing w:after="0" w:line="171" w:lineRule="exact"/>
        <w:rPr>
          <w:sz w:val="20"/>
          <w:szCs w:val="20"/>
          <w:color w:val="auto"/>
        </w:rPr>
      </w:pPr>
    </w:p>
    <w:p>
      <w:pPr>
        <w:jc w:val="both"/>
        <w:ind w:right="600" w:firstLine="625"/>
        <w:spacing w:after="0" w:line="274" w:lineRule="auto"/>
        <w:rPr>
          <w:sz w:val="20"/>
          <w:szCs w:val="20"/>
          <w:color w:val="auto"/>
        </w:rPr>
      </w:pPr>
      <w:r>
        <w:rPr>
          <w:rFonts w:ascii="Times New Roman" w:cs="Times New Roman" w:eastAsia="Times New Roman" w:hAnsi="Times New Roman"/>
          <w:sz w:val="17"/>
          <w:szCs w:val="17"/>
          <w:color w:val="auto"/>
        </w:rPr>
        <w:t>There are a large number of companies developing or marketing treatments for cancer, including many major pharmaceutical and biotechnology companies. These treatments consist both of small molecule drug products, as well as biologic therapeutics that work by using next-generation antibody technology platforms to address specific cancer targets.</w:t>
      </w:r>
    </w:p>
    <w:p>
      <w:pPr>
        <w:spacing w:after="0" w:line="112"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In particular, we are developing a PD-1 and CTLA-4 directed DART molecule, which if successful, will likely face significant competition both by therapeutics that are already being marketed as well as those that will be approved for marketing before our program. The bispecific immuno-oncology field targeting PD-1 and CTLA-4 has several competitors, with treatments currently approved in China or in development for various tumor types and patient populations. Akeso, Inc., AstraZeneca plc (AstraZeneca), Jiangsu Alphamab Biopharmaceuticals Co., Ltd., and Xencor, Inc. (Xencor) have anti-PD-1 or anti-PD-L1 and CTLA-4 bispecific antibodies in clinical development, all of which would compete with our PD-1 and CTLA-4 DART program and have significantly greater resources than we do.</w:t>
      </w:r>
    </w:p>
    <w:p>
      <w:pPr>
        <w:spacing w:after="0" w:line="199"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In addition, several of our product candidates in clinical development are ADCs and many companies have ADC therapeutics in development. Such companies include Abbvie Inc. (Abbvie), AstraZeneca, in collaboration with its partner, Daiichi Sankyo Company, Ltd (Daiichi), BeOne Medicines, BioNTech SE (BioNTech), in collaboration with its partner, Duality Biologics Co. Ltd., Genmab A/S (Genmab), GSK plc, in collaboration with its partner, Hansoh Pharmaceutical Group Company Ltd, Innovent Biologics Co., Ltd., Merck &amp; Co., Inc., in collaboration with its partner, Daiichi and Pfizer Inc. These companies have significantly greater resources than we do.</w:t>
      </w:r>
    </w:p>
    <w:p>
      <w:pPr>
        <w:spacing w:after="0" w:line="197" w:lineRule="exact"/>
        <w:rPr>
          <w:sz w:val="20"/>
          <w:szCs w:val="20"/>
          <w:color w:val="auto"/>
        </w:rPr>
      </w:pPr>
    </w:p>
    <w:p>
      <w:pPr>
        <w:ind w:right="200" w:firstLine="625"/>
        <w:spacing w:after="0" w:line="263" w:lineRule="auto"/>
        <w:rPr>
          <w:sz w:val="20"/>
          <w:szCs w:val="20"/>
          <w:color w:val="auto"/>
        </w:rPr>
      </w:pPr>
      <w:r>
        <w:rPr>
          <w:rFonts w:ascii="Times New Roman" w:cs="Times New Roman" w:eastAsia="Times New Roman" w:hAnsi="Times New Roman"/>
          <w:sz w:val="17"/>
          <w:szCs w:val="17"/>
          <w:color w:val="auto"/>
        </w:rPr>
        <w:t>Further, several companies are also developing therapeutics that work by targeting multiple specificities using a single recombinant molecule. Amgen Inc. has obtained marketing approval for one product that works by targeting antigens both on immune effector cell populations and those expressed on certain cancer cells, and has other product candidates in development that use this mechanism. In addition, other companies are developing new treatments for cancer that utilize multi-specific approaches, including Abbvie, Affimed N.V., AstraZeneca, BioNTech, Eli Lilly and Company, F. Hoffmann-La Roche Ltd and Hoffmann-La Roche Inc., particularly through its affiliate, Genentech, Inc., Genmab A/S, Johnson &amp; Johnson Services, Inc., Merus B.V., Regeneron Pharmaceuticals, Inc., Xencor and Zymeworks, Inc.</w:t>
      </w:r>
    </w:p>
    <w:p>
      <w:pPr>
        <w:spacing w:after="0" w:line="199"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Finally, our competition in the contract development and manufacturing organization (CDMO) service market includes a number of full-service contract manufacturers and large pharmaceutical companies offering third-party development and manufacturing services to fill their excess capacity. Large pharmaceutical companies have been seeking to divest portions of their manufacturing capacity, and any such divested businesses may compete with us in the future. In addition, most of our competitors have substantially greater financial, marketing, technical or other resources than we do.</w:t>
      </w:r>
    </w:p>
    <w:p>
      <w:pPr>
        <w:spacing w:after="0" w:line="195" w:lineRule="exact"/>
        <w:rPr>
          <w:sz w:val="20"/>
          <w:szCs w:val="20"/>
          <w:color w:val="auto"/>
        </w:rPr>
      </w:pPr>
    </w:p>
    <w:p>
      <w:pPr>
        <w:ind w:right="100" w:firstLine="625"/>
        <w:spacing w:after="0" w:line="265" w:lineRule="auto"/>
        <w:rPr>
          <w:sz w:val="20"/>
          <w:szCs w:val="20"/>
          <w:color w:val="auto"/>
        </w:rPr>
      </w:pPr>
      <w:r>
        <w:rPr>
          <w:rFonts w:ascii="Times New Roman" w:cs="Times New Roman" w:eastAsia="Times New Roman" w:hAnsi="Times New Roman"/>
          <w:sz w:val="17"/>
          <w:szCs w:val="17"/>
          <w:color w:val="auto"/>
        </w:rPr>
        <w:t>Many of our competitors have significantly greater financial, manufacturing, marketing, drug development, technical and human resources than we do. Mergers and acquisitions in the pharmaceutical, biotechnology and diagnostic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top qualified scientific and management personnel and establishing clinical trial sites and patient registration for clinical trials, as well as in acquiring technologies complementary to, or necessary for, our programs.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6" w:name="page17"/>
    <w:bookmarkEnd w:id="16"/>
    <w:p>
      <w:pPr>
        <w:ind w:right="180" w:firstLine="625"/>
        <w:spacing w:after="0" w:line="265" w:lineRule="auto"/>
        <w:rPr>
          <w:sz w:val="20"/>
          <w:szCs w:val="20"/>
          <w:color w:val="auto"/>
        </w:rPr>
      </w:pPr>
      <w:r>
        <w:rPr>
          <w:rFonts w:ascii="Times New Roman" w:cs="Times New Roman" w:eastAsia="Times New Roman" w:hAnsi="Times New Roman"/>
          <w:sz w:val="17"/>
          <w:szCs w:val="17"/>
          <w:color w:val="auto"/>
        </w:rPr>
        <w:t>The key competitive factors affecting the success of all our therapeutic product candidates, if approved, are likely to be their efficacy, safety, dosing convenience, price, the effectiveness of companion diagnostics in guiding the use of related therapeutics, the level of generic or biosimilar competition and the availability of reimbursement from government and other third-party payors. In addition, the standard of medical care provided to cancer patients continues to evolve as more scientific and medical information becomes available. These changes in medical care relate to pharmaceutical products, but are also affected by other factors, and such changes can positively or negatively affect the prospects of our product candidates as well as those of our competitors.</w:t>
      </w:r>
    </w:p>
    <w:p>
      <w:pPr>
        <w:spacing w:after="0" w:line="197" w:lineRule="exact"/>
        <w:rPr>
          <w:sz w:val="20"/>
          <w:szCs w:val="20"/>
          <w:color w:val="auto"/>
        </w:rPr>
      </w:pPr>
    </w:p>
    <w:p>
      <w:pPr>
        <w:ind w:right="100" w:firstLine="625"/>
        <w:spacing w:after="0" w:line="263" w:lineRule="auto"/>
        <w:rPr>
          <w:sz w:val="20"/>
          <w:szCs w:val="20"/>
          <w:color w:val="auto"/>
        </w:rPr>
      </w:pPr>
      <w:r>
        <w:rPr>
          <w:rFonts w:ascii="Times New Roman" w:cs="Times New Roman" w:eastAsia="Times New Roman" w:hAnsi="Times New Roman"/>
          <w:sz w:val="17"/>
          <w:szCs w:val="17"/>
          <w:color w:val="auto"/>
        </w:rPr>
        <w:t>Our commercial opportunity for our product candidates could be reduced or eliminated if our competitors develop and commercialize products that are more effective, have fewer or less severe effects, are more convenient or are less expensive than any products that we may develop, or the standards of care for cancer patients change while our clinical trials are ongoing.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third-party payors seeking to encourage the use of biosimilar products. Biosimilar products are expected to become available over the coming years. For example, trastuzumab biosimilars have been approved in the U.S. by the FDA.</w:t>
      </w:r>
    </w:p>
    <w:p>
      <w:pPr>
        <w:spacing w:after="0" w:line="199"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The most common methods of treating patients with cancer are surgery, radiation and drug therapy. There are a variety of available drug therapies marketed for cancer. Many of these approved drugs are well established therapies and are widely accepted by physicians, patients and third-party payors. In many cases, these drugs are administered in combination to enhance efficacy. The treatment landscape for cancer is complex due to the sequential order in which oncology drugs are administered. Initially, first-line treatments are prescribed, followed by second-line treatments when the first no longer yields results, and so on with third-line treatments and beyond. While our product candidates may compete with many existing drug and other therapies, to the extent an approved drug is ultimately used in combination with or as an adjunct to these therapies, our product candidates will not be competitive with the approved drug.</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Government Regulation and Product Approval</w:t>
      </w:r>
    </w:p>
    <w:p>
      <w:pPr>
        <w:spacing w:after="0" w:line="171" w:lineRule="exact"/>
        <w:rPr>
          <w:sz w:val="20"/>
          <w:szCs w:val="20"/>
          <w:color w:val="auto"/>
        </w:rPr>
      </w:pPr>
    </w:p>
    <w:p>
      <w:pPr>
        <w:ind w:right="100" w:firstLine="625"/>
        <w:spacing w:after="0" w:line="267" w:lineRule="auto"/>
        <w:rPr>
          <w:sz w:val="20"/>
          <w:szCs w:val="20"/>
          <w:color w:val="auto"/>
        </w:rPr>
      </w:pPr>
      <w:r>
        <w:rPr>
          <w:rFonts w:ascii="Times New Roman" w:cs="Times New Roman" w:eastAsia="Times New Roman" w:hAnsi="Times New Roman"/>
          <w:sz w:val="17"/>
          <w:szCs w:val="17"/>
          <w:color w:val="auto"/>
        </w:rPr>
        <w:t>Government authorities in the United States, at the federal, state and local level, and in other countries extensively regulate, among other things, the research, development, testing, manufacture, packaging, storage, recordkeeping, labeling, advertising, promotion, distribution, pricing, reimbursement, marketing, import and export of pharmaceutical products such as those we are developing. The processes for obtaining regulatory approvals in the United States and in foreign countries, along with subsequent compliance with applicable statutes and regulations, require the expenditure of substantial time and financial resources.</w:t>
      </w:r>
    </w:p>
    <w:p>
      <w:pPr>
        <w:spacing w:after="0" w:line="3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FDA Regulation</w:t>
      </w:r>
    </w:p>
    <w:p>
      <w:pPr>
        <w:spacing w:after="0" w:line="173"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All of our current product candidates are subject to regulation in the United States by the FDA as biological products (biologics). The FDA subjects biologics to extensive pre- and post-market regulation. The Public Health Service Act, the Federal Food, Drug, and Cosmetic Act (FDCA) and other federal and state statutes and regulations, govern, among other things, the research, development, testing, manufacture, storage, recordkeeping, approval, labeling, promotion and marketing, distribution, post-approval monitoring and reporting, sampling, and import and export of biologics. Failure to comply with applicable U.S. requirements may subject a company to a variety of administrative or judicial sanctions, such as FDA refusal to approve pending BLAs, withdrawal of approvals, clinical holds, warning letters, product recalls, product seizures, total or partial suspension of production or distribution, injunctions, fines, civil penalties, or criminal penalties.</w:t>
      </w:r>
    </w:p>
    <w:p>
      <w:pPr>
        <w:spacing w:after="0" w:line="119" w:lineRule="exact"/>
        <w:rPr>
          <w:sz w:val="20"/>
          <w:szCs w:val="20"/>
          <w:color w:val="auto"/>
        </w:rPr>
      </w:pPr>
    </w:p>
    <w:p>
      <w:pPr>
        <w:ind w:right="60" w:firstLine="625"/>
        <w:spacing w:after="0" w:line="260" w:lineRule="auto"/>
        <w:rPr>
          <w:sz w:val="20"/>
          <w:szCs w:val="20"/>
          <w:color w:val="auto"/>
        </w:rPr>
      </w:pPr>
      <w:r>
        <w:rPr>
          <w:rFonts w:ascii="Times New Roman" w:cs="Times New Roman" w:eastAsia="Times New Roman" w:hAnsi="Times New Roman"/>
          <w:sz w:val="17"/>
          <w:szCs w:val="17"/>
          <w:i w:val="1"/>
          <w:iCs w:val="1"/>
          <w:color w:val="auto"/>
        </w:rPr>
        <w:t>Preclinical Studies</w:t>
      </w:r>
      <w:r>
        <w:rPr>
          <w:rFonts w:ascii="Times New Roman" w:cs="Times New Roman" w:eastAsia="Times New Roman" w:hAnsi="Times New Roman"/>
          <w:sz w:val="17"/>
          <w:szCs w:val="17"/>
          <w:color w:val="auto"/>
        </w:rPr>
        <w:t>. Preclinical studies include laboratory evaluation of product chemistry, formulation and toxicity, pharmacology, as well as animal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trials to assess the characteristics and potential safety and efficacy of the product. The conduct of the preclinical tests must comply with federal regulations and requirements including the FDA's good laboratory practice (GLP) regulations and the U.S. Department of Agriculture's regulations implementing the Animal Welfare Act. After laboratory analysis and preclinical testing in animals, we file an IND application with the FDA to begin human testing. An IND sponsor must submit the results of the preclinical tests, together with manufacturing information, analytical data, any available clinical data or literature, and a proposed clinical trial protocol, among other things, to the FDA as part of an IND application. Certain preclinical tests, such as animal tests of reproductive toxicity and carcinogenicity, may continue even after the IND application is submitted. An IND application automatically becomes effective 30 days after receipt by the FDA, unless before that time the FDA raises concerns or questions related to one or more proposed clinical trials and places the clinical trial on a clinical hold or agrees on an alternate approach with us. In such a case, the IND sponsor and the FDA must resolve any outstanding concerns before the IND application is cleared and the clinical trial can begin. As a result, submission of an IND application may not result in the FDA allowing clinical trials to commence.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7" w:name="page18"/>
    <w:bookmarkEnd w:id="17"/>
    <w:p>
      <w:pPr>
        <w:ind w:firstLine="625"/>
        <w:spacing w:after="0" w:line="259" w:lineRule="auto"/>
        <w:rPr>
          <w:sz w:val="20"/>
          <w:szCs w:val="20"/>
          <w:color w:val="auto"/>
        </w:rPr>
      </w:pPr>
      <w:r>
        <w:rPr>
          <w:rFonts w:ascii="Times New Roman" w:cs="Times New Roman" w:eastAsia="Times New Roman" w:hAnsi="Times New Roman"/>
          <w:sz w:val="17"/>
          <w:szCs w:val="17"/>
          <w:i w:val="1"/>
          <w:iCs w:val="1"/>
          <w:color w:val="auto"/>
        </w:rPr>
        <w:t>Clinical Development</w:t>
      </w:r>
      <w:r>
        <w:rPr>
          <w:rFonts w:ascii="Times New Roman" w:cs="Times New Roman" w:eastAsia="Times New Roman" w:hAnsi="Times New Roman"/>
          <w:sz w:val="17"/>
          <w:szCs w:val="17"/>
          <w:color w:val="auto"/>
        </w:rPr>
        <w:t>. Clinical trials involve the administration of the investigational drug to human subjects (healthy volunteers or patients) under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supervision of a qualified investigator. Clinical trials must be conducted: (i) in compliance with all applicable federal regulations and guidance, including those pertaining to good clinical practice (GCP) standards that are meant to protect the rights, safety, and welfare of human subjects and to define the roles of clinical trial sponsors, investigators, and monitors; as well as (ii) under protocols detailing, among other things, the objectives of the trial, the parameters to be used in monitoring safety, and the effectiveness criteria to be evaluated. Each protocol involving testing of a new drug in the United States (whether in patients or healthy volunteers) must be included in the IND application submission, and the FDA must be notified of subsequent protocol amendments. In addition, the protocol must be reviewed and approved by an institutional review board (IRB) and all study subjects must provide informed consent prior to participating in the study. Typically, each institution participating in the clinical trial will require review of the protocol before any clinical trial commences at that institution. Information about certain clinical trials must be submitted within specific timeframes to NIH for public dissemination on their ClinicalTrials.gov website. Progress reports detailing the results of the clinical trials must be submitted at least annually to the FDA and there are additional, more frequent reporting requirements for suspected unexpected serious adverse events.</w:t>
      </w:r>
    </w:p>
    <w:p>
      <w:pPr>
        <w:spacing w:after="0" w:line="130" w:lineRule="exact"/>
        <w:rPr>
          <w:sz w:val="20"/>
          <w:szCs w:val="20"/>
          <w:color w:val="auto"/>
        </w:rPr>
      </w:pPr>
    </w:p>
    <w:p>
      <w:pPr>
        <w:ind w:right="100" w:firstLine="625"/>
        <w:spacing w:after="0" w:line="268" w:lineRule="auto"/>
        <w:rPr>
          <w:sz w:val="20"/>
          <w:szCs w:val="20"/>
          <w:color w:val="auto"/>
        </w:rPr>
      </w:pPr>
      <w:r>
        <w:rPr>
          <w:rFonts w:ascii="Times New Roman" w:cs="Times New Roman" w:eastAsia="Times New Roman" w:hAnsi="Times New Roman"/>
          <w:sz w:val="17"/>
          <w:szCs w:val="17"/>
          <w:color w:val="auto"/>
        </w:rPr>
        <w:t>A study sponsor might choose to discontinue a clinical trial or a clinical development program for a variety of reasons. In addition, the FDA may impose a temporary or permanent clinical hold, or other sanctions, if it believes that the clinical trial either is not being conducted in accordance with FDA requirements or presents an unacceptable risk to the clinical trial subjects. An IRB may also require the clinical trial at the site to be halted, either temporarily or permanently, for failure to comply with the IRB's requirements, or may impose other conditions.</w:t>
      </w:r>
    </w:p>
    <w:p>
      <w:pPr>
        <w:spacing w:after="0" w:line="117"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Clinical trials to support BLAs for marketing approval are typically conducted in three pre-approval phases, but the phases may overlap or be combined, particularly in testing for oncology indications. In Phase 1, testing is conducted in a small group of subjects who may be patients with the target disease or condition or healthy volunteers, to evaluate its safety, determine a safe dosage range, and identify side effects. In Phase 2, the drug is given to a larger group of subjects with the target condition to further evaluate its safety and gather preliminary evidence of efficacy. Phase 3 studies typically last multiple years for oncology indications. In Phase 3, the drug is given to a large group of subjects with the target disease or condition (several hundred to several thousand), often at multiple geographical sites, to confirm its effectiveness, monitor side effects, and collect data to support drug approval. In some cases, the FDA may require post-market studies, known as Phase 4 studies, to be conducted as a condition of approval in order to gather additional information on the drug's effect in various populations and any side effects associated with long-term use. Depending on the risks posed by the drugs, other post-market requirements may be imposed. Only a small percentage of investigational drugs complete all three phases and obtain marketing approval.</w:t>
      </w:r>
    </w:p>
    <w:p>
      <w:pPr>
        <w:spacing w:after="0" w:line="124" w:lineRule="exact"/>
        <w:rPr>
          <w:sz w:val="20"/>
          <w:szCs w:val="20"/>
          <w:color w:val="auto"/>
        </w:rPr>
      </w:pPr>
    </w:p>
    <w:p>
      <w:pPr>
        <w:ind w:right="160" w:firstLine="625"/>
        <w:spacing w:after="0" w:line="266" w:lineRule="auto"/>
        <w:rPr>
          <w:sz w:val="20"/>
          <w:szCs w:val="20"/>
          <w:color w:val="auto"/>
        </w:rPr>
      </w:pPr>
      <w:r>
        <w:rPr>
          <w:rFonts w:ascii="Times New Roman" w:cs="Times New Roman" w:eastAsia="Times New Roman" w:hAnsi="Times New Roman"/>
          <w:sz w:val="17"/>
          <w:szCs w:val="17"/>
          <w:i w:val="1"/>
          <w:iCs w:val="1"/>
          <w:color w:val="auto"/>
        </w:rPr>
        <w:t>Product Approval</w:t>
      </w:r>
      <w:r>
        <w:rPr>
          <w:rFonts w:ascii="Times New Roman" w:cs="Times New Roman" w:eastAsia="Times New Roman" w:hAnsi="Times New Roman"/>
          <w:sz w:val="17"/>
          <w:szCs w:val="17"/>
          <w:color w:val="auto"/>
        </w:rPr>
        <w:t>. After completion of the required clinical testing, a BLA can be prepared and submitted to the FDA. FDA approval of the BLA 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required before marketing of the product may begin in the United States. The BLA must include the results of preclinical, clinical and other testing and a compilation of data relating to the product's chemistry, manufacture and controls. The cost of preparing and submitting a BLA is substantial. Under federal law, the submission of most BLAs is additionally subject to a substantial application user fee, and annual program user fees also apply. These fees are typically increased annually.</w:t>
      </w:r>
    </w:p>
    <w:p>
      <w:pPr>
        <w:spacing w:after="0" w:line="117"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The FDA has 60 days from its receipt of a BLA to determine whether the application will be accepted for filing based on the FDA's threshold determination that it is sufficiently complete to permit substantive review. Once the submission is accepted for filing, the FDA begins a substantive review, and the review period under the Prescription Drug User Fee Act begins. The standard for reviewing a BLA is whether the product is safe, pure and potent, which has been interpreted to include that the product is safe and effective and has a favorable benefit-risk profile. The FDA's current performance goals call for the FDA to complete review of 90 percent of standard (non-priority) BLAs within 10 months of filing and within six months for priority BLAs, which is 12 months and eight months, respectively, if the 60-day review of the initial application is included in the timeline. In addition, the FDA has developed approaches intended to make certain qualifying products available to patients rapidly - Priority Review, Breakthrough Therapy, Accelerated Approval, and Fast Track. While the timelines for approval under these pathways may be shorter, there are requirements and conditions associated with each pathway, and there can be no assurance that any of our investigational products will be able to meet the conditions or requirements necessary to receive any such designation or be able to receive the review or approval benefits associated with such designations.</w:t>
      </w:r>
    </w:p>
    <w:p>
      <w:pPr>
        <w:spacing w:after="0" w:line="122" w:lineRule="exact"/>
        <w:rPr>
          <w:sz w:val="20"/>
          <w:szCs w:val="20"/>
          <w:color w:val="auto"/>
        </w:rPr>
      </w:pPr>
    </w:p>
    <w:p>
      <w:pPr>
        <w:ind w:right="20" w:firstLine="625"/>
        <w:spacing w:after="0" w:line="272" w:lineRule="auto"/>
        <w:rPr>
          <w:sz w:val="20"/>
          <w:szCs w:val="20"/>
          <w:color w:val="auto"/>
        </w:rPr>
      </w:pPr>
      <w:r>
        <w:rPr>
          <w:rFonts w:ascii="Times New Roman" w:cs="Times New Roman" w:eastAsia="Times New Roman" w:hAnsi="Times New Roman"/>
          <w:sz w:val="17"/>
          <w:szCs w:val="17"/>
          <w:color w:val="auto"/>
        </w:rPr>
        <w:t>The FDA may refer applications for novel products or products that present difficult questions of safety or efficacy to an advisory committee, typically a panel that includes outside clinicians and other experts, for review, evaluation and a recommendation as to whether sufficient data exist in the application to support product approval. The FDA is not bound by the recommendation of an advisory committee, but it generally gives significant deference to such recommendations.</w:t>
      </w:r>
    </w:p>
    <w:p>
      <w:pPr>
        <w:spacing w:after="0" w:line="325" w:lineRule="exact"/>
        <w:rPr>
          <w:sz w:val="20"/>
          <w:szCs w:val="20"/>
          <w:color w:val="auto"/>
        </w:rPr>
      </w:pPr>
    </w:p>
    <w:p>
      <w:pPr>
        <w:ind w:right="500" w:firstLine="625"/>
        <w:spacing w:after="0" w:line="294" w:lineRule="auto"/>
        <w:rPr>
          <w:sz w:val="20"/>
          <w:szCs w:val="20"/>
          <w:color w:val="auto"/>
        </w:rPr>
      </w:pPr>
      <w:r>
        <w:rPr>
          <w:rFonts w:ascii="Times New Roman" w:cs="Times New Roman" w:eastAsia="Times New Roman" w:hAnsi="Times New Roman"/>
          <w:sz w:val="17"/>
          <w:szCs w:val="17"/>
          <w:color w:val="auto"/>
        </w:rPr>
        <w:t>Before approving a BLA, the FDA will typically inspect one or more clinical sites and possibly the sponsor itself to assure compliance with GCP. Additionally, the FDA will typically inspect the facility or the facilities at which the drug is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8" w:name="page19"/>
    <w:bookmarkEnd w:id="18"/>
    <w:p>
      <w:pPr>
        <w:ind w:right="360"/>
        <w:spacing w:after="0" w:line="294" w:lineRule="auto"/>
        <w:rPr>
          <w:sz w:val="20"/>
          <w:szCs w:val="20"/>
          <w:color w:val="auto"/>
        </w:rPr>
      </w:pPr>
      <w:r>
        <w:rPr>
          <w:rFonts w:ascii="Times New Roman" w:cs="Times New Roman" w:eastAsia="Times New Roman" w:hAnsi="Times New Roman"/>
          <w:sz w:val="17"/>
          <w:szCs w:val="17"/>
          <w:color w:val="auto"/>
        </w:rPr>
        <w:t>manufactured. The FDA will not approve the product unless compliance with current Good Manufacturing Practices (cGMPs) is satisfactory. The FDA also reviews the proposed labeling submitted with the BLA and typically requires changes in the labeling text.</w:t>
      </w:r>
    </w:p>
    <w:p>
      <w:pPr>
        <w:spacing w:after="0" w:line="94"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After the FDA evaluates the BLA and the manufacturing and testing facilities, it issues either an approval letter or a complete response letter. Complete response letters generally outline the deficiencies in the submission and delineate the additional testing or information needed in order for the FDA to reconsider the application. If and when deficiencies outlined in a complete response letter have been addressed to the FDA's satisfaction in a resubmission of the BLA, the FDA will issue an approval letter. The FDA has committed to reviewing 90 percent of resubmissions within two or six months from receipt depending on the type of information included.</w:t>
      </w:r>
    </w:p>
    <w:p>
      <w:pPr>
        <w:spacing w:after="0" w:line="119"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An approval letter authorizes commercial marketing of the drug for the approved indication or indications and the other conditions of use set out in the approved prescribing information. Once granted, product approvals may be withdrawn if compliance with regulatory standards is not maintained or problems are identified following initial marketing.</w:t>
      </w:r>
    </w:p>
    <w:p>
      <w:pPr>
        <w:spacing w:after="0" w:line="112" w:lineRule="exact"/>
        <w:rPr>
          <w:sz w:val="20"/>
          <w:szCs w:val="20"/>
          <w:color w:val="auto"/>
        </w:rPr>
      </w:pPr>
    </w:p>
    <w:p>
      <w:pPr>
        <w:ind w:right="160" w:firstLine="625"/>
        <w:spacing w:after="0" w:line="265" w:lineRule="auto"/>
        <w:rPr>
          <w:sz w:val="20"/>
          <w:szCs w:val="20"/>
          <w:color w:val="auto"/>
        </w:rPr>
      </w:pPr>
      <w:r>
        <w:rPr>
          <w:rFonts w:ascii="Times New Roman" w:cs="Times New Roman" w:eastAsia="Times New Roman" w:hAnsi="Times New Roman"/>
          <w:sz w:val="17"/>
          <w:szCs w:val="17"/>
          <w:color w:val="auto"/>
        </w:rPr>
        <w:t>As a condition of BLA approval, the FDA may require substantial post-approval testing and surveillance to monitor the drug's safety or efficacy and may impose other conditions, including labeling restrictions that can materially affect the potential market and profitability of the product. As a condition of approval, or after approval, the FDA also may require submission of a risk evaluation and mitigation strategy (REMS) to mitigate any identified or suspected serious risks. The REMS may include medication guides, physician communication plans, assessment plans, and elements to assure safe use, such as restricted distribution methods, patient registries, or other risk minimization tools.</w:t>
      </w:r>
    </w:p>
    <w:p>
      <w:pPr>
        <w:spacing w:after="0" w:line="117" w:lineRule="exact"/>
        <w:rPr>
          <w:sz w:val="20"/>
          <w:szCs w:val="20"/>
          <w:color w:val="auto"/>
        </w:rPr>
      </w:pPr>
    </w:p>
    <w:p>
      <w:pPr>
        <w:ind w:right="40" w:firstLine="625"/>
        <w:spacing w:after="0" w:line="276" w:lineRule="auto"/>
        <w:rPr>
          <w:sz w:val="20"/>
          <w:szCs w:val="20"/>
          <w:color w:val="auto"/>
        </w:rPr>
      </w:pPr>
      <w:r>
        <w:rPr>
          <w:rFonts w:ascii="Times New Roman" w:cs="Times New Roman" w:eastAsia="Times New Roman" w:hAnsi="Times New Roman"/>
          <w:sz w:val="17"/>
          <w:szCs w:val="17"/>
          <w:i w:val="1"/>
          <w:iCs w:val="1"/>
          <w:color w:val="auto"/>
        </w:rPr>
        <w:t>Other U.S. Post-Marketing Regulatory Requirements</w:t>
      </w:r>
      <w:r>
        <w:rPr>
          <w:rFonts w:ascii="Times New Roman" w:cs="Times New Roman" w:eastAsia="Times New Roman" w:hAnsi="Times New Roman"/>
          <w:sz w:val="17"/>
          <w:szCs w:val="17"/>
          <w:color w:val="auto"/>
        </w:rPr>
        <w:t>. Once a BLA is approved, a product will be subject to certain post-approval requirements,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including those relating to advertising, promotion, adverse event reporting, recordkeeping, and cGMPs, as well as registration, listing, and inspection. There also are continuing, annual program user fee requirements for marketed products, as well as new application fees for supplemental applications with clinical data.</w:t>
      </w:r>
    </w:p>
    <w:p>
      <w:pPr>
        <w:spacing w:after="0" w:line="109"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The FDA regulates the content and format of prescription drug labeling, advertising, and promotion, including direct-to-consumer advertising and promotional Internet communications. The FDA also establishes parameters for permissible non-promotional communications between industry and the medical community, including industry-supported scientific and educational activities. The FDA and other agencies actively enforce the laws and regulations prohibiting the promotion for uses not consistent with the approved labeling, and a company that is found to have improperly promoted off-label uses or otherwise not to have met applicable promotion rules may be subject to significant liability under both the FDCA and other statutes, including the False Claims Act. See "Other Healthcare Laws and Compliance Requirements" below for more information.</w:t>
      </w:r>
    </w:p>
    <w:p>
      <w:pPr>
        <w:spacing w:after="0" w:line="121"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color w:val="auto"/>
        </w:rPr>
        <w:t>All aspects of pharmaceutical manufacture must conform to cGMPs after approval. Drug manufacturers and certain of their subcontractors are required to register their establishments with the FDA and certain state agencies, and are subject to periodic unannounced inspections by the FDA during which the FDA inspects manufacturing facilities to assess compliance with cGMPs. Changes to the manufacturing process are strictly regulated and often require prior FDA approval before being implemented. FDA regulations also require investigation and correction of any deviations from cGMPs and impose reporting and documentation requirements upon the sponsor and any third-party manufacturers that the sponsor may decide to use. Accordingly, manufacturers must continue to expend time, money and effort in the areas of production and quality control to maintain compliance with cGMPs.</w:t>
      </w:r>
    </w:p>
    <w:p>
      <w:pPr>
        <w:spacing w:after="0" w:line="121" w:lineRule="exact"/>
        <w:rPr>
          <w:sz w:val="20"/>
          <w:szCs w:val="20"/>
          <w:color w:val="auto"/>
        </w:rPr>
      </w:pPr>
    </w:p>
    <w:p>
      <w:pPr>
        <w:ind w:right="120" w:firstLine="625"/>
        <w:spacing w:after="0" w:line="265" w:lineRule="auto"/>
        <w:rPr>
          <w:sz w:val="20"/>
          <w:szCs w:val="20"/>
          <w:color w:val="auto"/>
        </w:rPr>
      </w:pPr>
      <w:r>
        <w:rPr>
          <w:rFonts w:ascii="Times New Roman" w:cs="Times New Roman" w:eastAsia="Times New Roman" w:hAnsi="Times New Roman"/>
          <w:sz w:val="17"/>
          <w:szCs w:val="17"/>
          <w:color w:val="auto"/>
        </w:rPr>
        <w:t>Products may be marketed only for the approved indications and in accordance with the provisions of the approved labeling. Changes to some of the conditions established in an approved application, including changes in indications, labeling, product formulation or manufacturing processes or facilities, require submission and FDA approval of a new BLA or BLA supplement, in some cases before the change may be implemented. A BLA supplement for a new indication typically requires clinical data similar to that in the original application, and the FDA uses the same procedures and actions in reviewing BLA supplements as it does in reviewing BLAs.</w:t>
      </w:r>
    </w:p>
    <w:p>
      <w:pPr>
        <w:spacing w:after="0" w:line="119"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Manufacturers are subject to requirements for adverse event reporting and submission of periodic reports following FDA approval of a BLA. Later discovery of previously unknown problems with a product, including adverse events of unanticipated severity or frequency, or with manufacturing processes, or failure to comply with regulatory requirements, or failure of Phase 4 studies to meet their specified endpoints, may result in revisions to the approved labeling to add new safety information, the need to conduct additional post-market studies or clinical trials to assess new safety risks, imposition of distribution or other restrictions under a REMS program, or recall of the product and withdrawal of the BLA.</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Noncompliance with post-marketing requirements can result in one or more of the following consequences: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19" w:name="page20"/>
    <w:bookmarkEnd w:id="19"/>
    <w:p>
      <w:pPr>
        <w:ind w:left="940" w:hanging="311"/>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marketing or manufacturing of the product, complete withdrawal of the product from the market or product recalls;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Warning letters;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Holds on post-approval clinical trials;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of the FDA to approve pending BLAs or supplements to approved BLAs, or suspension or revocation of product license approvals;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 or detention, or refusal to permit the import or export of products; or</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or the imposition of civil or criminal penalties.</w:t>
      </w:r>
    </w:p>
    <w:p>
      <w:pPr>
        <w:spacing w:after="0" w:line="169"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In addition, the distribution of prescription pharmaceutical products is subject to the Drug Supply Chain Security Act which sets minimum standards for the registration and regulation of drug distributors by the states.</w:t>
      </w:r>
    </w:p>
    <w:p>
      <w:pPr>
        <w:spacing w:after="0" w:line="92" w:lineRule="exact"/>
        <w:rPr>
          <w:sz w:val="20"/>
          <w:szCs w:val="20"/>
          <w:color w:val="auto"/>
        </w:rPr>
      </w:pPr>
    </w:p>
    <w:p>
      <w:pPr>
        <w:ind w:firstLine="625"/>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Approval of Biosimilars. </w:t>
      </w:r>
      <w:r>
        <w:rPr>
          <w:rFonts w:ascii="Times New Roman" w:cs="Times New Roman" w:eastAsia="Times New Roman" w:hAnsi="Times New Roman"/>
          <w:sz w:val="17"/>
          <w:szCs w:val="17"/>
          <w:color w:val="auto"/>
        </w:rPr>
        <w:t>The ACA authorized the FDA to approve biosimilars via a separate, abbreviated pathway. In many cases, this allows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biosimilars to be brought to market without conducting the full suite of clinical trials typically required of originators. The law establishes a period of 12 years of exclusivity for reference products in order to preserve incentives for future innovation, and outlines statutory criteria for science-based biosimilar approval standards that take into account patient safety considerations. Under this framework, exclusivity protects innovator products by prohibiting others, for a period of 12 years, from being granted FDA approval based in part on reliance on or reference to the innovator's data in their application to the FDA.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Other Healthcare Laws and Compliance Requirements</w:t>
      </w:r>
    </w:p>
    <w:p>
      <w:pPr>
        <w:spacing w:after="0" w:line="173" w:lineRule="exact"/>
        <w:rPr>
          <w:sz w:val="20"/>
          <w:szCs w:val="20"/>
          <w:color w:val="auto"/>
        </w:rPr>
      </w:pPr>
    </w:p>
    <w:p>
      <w:pPr>
        <w:ind w:right="60" w:firstLine="625"/>
        <w:spacing w:after="0" w:line="261" w:lineRule="auto"/>
        <w:rPr>
          <w:sz w:val="20"/>
          <w:szCs w:val="20"/>
          <w:color w:val="auto"/>
        </w:rPr>
      </w:pPr>
      <w:r>
        <w:rPr>
          <w:rFonts w:ascii="Times New Roman" w:cs="Times New Roman" w:eastAsia="Times New Roman" w:hAnsi="Times New Roman"/>
          <w:sz w:val="17"/>
          <w:szCs w:val="17"/>
          <w:color w:val="auto"/>
        </w:rPr>
        <w:t>We may be subject to various federal and state laws pertaining to health care “fraud and abuse,” including anti-kickback and false claims laws, as well as laws related to health care transparency and data protection. Anti-kickback laws generally prohibit a prescription drug manufacturer from soliciting, offering, receiving, or paying any remuneration to generate business, including the purchase or prescription of a particular drug. Although the specific provisions of these laws vary, their scope is generally broad and there may not be regulations, guidance or court decisions that apply the laws to particular industry practices. There is therefore a possibility that such laws may apply and our practices might be challenged under such anti-kickback laws. False claims laws prohibit anyone from knowingly and willingly presenting, or causing to be presented, any claims for payment for reimbursed drugs or services to third-party payors (including Medicare and Medicaid) that are false or fraudulent. Violations of fraud and abuse laws may be punishable by criminal or civil sanctions, including fines and civil monetary penalties, and/or exclusion from federal health care programs (including Medicare and Medicaid).</w:t>
      </w:r>
    </w:p>
    <w:p>
      <w:pPr>
        <w:spacing w:after="0" w:line="123" w:lineRule="exact"/>
        <w:rPr>
          <w:sz w:val="20"/>
          <w:szCs w:val="20"/>
          <w:color w:val="auto"/>
        </w:rPr>
      </w:pPr>
    </w:p>
    <w:p>
      <w:pPr>
        <w:ind w:right="100" w:firstLine="625"/>
        <w:spacing w:after="0" w:line="262" w:lineRule="auto"/>
        <w:rPr>
          <w:sz w:val="20"/>
          <w:szCs w:val="20"/>
          <w:color w:val="auto"/>
        </w:rPr>
      </w:pPr>
      <w:r>
        <w:rPr>
          <w:rFonts w:ascii="Times New Roman" w:cs="Times New Roman" w:eastAsia="Times New Roman" w:hAnsi="Times New Roman"/>
          <w:sz w:val="17"/>
          <w:szCs w:val="17"/>
          <w:color w:val="auto"/>
        </w:rPr>
        <w:t>Laws and regulations enacted by the federal government and various states to regulate the sales and marketing practices of pharmaceutical manufacturers with marketed products generally limit financial interactions between manufacturers and health care providers and/or require disclosure to the government and public of such interactions. State laws may also require disclosure of pharmaceutical pricing information and marketing expenditures. Many of these laws and regulations contain ambiguous requirements or require administrative guidance for implementation. We are subject to federal, state and foreign laws that govern the privacy and security of health information in some circumstances, many of which differ from each other in significant ways, thus complicating compliance efforts. Given the lack of clarity in laws and their implementation, our activities could be subject to the penalty provisions of the pertinent laws and regulations.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International Regulation</w:t>
      </w:r>
    </w:p>
    <w:p>
      <w:pPr>
        <w:spacing w:after="0" w:line="173"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In addition to regulations in the United States, we and our collaborators, may be subject to a variety of foreign regulations governing clinical trials, drug registration, commercial sales and distribution of our product candidates outside the United States. These regulations can vary between jurisdictions and can be more onerous than regulations in the United States. Whether or not we obtain FDA approval for a product candidate, we must obtain approval from the comparable regulatory authorities of foreign countries or economic areas, such as the European Union (EU) before we may commence clinical trials or market products in those countries or areas. The approval process and requirements governing the conduct of clinical trials, product licensing, pricing and reimbursement vary greatly from place to place, and the time to approval may be longer or shorter than that required for FDA approval.</w:t>
      </w:r>
    </w:p>
    <w:p>
      <w:pPr>
        <w:spacing w:after="0" w:line="121"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Certain countries outside of the United States have a process that requires the submission of a clinical trial application (CTA) much like an IND prior to the commencement of human clinical trials. In Europe, for example, a CTA must be submitted to the competent national health authority and to independent ethics committees in each country in which a company intends to conduct clinical trials. Once the CTA is approved in accordance with a country’s requirements, clinical trial</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20" w:name="page21"/>
    <w:bookmarkEnd w:id="20"/>
    <w:p>
      <w:pPr>
        <w:ind w:right="920"/>
        <w:spacing w:after="0" w:line="294" w:lineRule="auto"/>
        <w:rPr>
          <w:sz w:val="20"/>
          <w:szCs w:val="20"/>
          <w:color w:val="auto"/>
        </w:rPr>
      </w:pPr>
      <w:r>
        <w:rPr>
          <w:rFonts w:ascii="Times New Roman" w:cs="Times New Roman" w:eastAsia="Times New Roman" w:hAnsi="Times New Roman"/>
          <w:sz w:val="17"/>
          <w:szCs w:val="17"/>
          <w:color w:val="auto"/>
        </w:rPr>
        <w:t>development may proceed in that country. In all cases, the clinical trials must be conducted in accordance with GCP, and other applicable regulatory requirements. A separate CTA must be submitted for each clinical trial to be conducted.</w:t>
      </w:r>
    </w:p>
    <w:p>
      <w:pPr>
        <w:spacing w:after="0" w:line="94"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In the EU, for example, to obtain regulatory approval of an investigational medicinal product, a company must submit a marketing authorization application (MAA). The content of the MAA is similar to that of a BLA filed in the United States, with the exception of, among other things, EU-specific document requirements. Under the EU regulatory system, a company may submit marketing authorization applications either under a centralized or decentralized procedure. Under the centralized procedure in the EU, a MAA is submitted to the European Medicines Agency (EMA) where it will be evaluated by the Committee for Medicinal Products for Human Use (CHMP). The maximum timeframe for a CHMP evaluation of an MAA that has been validated is 210 days, excluding time taken by an applicant to respond to questions. A favorable opinion on the application by the CHMP will typically result in the granting of the marketing authorization by the European Commission within 67 days of receipt of the opinion. Generally, the entire review process takes approximately 13-14 months. Accelerated evaluation might be granted by the CHMP in exceptional cases, when a medicinal product is expected to be of a major public health interest, particularly from the point of view of therapeutic innovation. In this circumstance, the EMA ensures that the opinion of the CHMP is given within 150 days, excluding time taken by an applicant to respond to questions.</w:t>
      </w:r>
    </w:p>
    <w:p>
      <w:pPr>
        <w:spacing w:after="0" w:line="122"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As in the United States, we or our collaborators may apply for designation of a product as an orphan drug for the treatment of a specific indication in the EU before the MAA is made. Orphan drugs in Europe enjoy certain benefits, including up to 10 years of exclusivity for the approved indication unless another applicant can show that its product is safer, more effective or otherwise clinically superior to the orphan designated product. The PRIME initiative was established by the EMA to help promote and foster the development of new medicines in the EU that demonstrate potential for a major therapeutic advantage in areas of unmet medical need. Benefits from the PRIME designation include early confirmation of potential for accelerated assessment, early dialogue and increased interaction with relevant regulatory committees to discuss development options, scientific advice at key development milestones, and proactive regulatory support from the EMA.</w:t>
      </w:r>
    </w:p>
    <w:p>
      <w:pPr>
        <w:spacing w:after="0" w:line="335" w:lineRule="exact"/>
        <w:rPr>
          <w:sz w:val="20"/>
          <w:szCs w:val="20"/>
          <w:color w:val="auto"/>
        </w:rPr>
      </w:pPr>
    </w:p>
    <w:p>
      <w:pPr>
        <w:ind w:right="100" w:firstLine="625"/>
        <w:spacing w:after="0" w:line="294" w:lineRule="auto"/>
        <w:rPr>
          <w:sz w:val="20"/>
          <w:szCs w:val="20"/>
          <w:color w:val="auto"/>
        </w:rPr>
      </w:pPr>
      <w:r>
        <w:rPr>
          <w:rFonts w:ascii="Times New Roman" w:cs="Times New Roman" w:eastAsia="Times New Roman" w:hAnsi="Times New Roman"/>
          <w:sz w:val="17"/>
          <w:szCs w:val="17"/>
          <w:color w:val="auto"/>
        </w:rPr>
        <w:t>If we, or our collaborators, fail to comply with applicable foreign regulatory requirements, we may be subject to, among other things, fines, suspension or withdrawal of regulatory approvals, product recalls, seizure of products, operating restrictions and criminal prosecution.</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Biopharmaceutical Coverage, Pricing, Reimbursement, and Health Care Reform</w:t>
      </w:r>
    </w:p>
    <w:p>
      <w:pPr>
        <w:spacing w:after="0" w:line="173"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In the United States and other countries, sales of any product candidates for which we receive regulatory approval for commercial sale will depend in part on the availability of adequate reimbursement from third-party payors, including government health administrative authorities, managed care providers, private health insurers, and other organizations. Third-party payors are increasingly examining the medical necessity and cost effectiveness of medical products and services in addition to safety and efficacy and, accordingly, significant uncertainty exists as to the reimbursement status of newly approved therapeutics. Third-party reimbursement adequate to enable us to realize an appropriate return on our investment in research and product development may not be available or optimal for our products. Further, coverage policies and third-party payor reimbursement rates may change at any time. Even if favorable coverage and reimbursement status is attained for one or more products for which we receive regulatory approval, less favorable coverage policies and reimbursement rates may be implemented in the future. In addition, companion diagnostic tests require coverage and reimbursement separate and apart from the coverage and reimbursement for their companion pharmaceutical or biological products. Similar challenges to obtaining coverage and reimbursement, applicable to pharmaceutical or biological products, will apply to companion diagnostics.</w:t>
      </w:r>
    </w:p>
    <w:p>
      <w:pPr>
        <w:spacing w:after="0" w:line="122"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Drug prices have become a subject of increased focus in recent years. Although there are currently no direct government price controls over private sector purchases in the U.S., federal law requires pharmaceutical manufacturers to pay prescribed rebates on certain government or Medicaid-reimbursed drugs to enable them to be eligible for reimbursement under certain public healthcare programs such as Medicaid and Medicare Part B. Various states have adopted further mechanisms that seek to control drug prices, including by disfavoring certain higher priced drugs or by seeking supplemental rebates from manufacturers. Managed care has also become a potent force in the marketplace that increases downward pressure on the prices of pharmaceutical products.</w:t>
      </w:r>
    </w:p>
    <w:p>
      <w:pPr>
        <w:spacing w:after="0" w:line="119" w:lineRule="exact"/>
        <w:rPr>
          <w:sz w:val="20"/>
          <w:szCs w:val="20"/>
          <w:color w:val="auto"/>
        </w:rPr>
      </w:pPr>
    </w:p>
    <w:p>
      <w:pPr>
        <w:ind w:right="100" w:firstLine="625"/>
        <w:spacing w:after="0" w:line="268" w:lineRule="auto"/>
        <w:rPr>
          <w:sz w:val="20"/>
          <w:szCs w:val="20"/>
          <w:color w:val="auto"/>
        </w:rPr>
      </w:pPr>
      <w:r>
        <w:rPr>
          <w:rFonts w:ascii="Times New Roman" w:cs="Times New Roman" w:eastAsia="Times New Roman" w:hAnsi="Times New Roman"/>
          <w:sz w:val="17"/>
          <w:szCs w:val="17"/>
          <w:color w:val="auto"/>
        </w:rPr>
        <w:t>Public and private healthcare payors control costs and influence drug pricing through a variety of mechanisms, including through negotiating discounts with the manufacturers and through the use of tiered formularies and other mechanisms that provide preferential access to certain drugs over others within a therapeutic class. Payors also set other criteria to govern the uses of a drug that will be deemed medically appropriate and therefore reimbursed or otherwise covered.</w:t>
      </w:r>
    </w:p>
    <w:p>
      <w:pPr>
        <w:spacing w:after="0" w:line="117" w:lineRule="exact"/>
        <w:rPr>
          <w:sz w:val="20"/>
          <w:szCs w:val="20"/>
          <w:color w:val="auto"/>
        </w:rPr>
      </w:pPr>
    </w:p>
    <w:p>
      <w:pPr>
        <w:ind w:right="180" w:firstLine="625"/>
        <w:spacing w:after="0" w:line="268" w:lineRule="auto"/>
        <w:rPr>
          <w:sz w:val="20"/>
          <w:szCs w:val="20"/>
          <w:color w:val="auto"/>
        </w:rPr>
      </w:pPr>
      <w:r>
        <w:rPr>
          <w:rFonts w:ascii="Times New Roman" w:cs="Times New Roman" w:eastAsia="Times New Roman" w:hAnsi="Times New Roman"/>
          <w:sz w:val="17"/>
          <w:szCs w:val="17"/>
          <w:color w:val="auto"/>
        </w:rPr>
        <w:t>Moreover, in the U.S., there have been several presidential executive orders,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on August 16, 2022, the Inflation Reduction Act of 2022 (IRA) was signed into law,</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1" w:name="page22"/>
    <w:bookmarkEnd w:id="21"/>
    <w:p>
      <w:pPr>
        <w:spacing w:after="0" w:line="263" w:lineRule="auto"/>
        <w:rPr>
          <w:sz w:val="20"/>
          <w:szCs w:val="20"/>
          <w:color w:val="auto"/>
        </w:rPr>
      </w:pPr>
      <w:r>
        <w:rPr>
          <w:rFonts w:ascii="Times New Roman" w:cs="Times New Roman" w:eastAsia="Times New Roman" w:hAnsi="Times New Roman"/>
          <w:sz w:val="17"/>
          <w:szCs w:val="17"/>
          <w:color w:val="auto"/>
        </w:rPr>
        <w:t>which among other things, (i) extends enhanced subsidies for individuals purchasing health insurance coverage in ACA marketplaces through plan year 2025, (ii) authorizes HHS to negotiate the price of certain high-expenditure, single-source drugs covered under Medicare that have been on the market for at least 7 years, and (iii) imposes rebates with respect to certain drugs and biologics covered under Medicare Part B or Medicare Part D to penalize price increases that outpace inflation. These provisions began to take effect progressively starting in fiscal year 2023. Additional state and federal health reform measures may be adopted in the future, particularly in light of the recent U.S. Presidential and Congressional elections, any of which could limit the amounts that federal and state governments will pay for healthcare products and services.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Human Capital Management</w:t>
      </w:r>
    </w:p>
    <w:p>
      <w:pPr>
        <w:spacing w:after="0" w:line="171" w:lineRule="exact"/>
        <w:rPr>
          <w:sz w:val="20"/>
          <w:szCs w:val="20"/>
          <w:color w:val="auto"/>
        </w:rPr>
      </w:pPr>
    </w:p>
    <w:p>
      <w:pPr>
        <w:ind w:right="660" w:firstLine="625"/>
        <w:spacing w:after="0" w:line="294" w:lineRule="auto"/>
        <w:rPr>
          <w:sz w:val="20"/>
          <w:szCs w:val="20"/>
          <w:color w:val="auto"/>
        </w:rPr>
      </w:pPr>
      <w:r>
        <w:rPr>
          <w:rFonts w:ascii="Times New Roman" w:cs="Times New Roman" w:eastAsia="Times New Roman" w:hAnsi="Times New Roman"/>
          <w:sz w:val="17"/>
          <w:szCs w:val="17"/>
          <w:color w:val="auto"/>
        </w:rPr>
        <w:t>As of December 31, 2024, we had 341 full-time employees, 273 of whom were primarily engaged in research, development and manufacturing activities, and 71 of whom had an M.D. and/or Ph.D. Our employees are critically important to the achievement of our company’s mission and goals.</w:t>
      </w:r>
    </w:p>
    <w:p>
      <w:pPr>
        <w:spacing w:after="0" w:line="94"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Our senior leadership oversees all human capital management matters and is committed to attracting, developing, engaging and retaining the best people. We strive to offer our employees an intellectually challenging and diverse work environment, opportunities to expand their knowledge and skills, feedback on performance, and paths for career advancement. We believe management’s relationships with our employees is very positive and they are not subject to a collective bargaining agreement or represented by a trade or labor union.</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Compensation and Benefits</w:t>
      </w:r>
    </w:p>
    <w:p>
      <w:pPr>
        <w:spacing w:after="0" w:line="173" w:lineRule="exact"/>
        <w:rPr>
          <w:sz w:val="20"/>
          <w:szCs w:val="20"/>
          <w:color w:val="auto"/>
        </w:rPr>
      </w:pPr>
    </w:p>
    <w:p>
      <w:pPr>
        <w:ind w:right="20" w:firstLine="625"/>
        <w:spacing w:after="0" w:line="262" w:lineRule="auto"/>
        <w:rPr>
          <w:sz w:val="20"/>
          <w:szCs w:val="20"/>
          <w:color w:val="auto"/>
        </w:rPr>
      </w:pPr>
      <w:r>
        <w:rPr>
          <w:rFonts w:ascii="Times New Roman" w:cs="Times New Roman" w:eastAsia="Times New Roman" w:hAnsi="Times New Roman"/>
          <w:sz w:val="17"/>
          <w:szCs w:val="17"/>
          <w:color w:val="auto"/>
        </w:rPr>
        <w:t>Our compensation programs are designed to align our employees' interests with our business goals and stockholder returns. We provide employee wages that are competitive within our industry, and we engage an outside compensation and benefits consulting firm to independently evaluate the effectiveness of our compensation and benefit programs and to provide benchmarking against our peers within the industry. We link annual changes in compensation to overall Company performance, as well as each individual’s contribution to the results achieved. The emphasis on overall Company performance is intended to align the employee’s financial interests with the interests of stockholders. We are committed to providing our employees with a benefits program that is both comprehensive and competitive. Our benefits program offers health care, dental and vision coverage, along with benefits designed to provide increased financial security to our employees and their families.</w:t>
      </w:r>
    </w:p>
    <w:p>
      <w:pPr>
        <w:spacing w:after="0" w:line="121" w:lineRule="exact"/>
        <w:rPr>
          <w:sz w:val="20"/>
          <w:szCs w:val="20"/>
          <w:color w:val="auto"/>
        </w:rPr>
      </w:pPr>
    </w:p>
    <w:p>
      <w:pPr>
        <w:ind w:right="260" w:firstLine="625"/>
        <w:spacing w:after="0" w:line="294" w:lineRule="auto"/>
        <w:rPr>
          <w:sz w:val="20"/>
          <w:szCs w:val="20"/>
          <w:color w:val="auto"/>
        </w:rPr>
      </w:pPr>
      <w:r>
        <w:rPr>
          <w:rFonts w:ascii="Times New Roman" w:cs="Times New Roman" w:eastAsia="Times New Roman" w:hAnsi="Times New Roman"/>
          <w:sz w:val="17"/>
          <w:szCs w:val="17"/>
          <w:color w:val="auto"/>
        </w:rPr>
        <w:t>We maintain an Employee Stock Purchase Plan under which employees may purchase Company common stock through payroll deductions at a price equal to 85% of the fair market value of the stock as of the end of the offering periods.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Culture</w:t>
      </w:r>
    </w:p>
    <w:p>
      <w:pPr>
        <w:spacing w:after="0" w:line="171" w:lineRule="exact"/>
        <w:rPr>
          <w:sz w:val="20"/>
          <w:szCs w:val="20"/>
          <w:color w:val="auto"/>
        </w:rPr>
      </w:pPr>
    </w:p>
    <w:p>
      <w:pPr>
        <w:ind w:right="80" w:firstLine="625"/>
        <w:spacing w:after="0" w:line="269" w:lineRule="auto"/>
        <w:rPr>
          <w:sz w:val="20"/>
          <w:szCs w:val="20"/>
          <w:color w:val="auto"/>
        </w:rPr>
      </w:pPr>
      <w:r>
        <w:rPr>
          <w:rFonts w:ascii="Times New Roman" w:cs="Times New Roman" w:eastAsia="Times New Roman" w:hAnsi="Times New Roman"/>
          <w:sz w:val="17"/>
          <w:szCs w:val="17"/>
          <w:color w:val="auto"/>
        </w:rPr>
        <w:t xml:space="preserve">Our Living Values are the backbone of our culture: </w:t>
      </w:r>
      <w:r>
        <w:rPr>
          <w:rFonts w:ascii="Times New Roman" w:cs="Times New Roman" w:eastAsia="Times New Roman" w:hAnsi="Times New Roman"/>
          <w:sz w:val="17"/>
          <w:szCs w:val="17"/>
          <w:i w:val="1"/>
          <w:iCs w:val="1"/>
          <w:color w:val="auto"/>
        </w:rPr>
        <w:t>Patients First, Do It Right, Innovate, Pitch In, Take Action</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i w:val="1"/>
          <w:iCs w:val="1"/>
          <w:color w:val="auto"/>
        </w:rPr>
        <w:t>Be Inclusive.</w:t>
      </w:r>
      <w:r>
        <w:rPr>
          <w:rFonts w:ascii="Times New Roman" w:cs="Times New Roman" w:eastAsia="Times New Roman" w:hAnsi="Times New Roman"/>
          <w:sz w:val="17"/>
          <w:szCs w:val="17"/>
          <w:color w:val="auto"/>
        </w:rPr>
        <w:t xml:space="preserve"> Consistent with our Living Value of “</w:t>
      </w:r>
      <w:r>
        <w:rPr>
          <w:rFonts w:ascii="Times New Roman" w:cs="Times New Roman" w:eastAsia="Times New Roman" w:hAnsi="Times New Roman"/>
          <w:sz w:val="17"/>
          <w:szCs w:val="17"/>
          <w:i w:val="1"/>
          <w:iCs w:val="1"/>
          <w:color w:val="auto"/>
        </w:rPr>
        <w:t>Be Inclusive</w:t>
      </w:r>
      <w:r>
        <w:rPr>
          <w:rFonts w:ascii="Times New Roman" w:cs="Times New Roman" w:eastAsia="Times New Roman" w:hAnsi="Times New Roman"/>
          <w:sz w:val="17"/>
          <w:szCs w:val="17"/>
          <w:color w:val="auto"/>
        </w:rPr>
        <w:t>” we have a number of initiatives to reinforce the importance of an inclusive workforce and culture of belonging to our Company’s success. To further champion our inclusion efforts, we formed an employee-led team with sponsorship from our senior leadership team. The team focused on raising awareness and promoting a sense of commitment in 2024, and held a number of focus groups and company-wide events.</w:t>
      </w:r>
    </w:p>
    <w:p>
      <w:pPr>
        <w:spacing w:after="0" w:line="194" w:lineRule="exact"/>
        <w:rPr>
          <w:sz w:val="20"/>
          <w:szCs w:val="20"/>
          <w:color w:val="auto"/>
        </w:rPr>
      </w:pPr>
    </w:p>
    <w:p>
      <w:pPr>
        <w:ind w:right="60" w:firstLine="625"/>
        <w:spacing w:after="0" w:line="262" w:lineRule="auto"/>
        <w:rPr>
          <w:sz w:val="20"/>
          <w:szCs w:val="20"/>
          <w:color w:val="auto"/>
        </w:rPr>
      </w:pPr>
      <w:r>
        <w:rPr>
          <w:rFonts w:ascii="Times New Roman" w:cs="Times New Roman" w:eastAsia="Times New Roman" w:hAnsi="Times New Roman"/>
          <w:sz w:val="17"/>
          <w:szCs w:val="17"/>
          <w:color w:val="auto"/>
        </w:rPr>
        <w:t>All employees are required to observe high standards of business and personal ethics and must adhere to our Code of Business Conduct and Ethics, for which they receive training annually. The Code requires reporting any actual or suspected misconduct, illegal activities or fraud. To that end, we maintain a Speak Up Culture where all employees are encouraged to raise issues, report concerns, and ask questions. We also maintain an anonymous hotline that is available to all of our employees, contractors and vendors to report any matter of concern. Communications to the hotline (which is facilitated by an independent third party) are routed to our General Counsel (or, if the General Counsel is the subject of the communication, to the Chair of our Audit Committee) for investigation and resolution. We also maintain a policy of no retaliation, where employees who report any misconduct are to be free of any harassment, retaliation or adverse employment consequence.</w:t>
      </w:r>
    </w:p>
    <w:p>
      <w:pPr>
        <w:spacing w:after="0" w:line="121" w:lineRule="exact"/>
        <w:rPr>
          <w:sz w:val="20"/>
          <w:szCs w:val="20"/>
          <w:color w:val="auto"/>
        </w:rPr>
      </w:pPr>
    </w:p>
    <w:p>
      <w:pPr>
        <w:ind w:right="120" w:firstLine="625"/>
        <w:spacing w:after="0" w:line="294" w:lineRule="auto"/>
        <w:rPr>
          <w:sz w:val="20"/>
          <w:szCs w:val="20"/>
          <w:color w:val="auto"/>
        </w:rPr>
      </w:pPr>
      <w:r>
        <w:rPr>
          <w:rFonts w:ascii="Times New Roman" w:cs="Times New Roman" w:eastAsia="Times New Roman" w:hAnsi="Times New Roman"/>
          <w:sz w:val="17"/>
          <w:szCs w:val="17"/>
          <w:color w:val="auto"/>
        </w:rPr>
        <w:t>We periodically conduct employee engagement surveys to understand our employees’ perspectives and endeavor to listen, change and improve on how we work together in response to these perspectives. In 2024, 95% of our workforce participated in our engagement survey.</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Learning and Development</w:t>
      </w:r>
    </w:p>
    <w:p>
      <w:pPr>
        <w:spacing w:after="0" w:line="173" w:lineRule="exact"/>
        <w:rPr>
          <w:sz w:val="20"/>
          <w:szCs w:val="20"/>
          <w:color w:val="auto"/>
        </w:rPr>
      </w:pPr>
    </w:p>
    <w:p>
      <w:pPr>
        <w:ind w:right="720" w:firstLine="625"/>
        <w:spacing w:after="0" w:line="294" w:lineRule="auto"/>
        <w:rPr>
          <w:sz w:val="20"/>
          <w:szCs w:val="20"/>
          <w:color w:val="auto"/>
        </w:rPr>
      </w:pPr>
      <w:r>
        <w:rPr>
          <w:rFonts w:ascii="Times New Roman" w:cs="Times New Roman" w:eastAsia="Times New Roman" w:hAnsi="Times New Roman"/>
          <w:sz w:val="17"/>
          <w:szCs w:val="17"/>
          <w:color w:val="auto"/>
        </w:rPr>
        <w:t>We continue to invest in our employees to achieve their goals and to lead our company through learning and development. We conduct regular performance reviews. We encourage all employees to take advantage of our leadership,</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2" w:name="page23"/>
    <w:bookmarkEnd w:id="22"/>
    <w:p>
      <w:pPr>
        <w:jc w:val="both"/>
        <w:ind w:right="80"/>
        <w:spacing w:after="0" w:line="294" w:lineRule="auto"/>
        <w:rPr>
          <w:sz w:val="20"/>
          <w:szCs w:val="20"/>
          <w:color w:val="auto"/>
        </w:rPr>
      </w:pPr>
      <w:r>
        <w:rPr>
          <w:rFonts w:ascii="Times New Roman" w:cs="Times New Roman" w:eastAsia="Times New Roman" w:hAnsi="Times New Roman"/>
          <w:sz w:val="17"/>
          <w:szCs w:val="17"/>
          <w:color w:val="auto"/>
        </w:rPr>
        <w:t>management and technical skill trainings and resources. In addition, we provide focused development for managers and emerging leaders who are designated as “key talent” based on performance and leadership potential.</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Community</w:t>
      </w:r>
    </w:p>
    <w:p>
      <w:pPr>
        <w:spacing w:after="0" w:line="173" w:lineRule="exact"/>
        <w:rPr>
          <w:sz w:val="20"/>
          <w:szCs w:val="20"/>
          <w:color w:val="auto"/>
        </w:rPr>
      </w:pPr>
    </w:p>
    <w:p>
      <w:pPr>
        <w:jc w:val="both"/>
        <w:ind w:right="60" w:firstLine="625"/>
        <w:spacing w:after="0" w:line="274" w:lineRule="auto"/>
        <w:rPr>
          <w:sz w:val="20"/>
          <w:szCs w:val="20"/>
          <w:color w:val="auto"/>
        </w:rPr>
      </w:pPr>
      <w:r>
        <w:rPr>
          <w:rFonts w:ascii="Times New Roman" w:cs="Times New Roman" w:eastAsia="Times New Roman" w:hAnsi="Times New Roman"/>
          <w:sz w:val="17"/>
          <w:szCs w:val="17"/>
          <w:color w:val="auto"/>
        </w:rPr>
        <w:t>We believe in giving back and supporting the local communities where we work as well as initiatives consistent with our areas of focus. Employees are encouraged to participate in charitable causes and receive eight hours of voluntary paid time off annually to participate in local opportunities to give back to the community.</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Available Securities and Exchange Commission Filing Information</w:t>
      </w:r>
    </w:p>
    <w:p>
      <w:pPr>
        <w:spacing w:after="0" w:line="17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Our main company website address is www.macrogenics.com. We post links to http://ir.macrogenics.com/financial-information/sec-filings for the following filings as soon as reasonably practicable after they are electronically filed with or furnished to the Securities and Exchange Commission (SEC): annual reports on Form 10-K, quarterly reports on Form 10-Q, current reports on Form 8-K, proxy statements, and any amendments to those reports filed or furnished pursuant to Section 13 or 15(d) of the Securities Exchange Act of 1934, as amended. All such filings are available through our website free of charge. In addition, the SEC makes available at its website (www.sec.gov), free of charge, reports, proxy and information statements,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23" w:name="page24"/>
    <w:bookmarkEnd w:id="23"/>
    <w:p>
      <w:pPr>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ITEM 1A.</w:t>
        <w:tab/>
        <w:t>RISK FACTORS</w:t>
      </w:r>
    </w:p>
    <w:p>
      <w:pPr>
        <w:spacing w:after="0" w:line="16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7"/>
          <w:szCs w:val="17"/>
          <w:i w:val="1"/>
          <w:iCs w:val="1"/>
          <w:color w:val="auto"/>
        </w:rPr>
        <w:t>The discussion below addresses material factors, of which we are currently aware, that could have a material and adverse effect on our business, results of operations and financial condition. These risk factors and other forward-looking statements that relate to future events, expectations, trends and operating periods involve certain factors that are subject to change, and important risks and uncertainties that could cause actual results to differ materially. These risks and uncertainties should not be considered a complete discussion of all the risks and uncertainties we may face and although the risks are organized by headings and each risk is discussed separately, many are interrelated.</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Summary of Risk Factors Affecting Our Business</w:t>
      </w:r>
    </w:p>
    <w:p>
      <w:pPr>
        <w:spacing w:after="0" w:line="249" w:lineRule="exact"/>
        <w:rPr>
          <w:sz w:val="20"/>
          <w:szCs w:val="20"/>
          <w:color w:val="auto"/>
        </w:rPr>
      </w:pPr>
    </w:p>
    <w:p>
      <w:pPr>
        <w:ind w:right="140" w:firstLine="625"/>
        <w:spacing w:after="0" w:line="268" w:lineRule="auto"/>
        <w:rPr>
          <w:sz w:val="20"/>
          <w:szCs w:val="20"/>
          <w:color w:val="auto"/>
        </w:rPr>
      </w:pPr>
      <w:r>
        <w:rPr>
          <w:rFonts w:ascii="Times New Roman" w:cs="Times New Roman" w:eastAsia="Times New Roman" w:hAnsi="Times New Roman"/>
          <w:sz w:val="17"/>
          <w:szCs w:val="17"/>
          <w:color w:val="auto"/>
        </w:rPr>
        <w:t>Our business is subject to numerous risks. The following summary highlights some of the risks you should consider with respect to our business and prospects. This summary is not complete and the risks summarized below are not the only risks we face. You should review and consider carefully the risks and uncertainties described in the “Risk Factors” section of this Annual Report on Form 10-K, which includes a more complete discussion of the risks summarized below as well as a discussion of other risks related to our business and an investment in our common stock, as well as our other SEC filings.</w:t>
      </w:r>
    </w:p>
    <w:p>
      <w:pPr>
        <w:spacing w:after="0" w:line="195" w:lineRule="exact"/>
        <w:rPr>
          <w:sz w:val="20"/>
          <w:szCs w:val="20"/>
          <w:color w:val="auto"/>
        </w:rPr>
      </w:pPr>
    </w:p>
    <w:p>
      <w:pPr>
        <w:ind w:left="940" w:right="120" w:hanging="311"/>
        <w:spacing w:after="0" w:line="29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172" w:lineRule="exact"/>
        <w:rPr>
          <w:rFonts w:ascii="Times New Roman" w:cs="Times New Roman" w:eastAsia="Times New Roman" w:hAnsi="Times New Roman"/>
          <w:sz w:val="17"/>
          <w:szCs w:val="17"/>
          <w:color w:val="auto"/>
        </w:rPr>
      </w:pPr>
    </w:p>
    <w:p>
      <w:pPr>
        <w:ind w:left="940" w:right="180" w:hanging="311"/>
        <w:spacing w:after="0" w:line="29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incurred significant losses since inception and anticipate that we will continue to incur losses for the foreseeable future. Accordingly, we may never achieve or sustain profitability.</w:t>
      </w:r>
    </w:p>
    <w:p>
      <w:pPr>
        <w:spacing w:after="0" w:line="172" w:lineRule="exact"/>
        <w:rPr>
          <w:rFonts w:ascii="Times New Roman" w:cs="Times New Roman" w:eastAsia="Times New Roman" w:hAnsi="Times New Roman"/>
          <w:sz w:val="17"/>
          <w:szCs w:val="17"/>
          <w:color w:val="auto"/>
        </w:rPr>
      </w:pPr>
    </w:p>
    <w:p>
      <w:pPr>
        <w:ind w:left="940" w:hanging="311"/>
        <w:spacing w:after="0" w:line="268"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depend substantially on the success of the clinical development of our product candidates, through our own efforts or those of our collaborators. If we are unable to successfully complete clinical development, obtain additional regulatory approvals and commercialize our product candidates, or experience significant delays in doing so, our business will be materially harmed and we may not be able to generate sufficient revenues and cash flows to continue our operations.</w:t>
      </w:r>
    </w:p>
    <w:p>
      <w:pPr>
        <w:spacing w:after="0" w:line="194" w:lineRule="exact"/>
        <w:rPr>
          <w:rFonts w:ascii="Times New Roman" w:cs="Times New Roman" w:eastAsia="Times New Roman" w:hAnsi="Times New Roman"/>
          <w:sz w:val="17"/>
          <w:szCs w:val="17"/>
          <w:color w:val="auto"/>
        </w:rPr>
      </w:pPr>
    </w:p>
    <w:p>
      <w:pPr>
        <w:ind w:left="940" w:right="300" w:hanging="311"/>
        <w:spacing w:after="0" w:line="27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drug development involves a lengthy and expensive process, with a highly uncertain outcome. We expect to incur significant additional costs related to the development of our product candidates and may experience delays in completing, or ultimately be unable to complete, the development and commercialization of our other product candidates.</w:t>
      </w:r>
    </w:p>
    <w:p>
      <w:pPr>
        <w:spacing w:after="0" w:line="190" w:lineRule="exact"/>
        <w:rPr>
          <w:rFonts w:ascii="Times New Roman" w:cs="Times New Roman" w:eastAsia="Times New Roman" w:hAnsi="Times New Roman"/>
          <w:sz w:val="17"/>
          <w:szCs w:val="17"/>
          <w:color w:val="auto"/>
        </w:rPr>
      </w:pPr>
    </w:p>
    <w:p>
      <w:pPr>
        <w:ind w:left="940" w:right="300" w:hanging="311"/>
        <w:spacing w:after="0" w:line="29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may have undesirable side effects which may delay or prevent further clinical development or marketing approval, or, if approval is received, require them to be taken off the market, require them to include safety warnings or otherwise limit their sales.</w:t>
      </w:r>
    </w:p>
    <w:p>
      <w:pPr>
        <w:spacing w:after="0" w:line="172" w:lineRule="exact"/>
        <w:rPr>
          <w:rFonts w:ascii="Times New Roman" w:cs="Times New Roman" w:eastAsia="Times New Roman" w:hAnsi="Times New Roman"/>
          <w:sz w:val="17"/>
          <w:szCs w:val="17"/>
          <w:color w:val="auto"/>
        </w:rPr>
      </w:pPr>
    </w:p>
    <w:p>
      <w:pPr>
        <w:ind w:left="940" w:right="360" w:hanging="311"/>
        <w:spacing w:after="0" w:line="29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existing therapeutic collaborations are important to our business, and future collaborations may also be important to us. If we are unable to maintain any of these collaborations, or if these collaborations are not successful, our business could be adversely affected.</w:t>
      </w:r>
    </w:p>
    <w:p>
      <w:pPr>
        <w:spacing w:after="0" w:line="172" w:lineRule="exact"/>
        <w:rPr>
          <w:rFonts w:ascii="Times New Roman" w:cs="Times New Roman" w:eastAsia="Times New Roman" w:hAnsi="Times New Roman"/>
          <w:sz w:val="17"/>
          <w:szCs w:val="17"/>
          <w:color w:val="auto"/>
        </w:rPr>
      </w:pPr>
    </w:p>
    <w:p>
      <w:pPr>
        <w:ind w:left="940" w:right="340" w:hanging="311"/>
        <w:spacing w:after="0" w:line="27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clinical trials for our product candidates are prolonged, delayed or stopped for any reason, including for safety reasons or lack of efficacy, we may be unable to obtain regulatory approval and commercialize our product candidates on a timely basis, which would require us to incur additional costs and delay our receipt of any product revenue.</w:t>
      </w:r>
    </w:p>
    <w:p>
      <w:pPr>
        <w:spacing w:after="0" w:line="190" w:lineRule="exact"/>
        <w:rPr>
          <w:rFonts w:ascii="Times New Roman" w:cs="Times New Roman" w:eastAsia="Times New Roman" w:hAnsi="Times New Roman"/>
          <w:sz w:val="17"/>
          <w:szCs w:val="17"/>
          <w:color w:val="auto"/>
        </w:rPr>
      </w:pPr>
    </w:p>
    <w:p>
      <w:pPr>
        <w:ind w:left="940" w:right="60" w:hanging="311"/>
        <w:spacing w:after="0" w:line="27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of previous clinical trials may not be predictive of future results, and interim, immature, or top line data may be subject to change or qualification based the complete analysis of data. In addition, the results of our current or planned clinical trials may not satisfy the requirements of the FDA or non-U.S. regulatory authorities for product approval.</w:t>
      </w:r>
    </w:p>
    <w:p>
      <w:pPr>
        <w:spacing w:after="0" w:line="190" w:lineRule="exact"/>
        <w:rPr>
          <w:rFonts w:ascii="Times New Roman" w:cs="Times New Roman" w:eastAsia="Times New Roman" w:hAnsi="Times New Roman"/>
          <w:sz w:val="17"/>
          <w:szCs w:val="17"/>
          <w:color w:val="auto"/>
        </w:rPr>
      </w:pPr>
    </w:p>
    <w:p>
      <w:pPr>
        <w:ind w:left="940" w:right="40" w:hanging="311"/>
        <w:spacing w:after="0" w:line="29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face significant competition and if our competitors continue to develop and market products that are more effective, safer or less expensive than our product candidates, our current or future commercial opportunities may be negatively impacted.</w:t>
      </w:r>
    </w:p>
    <w:p>
      <w:pPr>
        <w:spacing w:after="0" w:line="172" w:lineRule="exact"/>
        <w:rPr>
          <w:rFonts w:ascii="Times New Roman" w:cs="Times New Roman" w:eastAsia="Times New Roman" w:hAnsi="Times New Roman"/>
          <w:sz w:val="17"/>
          <w:szCs w:val="17"/>
          <w:color w:val="auto"/>
        </w:rPr>
      </w:pPr>
    </w:p>
    <w:p>
      <w:pPr>
        <w:ind w:left="940" w:right="240" w:hanging="311"/>
        <w:spacing w:after="0" w:line="294" w:lineRule="auto"/>
        <w:tabs>
          <w:tab w:leader="none" w:pos="935"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use novel technologies in the development of our product candidates and the FDA and other regulatory authorities have not approved or may not approve products that utilize these technologies.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4" w:name="page25"/>
    <w:bookmarkEnd w:id="24"/>
    <w:p>
      <w:pPr>
        <w:jc w:val="both"/>
        <w:ind w:left="311" w:right="80" w:hanging="311"/>
        <w:spacing w:after="0" w:line="27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be successful in our efforts to use and expand our technology platforms to build a pipeline of product candidates. We may expend our limited resources to pursue a particular product candidate or indication and fail to capitalize on product candidates or indications that may be more profitable or for which there is a greater likelihood of success.</w:t>
      </w:r>
    </w:p>
    <w:p>
      <w:pPr>
        <w:spacing w:after="0" w:line="190" w:lineRule="exact"/>
        <w:rPr>
          <w:rFonts w:ascii="Times New Roman" w:cs="Times New Roman" w:eastAsia="Times New Roman" w:hAnsi="Times New Roman"/>
          <w:sz w:val="17"/>
          <w:szCs w:val="17"/>
          <w:color w:val="auto"/>
        </w:rPr>
      </w:pPr>
    </w:p>
    <w:p>
      <w:pPr>
        <w:ind w:left="311" w:right="20" w:hanging="311"/>
        <w:spacing w:after="0" w:line="29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if approved, may fail to achieve or maintain market acceptance by physicians, patients, third-party payors and others in the medical community necessary for commercial success.</w:t>
      </w:r>
    </w:p>
    <w:p>
      <w:pPr>
        <w:spacing w:after="0" w:line="172" w:lineRule="exact"/>
        <w:rPr>
          <w:rFonts w:ascii="Times New Roman" w:cs="Times New Roman" w:eastAsia="Times New Roman" w:hAnsi="Times New Roman"/>
          <w:sz w:val="17"/>
          <w:szCs w:val="17"/>
          <w:color w:val="auto"/>
        </w:rPr>
      </w:pPr>
    </w:p>
    <w:p>
      <w:pPr>
        <w:ind w:left="311" w:hanging="311"/>
        <w:spacing w:after="0" w:line="268"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manufacture of our product candidates, for ourselves and our collaborators, is complex, and we may encounter difficulties in production. There can be no assurance that we will be able to effectively manufacture clinical quantities of our product candidates in the future. Further, we have limited experience in large-scale commercial manufacturing, and there can be no assurance that we will be able to effectively manufacture commercial quantities of our products or product candidates for ourselves or our collaborators, if and when approved.</w:t>
      </w:r>
    </w:p>
    <w:p>
      <w:pPr>
        <w:spacing w:after="0" w:line="194" w:lineRule="exact"/>
        <w:rPr>
          <w:rFonts w:ascii="Times New Roman" w:cs="Times New Roman" w:eastAsia="Times New Roman" w:hAnsi="Times New Roman"/>
          <w:sz w:val="17"/>
          <w:szCs w:val="17"/>
          <w:color w:val="auto"/>
        </w:rPr>
      </w:pPr>
    </w:p>
    <w:p>
      <w:pPr>
        <w:ind w:left="311" w:right="520" w:hanging="311"/>
        <w:spacing w:after="0" w:line="29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manufacturing facility is subject to significant government regulations and approvals, which are often costly and could result in adverse consequences to our business if we fail to comply with the regulations or maintain the approvals.</w:t>
      </w:r>
    </w:p>
    <w:p>
      <w:pPr>
        <w:spacing w:after="0" w:line="172" w:lineRule="exact"/>
        <w:rPr>
          <w:rFonts w:ascii="Times New Roman" w:cs="Times New Roman" w:eastAsia="Times New Roman" w:hAnsi="Times New Roman"/>
          <w:sz w:val="17"/>
          <w:szCs w:val="17"/>
          <w:color w:val="auto"/>
        </w:rPr>
      </w:pPr>
    </w:p>
    <w:p>
      <w:pPr>
        <w:ind w:left="311" w:right="80" w:hanging="311"/>
        <w:spacing w:after="0" w:line="27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limited experience in launching and marketing biopharmaceutical products. If our product candidates achieve regulatory approval and we are unable to develop marketing and sales capabilities or enter into agreements with third parties to market and sell our products, we may not be able to generate substantial product sales revenue.</w:t>
      </w:r>
    </w:p>
    <w:p>
      <w:pPr>
        <w:spacing w:after="0" w:line="190"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future success depends on our ability to attract or retain key executives and to attract, retain and motivate qualified personnel.</w:t>
      </w:r>
    </w:p>
    <w:p>
      <w:pPr>
        <w:spacing w:after="0" w:line="247" w:lineRule="exact"/>
        <w:rPr>
          <w:rFonts w:ascii="Times New Roman" w:cs="Times New Roman" w:eastAsia="Times New Roman" w:hAnsi="Times New Roman"/>
          <w:sz w:val="17"/>
          <w:szCs w:val="17"/>
          <w:color w:val="auto"/>
        </w:rPr>
      </w:pPr>
    </w:p>
    <w:p>
      <w:pPr>
        <w:ind w:left="311" w:right="120" w:hanging="311"/>
        <w:spacing w:after="0" w:line="29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changes to the laws, regulations, policies and governmental priorities, governing the health care system may have a negative impact on cost and access to health insurance coverage and reimbursement of health care items and services.</w:t>
      </w:r>
    </w:p>
    <w:p>
      <w:pPr>
        <w:spacing w:after="0" w:line="172"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Reimbursement decisions by third-party payors, including government payors, may have an adverse effect on pricing and market acceptance.</w:t>
      </w:r>
    </w:p>
    <w:p>
      <w:pPr>
        <w:spacing w:after="0" w:line="247"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Raising additional capital may cause dilution to our stockholders, restrict our operations or require us to relinquish substantial rights.</w:t>
      </w:r>
    </w:p>
    <w:p>
      <w:pPr>
        <w:spacing w:after="0" w:line="247" w:lineRule="exact"/>
        <w:rPr>
          <w:rFonts w:ascii="Times New Roman" w:cs="Times New Roman" w:eastAsia="Times New Roman" w:hAnsi="Times New Roman"/>
          <w:sz w:val="17"/>
          <w:szCs w:val="17"/>
          <w:color w:val="auto"/>
        </w:rPr>
      </w:pPr>
    </w:p>
    <w:p>
      <w:pPr>
        <w:ind w:left="311" w:right="20" w:hanging="311"/>
        <w:spacing w:after="0" w:line="27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contract with, and may in the future contract with, third parties for components of the manufacturing of our product candidates, including our antibody drug conjugate candidates. Failure of third-party contractors to successfully perform their obligations could harm our ability to develop or commercialize our product or product candidates.</w:t>
      </w:r>
    </w:p>
    <w:p>
      <w:pPr>
        <w:spacing w:after="0" w:line="190" w:lineRule="exact"/>
        <w:rPr>
          <w:rFonts w:ascii="Times New Roman" w:cs="Times New Roman" w:eastAsia="Times New Roman" w:hAnsi="Times New Roman"/>
          <w:sz w:val="17"/>
          <w:szCs w:val="17"/>
          <w:color w:val="auto"/>
        </w:rPr>
      </w:pPr>
    </w:p>
    <w:p>
      <w:pPr>
        <w:ind w:left="311" w:right="480" w:hanging="311"/>
        <w:spacing w:after="0" w:line="268"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information technology systems or those third parties upon which we rely for our data,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94" w:lineRule="exact"/>
        <w:rPr>
          <w:rFonts w:ascii="Times New Roman" w:cs="Times New Roman" w:eastAsia="Times New Roman" w:hAnsi="Times New Roman"/>
          <w:sz w:val="17"/>
          <w:szCs w:val="17"/>
          <w:color w:val="auto"/>
        </w:rPr>
      </w:pPr>
    </w:p>
    <w:p>
      <w:pPr>
        <w:ind w:left="311" w:hanging="311"/>
        <w:spacing w:after="0"/>
        <w:tabs>
          <w:tab w:leader="none" w:pos="311"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success depends significantly on our ability to operate without infringing the valid patents and other proprietary rights of third parties.</w:t>
      </w:r>
    </w:p>
    <w:p>
      <w:pPr>
        <w:spacing w:after="0" w:line="247" w:lineRule="exact"/>
        <w:rPr>
          <w:rFonts w:ascii="Times New Roman" w:cs="Times New Roman" w:eastAsia="Times New Roman" w:hAnsi="Times New Roman"/>
          <w:sz w:val="17"/>
          <w:szCs w:val="17"/>
          <w:color w:val="auto"/>
        </w:rPr>
      </w:pPr>
    </w:p>
    <w:p>
      <w:pPr>
        <w:ind w:left="311" w:right="140" w:hanging="311"/>
        <w:spacing w:after="0" w:line="29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we are unable to obtain and enforce patent protection for our products and our product candidates and related technology, our business could be materially harmed.</w:t>
      </w:r>
    </w:p>
    <w:p>
      <w:pPr>
        <w:spacing w:after="0" w:line="172" w:lineRule="exact"/>
        <w:rPr>
          <w:rFonts w:ascii="Times New Roman" w:cs="Times New Roman" w:eastAsia="Times New Roman" w:hAnsi="Times New Roman"/>
          <w:sz w:val="17"/>
          <w:szCs w:val="17"/>
          <w:color w:val="auto"/>
        </w:rPr>
      </w:pPr>
    </w:p>
    <w:p>
      <w:pPr>
        <w:ind w:left="311" w:right="320" w:hanging="311"/>
        <w:spacing w:after="0" w:line="294" w:lineRule="auto"/>
        <w:tabs>
          <w:tab w:leader="none" w:pos="30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have been and may in the future be subject to securities litigation, which is expensive and could divert management attention and adversely impact our business.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4911"/>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-408940</wp:posOffset>
            </wp:positionH>
            <wp:positionV relativeFrom="paragraph">
              <wp:posOffset>73025</wp:posOffset>
            </wp:positionV>
            <wp:extent cx="7162800"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571"/>
          </w:cols>
          <w:pgMar w:left="949" w:top="1098" w:right="379" w:bottom="1440" w:gutter="0" w:footer="0" w:header="0"/>
        </w:sectPr>
      </w:pPr>
    </w:p>
    <w:bookmarkStart w:id="25" w:name="page26"/>
    <w:bookmarkEnd w:id="25"/>
    <w:p>
      <w:pPr>
        <w:ind w:left="940" w:right="280" w:hanging="311"/>
        <w:spacing w:after="0" w:line="294" w:lineRule="auto"/>
        <w:tabs>
          <w:tab w:leader="none" w:pos="9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successfully develop and commercialize companion diagnostics with third party contractors for use with our product candidates could harm our ability to commercialize our product candidates.</w:t>
      </w:r>
    </w:p>
    <w:p>
      <w:pPr>
        <w:spacing w:after="0" w:line="172" w:lineRule="exact"/>
        <w:rPr>
          <w:rFonts w:ascii="Times New Roman" w:cs="Times New Roman" w:eastAsia="Times New Roman" w:hAnsi="Times New Roman"/>
          <w:sz w:val="17"/>
          <w:szCs w:val="17"/>
          <w:color w:val="auto"/>
        </w:rPr>
      </w:pPr>
    </w:p>
    <w:p>
      <w:pPr>
        <w:ind w:left="940" w:right="420" w:hanging="311"/>
        <w:spacing w:after="0" w:line="294" w:lineRule="auto"/>
        <w:tabs>
          <w:tab w:leader="none" w:pos="935"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product liability lawsuits are successfully brought against us or any of our collaborators, we may incur substantial liabilities and may be required to limit commercialization of our product candidates.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Financial Position and Need for Additional Capital</w:t>
      </w:r>
    </w:p>
    <w:p>
      <w:pPr>
        <w:spacing w:after="0" w:line="245" w:lineRule="exact"/>
        <w:rPr>
          <w:sz w:val="20"/>
          <w:szCs w:val="20"/>
          <w:color w:val="auto"/>
        </w:rPr>
      </w:pPr>
    </w:p>
    <w:p>
      <w:pPr>
        <w:ind w:right="1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will require substantial additional funding, which may not be available to us on acceptable terms, or at all, and, if not available, may require us to delay, scale back, or cease our product development programs or operations.</w:t>
      </w:r>
    </w:p>
    <w:p>
      <w:pPr>
        <w:spacing w:after="0" w:line="168"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Discovering, developing and commercializing pharmaceutical products, including conducting nonclinical studies and clinical trials, is expensive. In order to obtain regulatory approval of product candidates, we will be required to conduct clinical trials for each indication for each of our product candidates. We will continue to require additional funding beyond what was raised in our public offerings and through our collaborations and license agreements to complete the development and commercialization of our product candidates and to continue to advance the development of our other product candidates. Due to worsening and highly uncertain global economic conditions, including high rates of inflation, fluctuating interest rates and concerns of a recession or economic volatility in the United States or other major markets, the recent disruptions to and volatility in the credit and financial markets in the United States and worldwide, and geopolitical instability, including but not limited to resulting from the ongoing conflicts between Russia and Ukraine, the regional conflict in the Middle East and increasing tensions between China and Taiwan, such funding may not be available on acceptable terms or at all. Although it is difficult to predict our funding requirements, we anticipate that our cash, cash equivalents and marketable securities as of December 31, 2024, combined with anticipated and potential collaboration payments, contract manufacturing revenue, and royalties, should enable us to fund our operations into the second half of 2026. Such guidance does not reflect or further expansion of studies currently ongoing. Because development of our product candidates is uncertain, we are unable to estimate accurately the actual funds we will require to complete research, development and clinical testing to commercialize our product candidates. Our future funding requirements will depend on many factors, including but not limited to:</w:t>
      </w:r>
    </w:p>
    <w:p>
      <w:pPr>
        <w:spacing w:after="0" w:line="201" w:lineRule="exact"/>
        <w:rPr>
          <w:sz w:val="20"/>
          <w:szCs w:val="20"/>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number and characteristics of other product candidates and indications that we pursue;</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scope, progress, timing, cost and results of research, nonclinical development, and clinical trials;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timing and outcome of seeking and obtaining FDA and non-U.S. regulatory approvals;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associated with manufacturing our product candidates as well as the costs of operation of our manufacturing facility;</w:t>
      </w:r>
    </w:p>
    <w:p>
      <w:pPr>
        <w:spacing w:after="0" w:line="247" w:lineRule="exact"/>
        <w:rPr>
          <w:rFonts w:ascii="Times New Roman" w:cs="Times New Roman" w:eastAsia="Times New Roman" w:hAnsi="Times New Roman"/>
          <w:sz w:val="17"/>
          <w:szCs w:val="17"/>
          <w:color w:val="auto"/>
        </w:rPr>
      </w:pPr>
    </w:p>
    <w:p>
      <w:pPr>
        <w:ind w:left="940" w:right="360" w:hanging="311"/>
        <w:spacing w:after="0" w:line="294" w:lineRule="auto"/>
        <w:tabs>
          <w:tab w:leader="none" w:pos="9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economic and other terms, timing of and success of our existing collaborations, and any collaboration, licensing, or other arrangements into which we may enter in the future, including the timing of receipt of any milestone or royalty payments under these agreements;</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establishing sales, marketing, and distribution capabilities;</w:t>
      </w:r>
    </w:p>
    <w:p>
      <w:pPr>
        <w:spacing w:after="0" w:line="247" w:lineRule="exact"/>
        <w:rPr>
          <w:rFonts w:ascii="Times New Roman" w:cs="Times New Roman" w:eastAsia="Times New Roman" w:hAnsi="Times New Roman"/>
          <w:sz w:val="17"/>
          <w:szCs w:val="17"/>
          <w:color w:val="auto"/>
        </w:rPr>
      </w:pPr>
    </w:p>
    <w:p>
      <w:pPr>
        <w:ind w:left="940" w:right="280" w:hanging="311"/>
        <w:spacing w:after="0" w:line="294" w:lineRule="auto"/>
        <w:tabs>
          <w:tab w:leader="none" w:pos="9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maintain, expand, and defend the scope of our intellectual property portfolio, including the amount and timing of any payments we may be required to make in connection with the licensing, filing, defense and enforcement of any patents or other intellectual property rights;</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need and ability to hire additional management, scientific, and medical personnel;</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 of competing products that may limit market potential of our product candidates;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need to implement additional internal systems and infrastructure, including financial and reporting systems;</w:t>
      </w:r>
    </w:p>
    <w:p>
      <w:pPr>
        <w:spacing w:after="0" w:line="247" w:lineRule="exact"/>
        <w:rPr>
          <w:rFonts w:ascii="Times New Roman" w:cs="Times New Roman" w:eastAsia="Times New Roman" w:hAnsi="Times New Roman"/>
          <w:sz w:val="17"/>
          <w:szCs w:val="17"/>
          <w:color w:val="auto"/>
        </w:rPr>
      </w:pPr>
    </w:p>
    <w:p>
      <w:pPr>
        <w:ind w:left="940" w:right="360" w:hanging="311"/>
        <w:spacing w:after="0" w:line="294" w:lineRule="auto"/>
        <w:tabs>
          <w:tab w:leader="none" w:pos="9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economic and other terms, timing of and success of our existing collaborations, and any collaboration, licensing, or other arrangements into which we may enter in the future, including the timing of receipt of any milestone or royalty payments under these agreements; and</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costs of establishing sales, marketing, and distribution capabilities.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26" w:name="page27"/>
    <w:bookmarkEnd w:id="26"/>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Until we can generate a sufficient amount of product revenue to finance our cash requirements, which we may never do, we expect to finance future cash needs primarily through a combination of public or private equity offerings, debt financings, strategic collaborations, and grant funding. If sufficient funds on acceptable terms are not available when needed, or at all, we could be forced to significantly reduce operating expenses and delay, scale back or eliminate one or more of our development programs or our business operations.</w:t>
      </w:r>
    </w:p>
    <w:p>
      <w:pPr>
        <w:spacing w:after="0" w:line="191"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have incurred significant losses since inception and anticipate that we will continue to incur losses for the foreseeable future. We may never achieve or sustain profitability.</w:t>
      </w:r>
    </w:p>
    <w:p>
      <w:pPr>
        <w:spacing w:after="0" w:line="168"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We have incurred significant losses since our inception. As of December 31, 2024, our accumulated deficit was approximately $1.2 billion. We expect to continue to incur losses for the foreseeable future, and we expect our accumulated deficit to increase as we continue our research and development of, and seek regulatory approvals for, our product candidates, manufacture product and product candidate inventory, prepare for and begin to commercialize any future approved products, and add infrastructure and personnel if needed to support our product development efforts and operations as a public company. The net losses and negative cash flows incurred to date, together with expected future losses, have had, and likely will continue to have, an adverse effect on our stockholders' deficit and working capital. The amount of future net losses will depend, in part, on the rate of future growth of our expenses and our ability to generate revenue.</w:t>
      </w:r>
    </w:p>
    <w:p>
      <w:pPr>
        <w:spacing w:after="0" w:line="199"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Because of the numerous risks and uncertainties associated with pharmaceutical product development and commercialization, we are unable to accurately predict the timing or amount of increased expenses or when, or if, we will be able to achieve profitability. For example, our expenses could increase if we are required by the FDA to perform trials in addition to those that we currently expect to perform, or if there are any delays in completing our currently planned clinical trials or in the development of any of our product candidates. Our expenses would significantly increase to the extent we build out a sales force and other commercially relevant functions to support the commercialization of any of our product candidates.</w:t>
      </w:r>
    </w:p>
    <w:p>
      <w:pPr>
        <w:spacing w:after="0" w:line="197" w:lineRule="exact"/>
        <w:rPr>
          <w:sz w:val="20"/>
          <w:szCs w:val="20"/>
          <w:color w:val="auto"/>
        </w:rPr>
      </w:pPr>
    </w:p>
    <w:p>
      <w:pPr>
        <w:ind w:right="100" w:firstLine="625"/>
        <w:spacing w:after="0" w:line="262" w:lineRule="auto"/>
        <w:rPr>
          <w:sz w:val="20"/>
          <w:szCs w:val="20"/>
          <w:color w:val="auto"/>
        </w:rPr>
      </w:pPr>
      <w:r>
        <w:rPr>
          <w:rFonts w:ascii="Times New Roman" w:cs="Times New Roman" w:eastAsia="Times New Roman" w:hAnsi="Times New Roman"/>
          <w:sz w:val="17"/>
          <w:szCs w:val="17"/>
          <w:color w:val="auto"/>
        </w:rPr>
        <w:t>To become and remain profitable, we must succeed in developing and commercializing products with significant market potential. In order to commercialize any additional product candidates, we will need to be successful in a range of challenging activities for which we are only in the preliminary stages, including developing product candidates, obtaining regulatory approval for them, and manufacturing, marketing and selling approved products and product candidates for which we may obtain regulatory approval. We may never succeed in these activities and may never generate revenue from product sales that is significant enough to achieve profitability. Even if we achieve profitability in the future, we may not be able to sustain profitability in subsequent periods. Our failure to become or remain profitable would depress our market value and could impair our ability to raise capital, expand our business, develop other product candidates, or continue our operations. A decline in the value of our company could also cause you to lose all or part of your investment.</w:t>
      </w:r>
    </w:p>
    <w:p>
      <w:pPr>
        <w:spacing w:after="0" w:line="195" w:lineRule="exact"/>
        <w:rPr>
          <w:sz w:val="20"/>
          <w:szCs w:val="20"/>
          <w:color w:val="auto"/>
        </w:rPr>
      </w:pPr>
    </w:p>
    <w:p>
      <w:pPr>
        <w:jc w:val="both"/>
        <w:ind w:right="12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Our business could be adversely affected by economic downturns, inflation, increases in interest rates, disruption in global supply chains, natural disasters, political crises, geopolitical events, such as the ongoing military conflict in Ukraine, or other macroeconomic conditions, which have in the past and may in the future negatively impact our business and financial performance.</w:t>
      </w:r>
    </w:p>
    <w:p>
      <w:pPr>
        <w:spacing w:after="0" w:line="187" w:lineRule="exact"/>
        <w:rPr>
          <w:sz w:val="20"/>
          <w:szCs w:val="20"/>
          <w:color w:val="auto"/>
        </w:rPr>
      </w:pPr>
    </w:p>
    <w:p>
      <w:pPr>
        <w:ind w:right="40" w:firstLine="625"/>
        <w:spacing w:after="0" w:line="259" w:lineRule="auto"/>
        <w:rPr>
          <w:sz w:val="20"/>
          <w:szCs w:val="20"/>
          <w:color w:val="auto"/>
        </w:rPr>
      </w:pPr>
      <w:r>
        <w:rPr>
          <w:rFonts w:ascii="Times New Roman" w:cs="Times New Roman" w:eastAsia="Times New Roman" w:hAnsi="Times New Roman"/>
          <w:sz w:val="17"/>
          <w:szCs w:val="17"/>
          <w:color w:val="auto"/>
        </w:rPr>
        <w:t>The global economy, including credit and financial markets, has experienced extreme volatility and disruptions, including, among other things, severely diminished liquidity and credit availability, declines in consumer confidence, declines in economic growth, supply chain shortages, increases in inflation rates, higher interest rates and uncertainty about economic stability. Over the past several years, the Federal Reserve has raised interest rates multiple times in response to concerns about inflation and it may raise them again. Higher interest rates, coupled with reduced government spending and volatility in financial markets, may increase economic uncertainty and affect consumer spending. Similarly, the ongoing military conflicts between Russia and Ukraine, the regional conflict in the Middle East and increasing tensions between China and Taiwan have created extreme volatility in the global capital markets and is expected to have further global economic consequences, including disruptions of the global supply chain and energy markets. Further, tariffs imposed by either the U.S. government or foreign governments could increase the cost of manufacturing our product candidates, although we are seeking alternative sources for certain components to mitigate supply risk. Any such or other volatility or global market disruptions may adversely affect our business or the third parties on whom we rely. If the equity and credit markets deteriorate, including as a result of political unrest or war, it may make any necessary debt or equity financing more costly or more dilutive or more difficult to obtain in a timely manner or on favorable terms, if at all. Increased inflation rates can adversely affect us by increasing our costs, including labor and employee benefit costs.</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7"/>
          <w:szCs w:val="17"/>
          <w:b w:val="1"/>
          <w:bCs w:val="1"/>
          <w:i w:val="1"/>
          <w:iCs w:val="1"/>
          <w:color w:val="auto"/>
        </w:rPr>
        <w:t>Raising additional capital may cause dilution to our stockholders, restrict our operations or require us to relinquish substantial rights.</w:t>
      </w:r>
    </w:p>
    <w:p>
      <w:pPr>
        <w:spacing w:after="0" w:line="251"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To the extent that we raise additional capital through the sale of equity or convertible debt securities, your ownership interest will be diluted, and the terms of these new securities may include liquidation or other preferences that adversely affect your rights as a common stockholder. Debt financing, if available at all, may involve agreements that include covenants limiting or restricting our ability to take specific actions such as incurring additional debt, making capital expenditures, or declaring dividends. If we raise additional funds through collaborations, strategic alliances, or licensing arrangements with third parties, we may have to relinquish valuable rights to our technologies, product candidates, or future revenue streams, or grant licenses on terms that are not favorable to us. We cannot assure you that we will be able to obtain additional funding if and when necessary. If we are unable to obtain adequate financing on a timely basis, we could be required to delay, scale back or eliminate one or more of our development programs or grant rights to develop and market product candidates that we would otherwise prefer to develop and market ourselves.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ability to use our net operating loss carryforwards and other tax attributes may be limited.</w:t>
      </w:r>
    </w:p>
    <w:p>
      <w:pPr>
        <w:spacing w:after="0" w:line="251" w:lineRule="exact"/>
        <w:rPr>
          <w:sz w:val="20"/>
          <w:szCs w:val="20"/>
          <w:color w:val="auto"/>
        </w:rPr>
      </w:pPr>
    </w:p>
    <w:p>
      <w:pPr>
        <w:ind w:right="80" w:firstLine="625"/>
        <w:spacing w:after="0" w:line="259" w:lineRule="auto"/>
        <w:rPr>
          <w:sz w:val="20"/>
          <w:szCs w:val="20"/>
          <w:color w:val="auto"/>
        </w:rPr>
      </w:pPr>
      <w:r>
        <w:rPr>
          <w:rFonts w:ascii="Times New Roman" w:cs="Times New Roman" w:eastAsia="Times New Roman" w:hAnsi="Times New Roman"/>
          <w:sz w:val="17"/>
          <w:szCs w:val="17"/>
          <w:color w:val="auto"/>
        </w:rPr>
        <w:t>U.S. federal net operating loss (NOL) carryforwards generated in taxable periods beginning after December 31, 2017, may be carried forward indefinitely, but the deductibility of such NOL carryforwards in a taxable year is limited to 80% of taxable income in such year. In addition, our ability to utilize portions of our federal NOL carryforwards and federal tax credits is currently limited, and may be limited further, under Sections 382 and 383 of the Internal Revenue Code of 1986, as amended. The limitations apply if an ownership change, as defined by Section 382, occurs. Generally, an ownership change occurs when certain shareholders increase their aggregate ownership by more than 50 percentage points over their lowest ownership percentage in a testing period, which is typically three years or since the last ownership change. We are already subject to Section 382 limitations due to acquisitions we made in 2002 and 2008. As of December 31, 2024, we had federal and state NOL carryforwards of approximately $554.0 million and federal research and development tax credits of approximately $109.0 million available. Future changes in stock ownership may also trigger an ownership change and, consequently, another Section 382 limitation. Similar rules may apply under state tax laws. In addition, there may be other limitations under state law on our ability to utilize NOL carryforwards, including temporary suspensions or other limitations on the use of NOL carryforwards s to offset taxable income. Any limitation may result in expiration of a portion of the net operating loss or tax credit carryforwards before utilization which would reduce our gross deferred income tax assets and corresponding valuation allowance. As a result, if we earn net taxable income, our ability to use our pre-change NOL carryforwards and tax credit carryforwards to reduce United States federal income tax may be subject to limitations, which could potentially result in increased future cash tax liability to us.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Business and the Development and Commercialization of Our Product Candidates</w:t>
      </w:r>
    </w:p>
    <w:p>
      <w:pPr>
        <w:spacing w:after="0" w:line="167"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depend substantially on the success of the clinical development of our product candidates, through our own efforts or those of our collaborators. If we or our collaborators are unable to successfully complete clinical development, obtain additional regulatory approvals and commercialize our product candidates, or experience significant delays in doing so, our business will be materially harmed and we may not be able to generate sufficient revenues and cash flows to continue our operations.</w:t>
      </w:r>
    </w:p>
    <w:p>
      <w:pPr>
        <w:spacing w:after="0" w:line="192" w:lineRule="exact"/>
        <w:rPr>
          <w:sz w:val="20"/>
          <w:szCs w:val="20"/>
          <w:color w:val="auto"/>
        </w:rPr>
      </w:pPr>
    </w:p>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Our business depends on the successful development, regulatory approval and commercialization of our product candidates. We have invested and will continue to invest a significant portion of our efforts and financial resources in the development of our product candidates. The success of our product candidates depends on many factors, including but not limited to:</w:t>
      </w:r>
    </w:p>
    <w:p>
      <w:pPr>
        <w:spacing w:after="0" w:line="190" w:lineRule="exact"/>
        <w:rPr>
          <w:sz w:val="20"/>
          <w:szCs w:val="20"/>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 and timely patient enrollment in, and completion of, clinical trials, as well as completion of nonclinical studies;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acceptability and adequacy of safety, tolerability and efficacy data from our clinical trials and other studies;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sufficiency of our financial resources and ability to obtain additional funding for the development of our product candidates;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regulatory approvals;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59" w:right="379" w:bottom="1440" w:gutter="0" w:footer="0" w:header="0"/>
        </w:sectPr>
      </w:pPr>
    </w:p>
    <w:bookmarkStart w:id="28" w:name="page29"/>
    <w:bookmarkEnd w:id="28"/>
    <w:p>
      <w:pPr>
        <w:ind w:left="940" w:right="140" w:hanging="311"/>
        <w:spacing w:after="0" w:line="294" w:lineRule="auto"/>
        <w:tabs>
          <w:tab w:leader="none" w:pos="9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performance by clinical research organizations (CROs) or other third parties we may retain of their duties to us in a manner that complies with our protocols and applicable laws and that protects the integrity of the resulting data;</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and maintaining patent, trade secret and other intellectual property protection and regulatory exclusivity;</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ensuring we do not infringe, misappropriate or otherwise violate the valid patent, trade secret or other intellectual property rights of third parties;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successfully launching our product candidates if and when approved;</w:t>
      </w:r>
    </w:p>
    <w:p>
      <w:pPr>
        <w:spacing w:after="0" w:line="247" w:lineRule="exact"/>
        <w:rPr>
          <w:rFonts w:ascii="Times New Roman" w:cs="Times New Roman" w:eastAsia="Times New Roman" w:hAnsi="Times New Roman"/>
          <w:sz w:val="17"/>
          <w:szCs w:val="17"/>
          <w:color w:val="auto"/>
        </w:rPr>
      </w:pPr>
    </w:p>
    <w:p>
      <w:pPr>
        <w:ind w:left="940" w:hanging="311"/>
        <w:spacing w:after="0" w:line="294" w:lineRule="auto"/>
        <w:tabs>
          <w:tab w:leader="none" w:pos="9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maintaining commercial manufacturing capabilities, either by utilizing our current manufacturing facilities or making arrangements with third-party manufacturers;</w:t>
      </w:r>
    </w:p>
    <w:p>
      <w:pPr>
        <w:spacing w:after="0" w:line="172" w:lineRule="exact"/>
        <w:rPr>
          <w:rFonts w:ascii="Times New Roman" w:cs="Times New Roman" w:eastAsia="Times New Roman" w:hAnsi="Times New Roman"/>
          <w:sz w:val="17"/>
          <w:szCs w:val="17"/>
          <w:color w:val="auto"/>
        </w:rPr>
      </w:pPr>
    </w:p>
    <w:p>
      <w:pPr>
        <w:ind w:left="940" w:hanging="311"/>
        <w:spacing w:after="0" w:line="294" w:lineRule="auto"/>
        <w:tabs>
          <w:tab w:leader="none" w:pos="935"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manufacturing or obtaining sufficient supplies of our product candidates that may be necessary for use in clinical trials for evaluation of our product candidates and commercialization of our products;</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obtaining favorable reimbursement from third-party payors for product candidates;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with other products;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post-marketing commitments to regulatory agencies following regulatory approval; and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continued acceptable safety profile following regulatory approval.</w:t>
      </w:r>
    </w:p>
    <w:p>
      <w:pPr>
        <w:spacing w:after="0" w:line="243"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Clinical drug development involves a lengthy and expensive process, with a highly uncertain outcome. We expect to incur significant additional costs related to the development of our product candidates and may experience delays in completing, or ultimately be unable to complete, the development and commercialization of our other product candidates.</w:t>
      </w:r>
    </w:p>
    <w:p>
      <w:pPr>
        <w:spacing w:after="0" w:line="109" w:lineRule="exact"/>
        <w:rPr>
          <w:sz w:val="20"/>
          <w:szCs w:val="20"/>
          <w:color w:val="auto"/>
        </w:rPr>
      </w:pPr>
    </w:p>
    <w:p>
      <w:pPr>
        <w:ind w:right="100" w:firstLine="625"/>
        <w:spacing w:after="0" w:line="263" w:lineRule="auto"/>
        <w:rPr>
          <w:sz w:val="20"/>
          <w:szCs w:val="20"/>
          <w:color w:val="auto"/>
        </w:rPr>
      </w:pPr>
      <w:r>
        <w:rPr>
          <w:rFonts w:ascii="Times New Roman" w:cs="Times New Roman" w:eastAsia="Times New Roman" w:hAnsi="Times New Roman"/>
          <w:sz w:val="17"/>
          <w:szCs w:val="17"/>
          <w:color w:val="auto"/>
        </w:rPr>
        <w:t>The research, testing, manufacturing, labeling, approval, selling, marketing and distribution of drug products are subject to extensive regulation by the FDA and non-U.S. regulatory authorities, which regulations differ from country to country. We are not permitted to market our product candidates in the United States or in other countries until we receive approval of a BLA from the FDA or marketing approval from applicable regulatory authorities outside the United States. Our product candidates are in various stages of development and are subject to the risks of failure inherent in drug development. The approval of a BLA can be a lengthy, expensive and uncertain process. In addition, failure to comply with FDA and non-U.S. regulatory requirements may, either before or after product approval, subject our company or our collaborators to administrative or judicially imposed sanctions, including:</w:t>
      </w:r>
    </w:p>
    <w:p>
      <w:pPr>
        <w:spacing w:after="0" w:line="199" w:lineRule="exact"/>
        <w:rPr>
          <w:sz w:val="20"/>
          <w:szCs w:val="20"/>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our ability to conduct clinical trials, including full or partial clinical holds on ongoing or planned trials;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the products, manufacturers, manufacturing facilities or manufacturing process;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fines, warning letters or untitled letters;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civil and criminal penalties;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or withdrawal of regulatory approvals;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seizures, detentions or import bans;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voluntary or mandatory product recalls;</w:t>
      </w:r>
    </w:p>
    <w:p>
      <w:pPr>
        <w:spacing w:after="0" w:line="247" w:lineRule="exact"/>
        <w:rPr>
          <w:rFonts w:ascii="Times New Roman" w:cs="Times New Roman" w:eastAsia="Times New Roman" w:hAnsi="Times New Roman"/>
          <w:sz w:val="17"/>
          <w:szCs w:val="17"/>
          <w:color w:val="auto"/>
        </w:rPr>
      </w:pPr>
    </w:p>
    <w:p>
      <w:pPr>
        <w:ind w:left="940" w:right="620" w:hanging="311"/>
        <w:spacing w:after="0" w:line="294" w:lineRule="auto"/>
        <w:tabs>
          <w:tab w:leader="none" w:pos="935"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issuance of safety alerts, Dear Healthcare Provider letters, press releases and other communications containing warnings or other safety information about the product;</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or partial suspension of production;</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29" w:name="page30"/>
    <w:bookmarkEnd w:id="29"/>
    <w:p>
      <w:pPr>
        <w:ind w:left="940" w:hanging="311"/>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consent decrees, corporate integrity agreements, debarment or exclusion from federal healthcare programs;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restrictions on marketing or operations, including costly new manufacturing requirements; and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to approve pending BLAs or supplements to approved BLAs or analogous marketing approvals outside the United States.</w:t>
      </w:r>
    </w:p>
    <w:p>
      <w:pPr>
        <w:spacing w:after="0" w:line="247"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The FDA and foreign regulatory authorities also have substantial discretion in the drug approval process. The number of nonclinical studies and clinical trials that will be required for regulatory approval varies depending on the product candidate, the disease or condition that the product candidate is designed to address, and the regulations applicable to any particular drug candidate. Regulatory agencies can delay, limit or deny approval of a product candidate for many reasons, including:</w:t>
      </w:r>
    </w:p>
    <w:p>
      <w:pPr>
        <w:spacing w:after="0" w:line="195" w:lineRule="exact"/>
        <w:rPr>
          <w:sz w:val="20"/>
          <w:szCs w:val="20"/>
          <w:color w:val="auto"/>
        </w:rPr>
      </w:pPr>
    </w:p>
    <w:p>
      <w:pPr>
        <w:ind w:left="940" w:hanging="311"/>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product candidate may not be deemed safe or effective;</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results may not confirm the positive results from earlier nonclinical studies or clinical trials;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agencies may not find the data from nonclinical studies and clinical trials sufficient or meaningful;</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agencies might not approve or might require changes to our manufacturing processes or facilities; or</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agencies may change their approval policies or adopt new regulations.</w:t>
      </w:r>
    </w:p>
    <w:p>
      <w:pPr>
        <w:spacing w:after="0" w:line="247"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Any delay in obtaining or failure to obtain required approvals could materially adversely affect our ability to generate revenue from the particular product candidate, which likely would result in significant harm to our financial position and adversely impact our stock price. Furthermore, any regulatory approval to market a product may be subject to limitations on the indicated uses for which we may market the product. These limitations may limit the size of the potential market for a product candidate, if approved.</w:t>
      </w:r>
    </w:p>
    <w:p>
      <w:pPr>
        <w:spacing w:after="0" w:line="191" w:lineRule="exact"/>
        <w:rPr>
          <w:sz w:val="20"/>
          <w:szCs w:val="20"/>
          <w:color w:val="auto"/>
        </w:rPr>
      </w:pPr>
    </w:p>
    <w:p>
      <w:pPr>
        <w:ind w:right="4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clinical trials for our product candidates are prolonged, delayed or stopped, for any reason, we may be unable to obtain regulatory approval and commercialize our product candidates on a timely basis, which would require us to incur additional costs and delay our receipt of any product revenue.</w:t>
      </w:r>
    </w:p>
    <w:p>
      <w:pPr>
        <w:spacing w:after="0" w:line="168" w:lineRule="exact"/>
        <w:rPr>
          <w:sz w:val="20"/>
          <w:szCs w:val="20"/>
          <w:color w:val="auto"/>
        </w:rPr>
      </w:pPr>
    </w:p>
    <w:p>
      <w:pPr>
        <w:ind w:right="140" w:firstLine="625"/>
        <w:spacing w:after="0" w:line="265" w:lineRule="auto"/>
        <w:rPr>
          <w:sz w:val="20"/>
          <w:szCs w:val="20"/>
          <w:color w:val="auto"/>
        </w:rPr>
      </w:pPr>
      <w:r>
        <w:rPr>
          <w:rFonts w:ascii="Times New Roman" w:cs="Times New Roman" w:eastAsia="Times New Roman" w:hAnsi="Times New Roman"/>
          <w:sz w:val="17"/>
          <w:szCs w:val="17"/>
          <w:color w:val="auto"/>
        </w:rPr>
        <w:t>We, or our collaborators or investigators, are either currently enrolling patients in clinical trials or anticipate initiating, continuing, designing, or supporting clinical trials for molecules that include lorigerlimab, retifanlimab, vobra duo, MGD024, MGC026, MGC028, or other molecules, as monotherapies or in combination with other product candidates. We anticipate in the future collaborators will initiate or continue clinical trials of one or more our product candidates. The continuation, modification, or commencement of existing or new clinical trials could be substantially delayed or prevented by several factors, including:</w:t>
      </w:r>
    </w:p>
    <w:p>
      <w:pPr>
        <w:spacing w:after="0" w:line="197" w:lineRule="exact"/>
        <w:rPr>
          <w:sz w:val="20"/>
          <w:szCs w:val="20"/>
          <w:color w:val="auto"/>
        </w:rPr>
      </w:pPr>
    </w:p>
    <w:p>
      <w:pPr>
        <w:ind w:left="940" w:hanging="311"/>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further discussions with the FDA or other regulatory agencies regarding the scope or design of our clinical trials;</w:t>
      </w:r>
    </w:p>
    <w:p>
      <w:pPr>
        <w:spacing w:after="0" w:line="247" w:lineRule="exact"/>
        <w:rPr>
          <w:rFonts w:ascii="Times New Roman" w:cs="Times New Roman" w:eastAsia="Times New Roman" w:hAnsi="Times New Roman"/>
          <w:sz w:val="17"/>
          <w:szCs w:val="17"/>
          <w:color w:val="auto"/>
        </w:rPr>
      </w:pPr>
    </w:p>
    <w:p>
      <w:pPr>
        <w:ind w:left="940" w:right="40" w:hanging="311"/>
        <w:spacing w:after="0" w:line="294" w:lineRule="auto"/>
        <w:tabs>
          <w:tab w:leader="none" w:pos="935"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limited number of, and competition for, suitable sites to conduct our clinical trials, many of which may already be engaged in other clinical trial programs, including some that may be for the same indication as our product candidates;</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 or failure in patient recruitment or enrollment in our or our collaborators’ trials for any reason;</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delay or failure to obtain regulatory approval or agreement to commence a clinical trial in any of the countries where enrollment is planned;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obtain sufficient funds required for a clinical trial;</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clinical holds on, or other regulatory objections to, a new or ongoing clinical trial;</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to manufacture sufficient supplies of the product candidate for our clinical trials;</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30" w:name="page31"/>
    <w:bookmarkEnd w:id="30"/>
    <w:p>
      <w:pPr>
        <w:ind w:left="940" w:right="280" w:hanging="311"/>
        <w:spacing w:after="0" w:line="294" w:lineRule="auto"/>
        <w:tabs>
          <w:tab w:leader="none" w:pos="935"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to reach agreement on acceptable clinical trial terms or clinical trial protocols with prospective sites or CROs the terms of which can be subject to extensive negotiation and may vary significantly among different sites or CROs;</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 or failure to obtain IRB approval to conduct a clinical trial at a prospective site;</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competition of product candidates that are expected to be more effective or have a more favorable safety profile; and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approval of potential therapies by competitors.</w:t>
      </w:r>
    </w:p>
    <w:p>
      <w:pPr>
        <w:spacing w:after="0" w:line="247" w:lineRule="exact"/>
        <w:rPr>
          <w:sz w:val="20"/>
          <w:szCs w:val="20"/>
          <w:color w:val="auto"/>
        </w:rPr>
      </w:pPr>
    </w:p>
    <w:p>
      <w:pPr>
        <w:ind w:right="140" w:firstLine="625"/>
        <w:spacing w:after="0" w:line="294" w:lineRule="auto"/>
        <w:rPr>
          <w:sz w:val="20"/>
          <w:szCs w:val="20"/>
          <w:color w:val="auto"/>
        </w:rPr>
      </w:pPr>
      <w:r>
        <w:rPr>
          <w:rFonts w:ascii="Times New Roman" w:cs="Times New Roman" w:eastAsia="Times New Roman" w:hAnsi="Times New Roman"/>
          <w:sz w:val="17"/>
          <w:szCs w:val="17"/>
          <w:color w:val="auto"/>
        </w:rPr>
        <w:t>The progress or completion of our, or our collaborators', clinical trials have been and could also be substantially delayed or prevented by many factors, including:</w:t>
      </w:r>
    </w:p>
    <w:p>
      <w:pPr>
        <w:spacing w:after="0" w:line="172" w:lineRule="exact"/>
        <w:rPr>
          <w:sz w:val="20"/>
          <w:szCs w:val="20"/>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safety issues, including severe or unexpected drug-related adverse effects experienced by patients, including actual and possible deaths;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expected site initiation, patient recruitment and enrollment, for any reason;</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patients to complete the clinical trial;</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efficacy during clinical trials;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our clinical trials by one or more clinical trial sites;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or unwillingness of patients or clinical investigators to follow our clinical trial protocols;</w:t>
      </w:r>
    </w:p>
    <w:p>
      <w:pPr>
        <w:spacing w:after="0" w:line="247" w:lineRule="exact"/>
        <w:rPr>
          <w:rFonts w:ascii="Times New Roman" w:cs="Times New Roman" w:eastAsia="Times New Roman" w:hAnsi="Times New Roman"/>
          <w:sz w:val="17"/>
          <w:szCs w:val="17"/>
          <w:color w:val="auto"/>
        </w:rPr>
      </w:pPr>
    </w:p>
    <w:p>
      <w:pPr>
        <w:ind w:left="940" w:hanging="311"/>
        <w:spacing w:after="0" w:line="294" w:lineRule="auto"/>
        <w:tabs>
          <w:tab w:leader="none" w:pos="935"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political instability in countries where our trial sites are located, including terrorist attacks, civil unrest and actual or threatened armed conflict;</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inability to monitor patients adequately during or after treatment by us, our collaboration partners and/or our CROs; and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repeat or terminate clinical trials as a result of inconclusive or negative results or unforeseen complications in testing.</w:t>
      </w:r>
    </w:p>
    <w:p>
      <w:pPr>
        <w:spacing w:after="0" w:line="247" w:lineRule="exact"/>
        <w:rPr>
          <w:sz w:val="20"/>
          <w:szCs w:val="20"/>
          <w:color w:val="auto"/>
        </w:rPr>
      </w:pPr>
    </w:p>
    <w:p>
      <w:pPr>
        <w:ind w:right="20" w:firstLine="625"/>
        <w:spacing w:after="0" w:line="267" w:lineRule="auto"/>
        <w:rPr>
          <w:sz w:val="20"/>
          <w:szCs w:val="20"/>
          <w:color w:val="auto"/>
        </w:rPr>
      </w:pPr>
      <w:r>
        <w:rPr>
          <w:rFonts w:ascii="Times New Roman" w:cs="Times New Roman" w:eastAsia="Times New Roman" w:hAnsi="Times New Roman"/>
          <w:sz w:val="17"/>
          <w:szCs w:val="17"/>
          <w:color w:val="auto"/>
        </w:rPr>
        <w:t>Changes in regulatory requirements and guidance may also occur and we may need to significantly amend clinical trial protocols to reflect these changes with appropriate regulatory authorities. Amendments may require us to renegotiate terms with CROs or resubmit clinical trial protocols to IRBs for re-examination, which may impact the costs, timing or successful completion of a clinical trial. Our clinical trials may be suspended or terminated at any time by the FDA, other regulatory authorities, the IRB overseeing the clinical trial at issue, any of our clinical trial sites with respect to that site, or us, due to a number of factors, including:</w:t>
      </w:r>
    </w:p>
    <w:p>
      <w:pPr>
        <w:spacing w:after="0" w:line="200" w:lineRule="exact"/>
        <w:rPr>
          <w:sz w:val="20"/>
          <w:szCs w:val="20"/>
          <w:color w:val="auto"/>
        </w:rPr>
      </w:pPr>
    </w:p>
    <w:p>
      <w:pPr>
        <w:spacing w:after="0" w:line="206" w:lineRule="exact"/>
        <w:rPr>
          <w:sz w:val="20"/>
          <w:szCs w:val="20"/>
          <w:color w:val="auto"/>
        </w:rPr>
      </w:pPr>
    </w:p>
    <w:p>
      <w:pPr>
        <w:ind w:left="940" w:hanging="311"/>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conduct the clinical trial in accordance with regulatory requirements or our clinical protocols;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unforeseen safety issues or any determination that a clinical trial presents unacceptable health risks;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lack of adequate funding to continue the clinical trial due to unforeseen costs or other business decisions; and</w:t>
      </w:r>
    </w:p>
    <w:p>
      <w:pPr>
        <w:spacing w:after="0" w:line="247" w:lineRule="exact"/>
        <w:rPr>
          <w:rFonts w:ascii="Times New Roman" w:cs="Times New Roman" w:eastAsia="Times New Roman" w:hAnsi="Times New Roman"/>
          <w:sz w:val="17"/>
          <w:szCs w:val="17"/>
          <w:color w:val="auto"/>
        </w:rPr>
      </w:pPr>
    </w:p>
    <w:p>
      <w:pPr>
        <w:ind w:left="940" w:right="80" w:hanging="311"/>
        <w:spacing w:after="0" w:line="294" w:lineRule="auto"/>
        <w:tabs>
          <w:tab w:leader="none" w:pos="935"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a breach or pursuant to the terms of any agreement with, or for any other reason by, current or future collaborators that have responsibility for the clinical development of any of our product candidates.</w:t>
      </w:r>
    </w:p>
    <w:p>
      <w:pPr>
        <w:spacing w:after="0" w:line="172" w:lineRule="exact"/>
        <w:rPr>
          <w:sz w:val="20"/>
          <w:szCs w:val="20"/>
          <w:color w:val="auto"/>
        </w:rPr>
      </w:pPr>
    </w:p>
    <w:p>
      <w:pPr>
        <w:jc w:val="both"/>
        <w:ind w:right="40" w:firstLine="625"/>
        <w:spacing w:after="0" w:line="268" w:lineRule="auto"/>
        <w:rPr>
          <w:sz w:val="20"/>
          <w:szCs w:val="20"/>
          <w:color w:val="auto"/>
        </w:rPr>
      </w:pPr>
      <w:r>
        <w:rPr>
          <w:rFonts w:ascii="Times New Roman" w:cs="Times New Roman" w:eastAsia="Times New Roman" w:hAnsi="Times New Roman"/>
          <w:sz w:val="17"/>
          <w:szCs w:val="17"/>
          <w:color w:val="auto"/>
        </w:rPr>
        <w:t>Clinical trials of our product candidates are subject to partial or full clinical holds from time to time. A clinical hold received in the midst of conducting a trial may delay the progress of a clinical trial, or may require us to modify or discontinue such trial. Any failure or significant delay in completing clinical trials for our product candidates would adversely affect our ability to obtain regulatory approval and our commercial prospects and ability to generate product revenue will be diminished.</w:t>
      </w:r>
    </w:p>
    <w:p>
      <w:pPr>
        <w:spacing w:after="0" w:line="191" w:lineRule="exact"/>
        <w:rPr>
          <w:sz w:val="20"/>
          <w:szCs w:val="20"/>
          <w:color w:val="auto"/>
        </w:rPr>
      </w:pPr>
    </w:p>
    <w:p>
      <w:pPr>
        <w:ind w:right="1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The results of previous clinical trials may not be predictive of future results, and interim or top line data may be subject to change or qualification, based on several factors, including a complete analysis of data, or in the case of interim analysis,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1" w:name="page32"/>
    <w:bookmarkEnd w:id="31"/>
    <w:p>
      <w:pPr>
        <w:ind w:right="2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the continued or ongoing accrual of data. In addition, the results of our current and planned clinical trials may not satisfy the requirements of the FDA or non-U.S. regulatory authorities for product approval.</w:t>
      </w:r>
    </w:p>
    <w:p>
      <w:pPr>
        <w:spacing w:after="0" w:line="168"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Clinical failure can occur at any stage of clinical development. Clinical trials may produce negative or inconclusive results, and we or any of our current and future collaborators may decide, or regulators may require us, to conduct additional clinical or nonclinical testing. Success in early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initial clinical trials. A number of companies in the pharmaceutical industry, including those with greater resources and experience than us, have suffered significant setbacks in advanced clinical trials, even after obtaining promising results in earlier clinical trials.</w:t>
      </w:r>
    </w:p>
    <w:p>
      <w:pPr>
        <w:spacing w:after="0" w:line="199" w:lineRule="exact"/>
        <w:rPr>
          <w:sz w:val="20"/>
          <w:szCs w:val="20"/>
          <w:color w:val="auto"/>
        </w:rPr>
      </w:pPr>
    </w:p>
    <w:p>
      <w:pPr>
        <w:ind w:right="100" w:firstLine="625"/>
        <w:spacing w:after="0" w:line="262" w:lineRule="auto"/>
        <w:rPr>
          <w:sz w:val="20"/>
          <w:szCs w:val="20"/>
          <w:color w:val="auto"/>
        </w:rPr>
      </w:pPr>
      <w:r>
        <w:rPr>
          <w:rFonts w:ascii="Times New Roman" w:cs="Times New Roman" w:eastAsia="Times New Roman" w:hAnsi="Times New Roman"/>
          <w:sz w:val="17"/>
          <w:szCs w:val="17"/>
          <w:color w:val="auto"/>
        </w:rPr>
        <w:t>We may publicly disclose top line or interim data from time to time, which is based on a preliminary analysis of then-available data, and the results and related findings and conclusions are subject to change following a more comprehensive review of the data related to the particular study or trial or continued progress of the study or trial. The top line or interim results that we report may differ from future results of the same studies, or different conclusions or considerations may qualify such results, once additional data have been received and fully evaluated. Top line and interim data also remain subject to audit and verification procedures that may result in the final data being materially different from the preliminary data we previously published. In addition, the achievement of one primary endpoint for a trial does not guarantee that additional co-primary endpoints or secondary endpoints will be achieved, which may have an adverse effect on our ability to obtain or retain additional regulatory approval of products or product candidates in the U.S. or in other jurisdictions.</w:t>
      </w:r>
    </w:p>
    <w:p>
      <w:pPr>
        <w:spacing w:after="0" w:line="195" w:lineRule="exact"/>
        <w:rPr>
          <w:sz w:val="20"/>
          <w:szCs w:val="20"/>
          <w:color w:val="auto"/>
        </w:rPr>
      </w:pPr>
    </w:p>
    <w:p>
      <w:pPr>
        <w:ind w:right="4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Certain of our antibody-drug conjugate, or ADC, product candidates incorporate technology developed by our collaboration partners. To date, no ADC product candidates incorporating any such technology have been approved by the FDA.</w:t>
      </w:r>
    </w:p>
    <w:p>
      <w:pPr>
        <w:spacing w:after="0" w:line="168" w:lineRule="exact"/>
        <w:rPr>
          <w:sz w:val="20"/>
          <w:szCs w:val="20"/>
          <w:color w:val="auto"/>
        </w:rPr>
      </w:pPr>
    </w:p>
    <w:p>
      <w:pPr>
        <w:ind w:right="100" w:firstLine="625"/>
        <w:spacing w:after="0" w:line="250" w:lineRule="auto"/>
        <w:rPr>
          <w:sz w:val="20"/>
          <w:szCs w:val="20"/>
          <w:color w:val="auto"/>
        </w:rPr>
      </w:pPr>
      <w:r>
        <w:rPr>
          <w:rFonts w:ascii="Times New Roman" w:cs="Times New Roman" w:eastAsia="Times New Roman" w:hAnsi="Times New Roman"/>
          <w:sz w:val="17"/>
          <w:szCs w:val="17"/>
          <w:color w:val="auto"/>
        </w:rPr>
        <w:t>Certain of our ADC products in development incorporate technology developed by our collaboration partners, including: vobra duo (incorporates seco-DUBA developed by our collaboration partner, Byondis B.V.) and MGC026 and MGC028 (incorporate Hydraspace</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GlycoConnect™ </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and toxSYN® technology developed by our collaboration partner, Synaffix (a Lonza company)). To date, no ADC product candidates incorporating any of the seco-DUBA, Hydraspace GlycoConnect™ or toxSYN technologies have been approved by the FDA. There is no assurance that the FDA will approve future product candidates using such technologies. The validation process takes time and resources, may require independent third-party analyses, and may not be accepted by the FDA and other regulatory authorities. For some of our product candidates that are based on these technology platforms, the regulatory approval path and requirements may not be clear or evolve as more data becomes available for this product candidates, which could add significant delay and expense. Delays or failure to obtain regulatory approval of any of the product candidates that we develop would adversely affect our business.</w:t>
      </w:r>
    </w:p>
    <w:p>
      <w:pPr>
        <w:spacing w:after="0" w:line="209"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may not be successful in our efforts to use and expand our technology platforms to build a pipeline of product candidates. We may expend our limited resources to pursue a particular product candidate or indication and fail to capitalize on product candidates or indications that may be more profitable or for which there is a greater likelihood of success.</w:t>
      </w:r>
    </w:p>
    <w:p>
      <w:pPr>
        <w:spacing w:after="0" w:line="187"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A key element of our strategy is to use and expand our technology platforms to continue to build a pipeline of product candidates and progress several of these product candidates through clinical development for the treatment of a variety of different types of diseases. Although our research and development efforts to date have resulted in a pipeline of product candidates directed at various cancers, as well as autoimmune disorders and infectious diseases, we may not be able to develop product candidates that are safe and effective. Even if we are successful in continuing to build our pipeline, the potential product candidates that we identify may not be suitable for initial or continued clinical development, including as a result of being shown to have harmful side effects or other characteristics that indicate that they are unlikely to be products that will receive marketing approval and achieve market acceptance. If we do not continue to successfully develop and begin to commercialize product candidates, we will face difficulty in obtaining product revenues in future periods, which could result in significant harm to our financial position and adversely affect our stock price.</w:t>
      </w:r>
    </w:p>
    <w:p>
      <w:pPr>
        <w:spacing w:after="0" w:line="201" w:lineRule="exact"/>
        <w:rPr>
          <w:sz w:val="20"/>
          <w:szCs w:val="20"/>
          <w:color w:val="auto"/>
        </w:rPr>
      </w:pPr>
    </w:p>
    <w:p>
      <w:pPr>
        <w:ind w:right="120" w:firstLine="625"/>
        <w:spacing w:after="0" w:line="262" w:lineRule="auto"/>
        <w:rPr>
          <w:sz w:val="20"/>
          <w:szCs w:val="20"/>
          <w:color w:val="auto"/>
        </w:rPr>
      </w:pPr>
      <w:r>
        <w:rPr>
          <w:rFonts w:ascii="Times New Roman" w:cs="Times New Roman" w:eastAsia="Times New Roman" w:hAnsi="Times New Roman"/>
          <w:sz w:val="17"/>
          <w:szCs w:val="17"/>
          <w:color w:val="auto"/>
        </w:rPr>
        <w:t>Because we have limited financial and managerial resources, we focus on research programs and product candidates that we identify for specific indications. As a result, we may forego or delay pursuit of opportunities with other product candidates or for other indications that later prove to have greater commercial potential.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32" w:name="page33"/>
    <w:bookmarkEnd w:id="32"/>
    <w:p>
      <w:pPr>
        <w:ind w:right="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if approved, may fail to achieve or maintain market acceptance by physicians, patients, third-party payors and others in the medical community necessary for commercial success.</w:t>
      </w:r>
    </w:p>
    <w:p>
      <w:pPr>
        <w:spacing w:after="0" w:line="168" w:lineRule="exact"/>
        <w:rPr>
          <w:sz w:val="20"/>
          <w:szCs w:val="20"/>
          <w:color w:val="auto"/>
        </w:rPr>
      </w:pPr>
    </w:p>
    <w:p>
      <w:pPr>
        <w:ind w:right="360" w:firstLine="625"/>
        <w:spacing w:after="0" w:line="294" w:lineRule="auto"/>
        <w:rPr>
          <w:sz w:val="20"/>
          <w:szCs w:val="20"/>
          <w:color w:val="auto"/>
        </w:rPr>
      </w:pPr>
      <w:r>
        <w:rPr>
          <w:rFonts w:ascii="Times New Roman" w:cs="Times New Roman" w:eastAsia="Times New Roman" w:hAnsi="Times New Roman"/>
          <w:sz w:val="17"/>
          <w:szCs w:val="17"/>
          <w:color w:val="auto"/>
        </w:rPr>
        <w:t>Our product candidates, if approved, may fail to achieve or maintain market acceptance by physicians, patients, third-party payors and others in the medical community necessary for commercial success.</w:t>
      </w:r>
    </w:p>
    <w:p>
      <w:pPr>
        <w:spacing w:after="0" w:line="172"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If product candidates that we develop do not achieve an adequate level of acceptance, we may not generate significant product revenues and we may not become profitable. The degree of market acceptance of any product candidates that we develop will depend on a number of factors, including but not limited to:</w:t>
      </w:r>
    </w:p>
    <w:p>
      <w:pPr>
        <w:spacing w:after="0" w:line="172" w:lineRule="exact"/>
        <w:rPr>
          <w:sz w:val="20"/>
          <w:szCs w:val="20"/>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efficacy and potential advantages compared to alternative treatments;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prevalence and severity of any side effects;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safety events that may have occurred in connection with the development of the product candidate;</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offer our products for sale at competitive prices;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convenience and ease of administration compared to alternative treatments;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willingness of physicians to prescribe the product or other new therapies, and of the patient population to try the product or these therapies;</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strength of marketing, sales, and distribution support;</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third-party coverage and adequate reimbursement; and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restrictions on the use of our products together with other medications.</w:t>
      </w:r>
    </w:p>
    <w:p>
      <w:pPr>
        <w:spacing w:after="0" w:line="247"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The potential market opportunities for our product candidates are difficult to precisely estimate. A product’s market acceptance depends significantly on the medical community’s determination of clinical benefit and safety compared to alternative therapies available both now and in the future. Our internal estimates of the potential market opportunities our product candidates include several key assumptions based on a variety of factors, which may include our industry knowledge, industry publications, third-party research reports, assessment of competition, and other surveys. While we believe that our internal assumptions are reasonable, no independent source has verified such assumptions. If any of these assumptions proves to be inaccurate, then the actual market for our product candidates could be smaller than our estimates of our potential market opportunity.</w:t>
      </w:r>
    </w:p>
    <w:p>
      <w:pPr>
        <w:spacing w:after="0" w:line="195" w:lineRule="exact"/>
        <w:rPr>
          <w:sz w:val="20"/>
          <w:szCs w:val="20"/>
          <w:color w:val="auto"/>
        </w:rPr>
      </w:pPr>
    </w:p>
    <w:p>
      <w:pPr>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product candidates may have undesirable side effects, including fatalities. These side effects may delay or prevent further clinical development or marketing approval, or, if approval is received, require them to be taken off the market, require them to include safety warnings or otherwise limit their sales.</w:t>
      </w:r>
    </w:p>
    <w:p>
      <w:pPr>
        <w:spacing w:after="0" w:line="168"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Although all of our product candidates have undergone or will undergo safety testing, not all adverse effects of drugs can be predicted or anticipated. Unforeseen side effects from any of our product candidates have arisen, either during clinical development or after the approved product has been marketed, and may arise in the future. Ongoing or future trials of our product candidates may not support the conclusion that one or more of these product candidates have acceptable safety profiles.</w:t>
      </w:r>
    </w:p>
    <w:p>
      <w:pPr>
        <w:spacing w:after="0" w:line="195" w:lineRule="exact"/>
        <w:rPr>
          <w:sz w:val="20"/>
          <w:szCs w:val="20"/>
          <w:color w:val="auto"/>
        </w:rPr>
      </w:pPr>
    </w:p>
    <w:p>
      <w:pPr>
        <w:ind w:right="20" w:firstLine="625"/>
        <w:spacing w:after="0" w:line="260" w:lineRule="auto"/>
        <w:rPr>
          <w:sz w:val="20"/>
          <w:szCs w:val="20"/>
          <w:color w:val="auto"/>
        </w:rPr>
      </w:pPr>
      <w:r>
        <w:rPr>
          <w:rFonts w:ascii="Times New Roman" w:cs="Times New Roman" w:eastAsia="Times New Roman" w:hAnsi="Times New Roman"/>
          <w:sz w:val="17"/>
          <w:szCs w:val="17"/>
          <w:color w:val="auto"/>
        </w:rPr>
        <w:t>The results of future clinical or nonclinical trials may show undesirable or unacceptable side effects, which could interrupt, delay or halt clinical trials, and result in delay of, or failure to obtain, marketing approval from the FDA and other regulatory authorities, or result in marketing approval from the FDA and other regulatory authorities with restrictive label warnings, risk management measures, or potential product liability claims. These risks have affected our business and may continue to do so. For example, in July 2022 we announced the discontinuation of our Phase 2 trial of enoblituzumab in combination with either retifanlimab or tebotelimab in the treatment of patients with recurrent or metastatic SCCHN, based on an internal review of safety data. In addition, in July 2024, we announced the discontinuation of vobra duo treatment of mCRPC patients in our TAMARACK study based on the recommendation of the study’s Independent Data Monitoring Committee (IDMC). The investigators for the TAMARACK study have reported a total of 11 treatment-related deaths across all patient types (6.1% of the 180 patients who received treatment). These patient deaths occurred between 87 days and 339 days after commencing treatment with vobra duo.</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94" w:right="359" w:bottom="1440" w:gutter="0" w:footer="0" w:header="0"/>
        </w:sectPr>
      </w:pPr>
    </w:p>
    <w:bookmarkStart w:id="33" w:name="page34"/>
    <w:bookmarkEnd w:id="33"/>
    <w:p>
      <w:pPr>
        <w:ind w:right="40" w:firstLine="625"/>
        <w:spacing w:after="0" w:line="294" w:lineRule="auto"/>
        <w:rPr>
          <w:sz w:val="20"/>
          <w:szCs w:val="20"/>
          <w:color w:val="auto"/>
        </w:rPr>
      </w:pPr>
      <w:r>
        <w:rPr>
          <w:rFonts w:ascii="Times New Roman" w:cs="Times New Roman" w:eastAsia="Times New Roman" w:hAnsi="Times New Roman"/>
          <w:sz w:val="17"/>
          <w:szCs w:val="17"/>
          <w:color w:val="auto"/>
        </w:rPr>
        <w:t>Even if our product candidates are approved for marketing, and we or others later identify undesirable or unacceptable side effects potentially caused by such products:</w:t>
      </w:r>
    </w:p>
    <w:p>
      <w:pPr>
        <w:spacing w:after="0" w:line="172" w:lineRule="exact"/>
        <w:rPr>
          <w:sz w:val="20"/>
          <w:szCs w:val="20"/>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us to take our approved product off the market;</w:t>
      </w:r>
    </w:p>
    <w:p>
      <w:pPr>
        <w:spacing w:after="0" w:line="247" w:lineRule="exact"/>
        <w:rPr>
          <w:rFonts w:ascii="Times New Roman" w:cs="Times New Roman" w:eastAsia="Times New Roman" w:hAnsi="Times New Roman"/>
          <w:sz w:val="17"/>
          <w:szCs w:val="17"/>
          <w:color w:val="auto"/>
        </w:rPr>
      </w:pPr>
    </w:p>
    <w:p>
      <w:pPr>
        <w:ind w:left="940" w:right="640" w:hanging="311"/>
        <w:spacing w:after="0" w:line="294" w:lineRule="auto"/>
        <w:tabs>
          <w:tab w:leader="none" w:pos="9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authorities may require the addition of labeling statements, specific warnings, a contraindication or field alerts to physicians and pharmacies;</w:t>
      </w:r>
    </w:p>
    <w:p>
      <w:pPr>
        <w:spacing w:after="0" w:line="172" w:lineRule="exact"/>
        <w:rPr>
          <w:rFonts w:ascii="Times New Roman" w:cs="Times New Roman" w:eastAsia="Times New Roman" w:hAnsi="Times New Roman"/>
          <w:sz w:val="17"/>
          <w:szCs w:val="17"/>
          <w:color w:val="auto"/>
        </w:rPr>
      </w:pPr>
    </w:p>
    <w:p>
      <w:pPr>
        <w:ind w:left="940" w:right="260" w:hanging="311"/>
        <w:spacing w:after="0" w:line="294" w:lineRule="auto"/>
        <w:tabs>
          <w:tab w:leader="none" w:pos="935"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required to change the way the product is administered, impose other risk-management measures, conduct additional clinical trials or change the labeling of the product;</w:t>
      </w:r>
    </w:p>
    <w:p>
      <w:pPr>
        <w:spacing w:after="0" w:line="172"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limitations on how we may promote the product;</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sales of the product may decrease significantly;</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be subject to litigation or product liability claims; and</w:t>
      </w:r>
    </w:p>
    <w:p>
      <w:pPr>
        <w:spacing w:after="0" w:line="247"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reputation may suffer.</w:t>
      </w:r>
    </w:p>
    <w:p>
      <w:pPr>
        <w:spacing w:after="0" w:line="247" w:lineRule="exact"/>
        <w:rPr>
          <w:sz w:val="20"/>
          <w:szCs w:val="20"/>
          <w:color w:val="auto"/>
        </w:rPr>
      </w:pPr>
    </w:p>
    <w:p>
      <w:pPr>
        <w:jc w:val="both"/>
        <w:ind w:right="80" w:firstLine="625"/>
        <w:spacing w:after="0" w:line="274" w:lineRule="auto"/>
        <w:rPr>
          <w:sz w:val="20"/>
          <w:szCs w:val="20"/>
          <w:color w:val="auto"/>
        </w:rPr>
      </w:pPr>
      <w:r>
        <w:rPr>
          <w:rFonts w:ascii="Times New Roman" w:cs="Times New Roman" w:eastAsia="Times New Roman" w:hAnsi="Times New Roman"/>
          <w:sz w:val="17"/>
          <w:szCs w:val="17"/>
          <w:color w:val="auto"/>
        </w:rPr>
        <w:t>Any of these events could prevent us, our collaborators or our potential future partners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186" w:lineRule="exact"/>
        <w:rPr>
          <w:sz w:val="20"/>
          <w:szCs w:val="20"/>
          <w:color w:val="auto"/>
        </w:rPr>
      </w:pPr>
    </w:p>
    <w:p>
      <w:pPr>
        <w:ind w:right="9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manufacturing facilities are subject to significant government regulations and approvals, which are often costly and could result in adverse consequences to our business if we fail to comply with the regulations or maintain the approvals.</w:t>
      </w:r>
    </w:p>
    <w:p>
      <w:pPr>
        <w:spacing w:after="0" w:line="168" w:lineRule="exact"/>
        <w:rPr>
          <w:sz w:val="20"/>
          <w:szCs w:val="20"/>
          <w:color w:val="auto"/>
        </w:rPr>
      </w:pPr>
    </w:p>
    <w:p>
      <w:pPr>
        <w:ind w:firstLine="625"/>
        <w:spacing w:after="0" w:line="258" w:lineRule="auto"/>
        <w:rPr>
          <w:sz w:val="20"/>
          <w:szCs w:val="20"/>
          <w:color w:val="auto"/>
        </w:rPr>
      </w:pPr>
      <w:r>
        <w:rPr>
          <w:rFonts w:ascii="Times New Roman" w:cs="Times New Roman" w:eastAsia="Times New Roman" w:hAnsi="Times New Roman"/>
          <w:sz w:val="17"/>
          <w:szCs w:val="17"/>
          <w:color w:val="auto"/>
        </w:rPr>
        <w:t>We must comply with the FDA’s cGMP requirements, as set out in statute, regulations and interpreted through guidance. We may encounter difficulties in achieving quality control and quality assurance and may experience shortages in qualified personnel. We are subject to inspections by the FDA and comparable agencies in other jurisdictions to confirm compliance with applicable regulatory requirements. See “Other U.S. Post-Marketing Regulatory Requirements” above for additional information. Any failure to follow cGMP or other regulatory requirements or delay, interruption or other issues that arise in the manufacture, fill-finish, packaging, or storage of our product or product candidates as a result of a failure of our facilities or the facilities or operations of third parties to comply with regulatory requirements or pass any regulatory authority inspection could significantly impair our ability to develop and commercialize our product candidates, including leading to significant delays in the availability of drug product for sale and our clinical trials or the termination or hold on a clinical trial, or the delay or prevention of a filing or approval of marketing applications for our product candidates. Significant noncompliance could also result in the imposition of sanctions, including fines, injunctions, civil penalties, failure of regulatory authorities to grant marketing approvals for our product candidates, delays, suspension or withdrawal of approvals, license revocation, seizures or recalls of products, operating restrictions and criminal prosecutions, any of which could damage our reputation or negatively impact a product’s commercial success. If we are not able to maintain regulatory compliance, we may not be permitted to market our product candidates and/or may be subject to product recalls, seizures, injunctions, or criminal prosecution. Additionally, if the FDA or a comparable foreign regulatory authority does not approve of our facilities for the manufacture of a customer product or if it withdraws such approval in the future, our customers may choose to identify alternative manufacturing facilities and/or relationships, which could significantly impact our ability to expand our CDMO capacity and capabilities and achieve profitability.</w:t>
      </w:r>
    </w:p>
    <w:p>
      <w:pPr>
        <w:spacing w:after="0" w:line="204" w:lineRule="exact"/>
        <w:rPr>
          <w:sz w:val="20"/>
          <w:szCs w:val="20"/>
          <w:color w:val="auto"/>
        </w:rPr>
      </w:pPr>
    </w:p>
    <w:p>
      <w:pPr>
        <w:ind w:right="4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face significant competition and if our competitors continue to develop and market products that are more effective, safer or less expensive than our product candidates, our current or future commercial opportunities may be negatively impacted.</w:t>
      </w:r>
    </w:p>
    <w:p>
      <w:pPr>
        <w:spacing w:after="0" w:line="168" w:lineRule="exact"/>
        <w:rPr>
          <w:sz w:val="20"/>
          <w:szCs w:val="20"/>
          <w:color w:val="auto"/>
        </w:rPr>
      </w:pPr>
    </w:p>
    <w:p>
      <w:pPr>
        <w:ind w:right="40" w:firstLine="625"/>
        <w:spacing w:after="0" w:line="262" w:lineRule="auto"/>
        <w:rPr>
          <w:sz w:val="20"/>
          <w:szCs w:val="20"/>
          <w:color w:val="auto"/>
        </w:rPr>
      </w:pPr>
      <w:r>
        <w:rPr>
          <w:rFonts w:ascii="Times New Roman" w:cs="Times New Roman" w:eastAsia="Times New Roman" w:hAnsi="Times New Roman"/>
          <w:sz w:val="17"/>
          <w:szCs w:val="17"/>
          <w:color w:val="auto"/>
        </w:rPr>
        <w:t>The life sciences industry is highly competitive and subject to rapid and significant technological change. We are currently developing therapeutics that will compete with other drugs and therapies that currently exist or are being developed. Products we may develop in the future are also likely to face competition from other drugs and therapies, some of which we may not currently be aware. We have competitors both in the United States and internationally, including major multinational pharmaceutical companies, established biotechnology companies, specialty pharmaceutical companies, universities and other research institutions. Many of our competitors have significantly greater financial, manufacturing, marketing, drug development, technical and human resources than we do. Large pharmaceutical companies, in particular, have extensive experience in clinical testing, obtaining regulatory approvals, recruiting patients and manufacturing pharmaceutical products.</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34" w:name="page35"/>
    <w:bookmarkEnd w:id="34"/>
    <w:p>
      <w:pPr>
        <w:ind w:right="100"/>
        <w:spacing w:after="0" w:line="265" w:lineRule="auto"/>
        <w:rPr>
          <w:sz w:val="20"/>
          <w:szCs w:val="20"/>
          <w:color w:val="auto"/>
        </w:rPr>
      </w:pPr>
      <w:r>
        <w:rPr>
          <w:rFonts w:ascii="Times New Roman" w:cs="Times New Roman" w:eastAsia="Times New Roman" w:hAnsi="Times New Roman"/>
          <w:sz w:val="17"/>
          <w:szCs w:val="17"/>
          <w:color w:val="auto"/>
        </w:rPr>
        <w:t>These companies also have significantly greater research and marketing capabilities than we do and may also have products that have been approved or are in late stages of development, and collaborative arrangements in our target markets with leading companies and research institutions. Established pharmaceutical companies may also invest heavily to accelerate discovery and development of novel compounds or to in-license novel compounds that could make the product candidates that we develop obsolete. As a result of all of these factors, our competitors may succeed, or may have succeeded, in obtaining patent protection and/or FDA approval or discovering, developing and commercializing products in our field before we do.</w:t>
      </w:r>
    </w:p>
    <w:p>
      <w:pPr>
        <w:spacing w:after="0" w:line="197"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Specifically, there are a large number of companies developing or marketing potential treatments for cancer, including many major pharmaceutical and biotechnology companies. These treatments consist both of small molecule drug products, as well as biologic therapeutics that work by using next-generation antibody technology platforms to address specific cancer targets. In addition, several companies are developing therapeutics that work by targeting multiple specificities using a single recombinant molecule. See “Competition” above for additional information.</w:t>
      </w:r>
    </w:p>
    <w:p>
      <w:pPr>
        <w:spacing w:after="0" w:line="195" w:lineRule="exact"/>
        <w:rPr>
          <w:sz w:val="20"/>
          <w:szCs w:val="20"/>
          <w:color w:val="auto"/>
        </w:rPr>
      </w:pPr>
    </w:p>
    <w:p>
      <w:pPr>
        <w:jc w:val="both"/>
        <w:ind w:right="140" w:firstLine="625"/>
        <w:spacing w:after="0" w:line="268" w:lineRule="auto"/>
        <w:rPr>
          <w:sz w:val="20"/>
          <w:szCs w:val="20"/>
          <w:color w:val="auto"/>
        </w:rPr>
      </w:pPr>
      <w:r>
        <w:rPr>
          <w:rFonts w:ascii="Times New Roman" w:cs="Times New Roman" w:eastAsia="Times New Roman" w:hAnsi="Times New Roman"/>
          <w:sz w:val="17"/>
          <w:szCs w:val="17"/>
          <w:color w:val="auto"/>
        </w:rPr>
        <w:t>The commercial opportunity for future product candidates may be reduced or limited if our competitors develop and commercialize products that are safer, more effective, have fewer or less severe effects, are more convenient or are less expensive than any products that we may develop. Our competitors also may obtain FDA or other regulatory approval for their products more rapidly than we may obtain approval for ours. In addition, our ability to compete may be affected in many cases by insurers or other third-party payors seeking to encourage the use of biosimilar products.</w:t>
      </w:r>
    </w:p>
    <w:p>
      <w:pPr>
        <w:spacing w:after="0" w:line="195" w:lineRule="exact"/>
        <w:rPr>
          <w:sz w:val="20"/>
          <w:szCs w:val="20"/>
          <w:color w:val="auto"/>
        </w:rPr>
      </w:pPr>
    </w:p>
    <w:p>
      <w:pPr>
        <w:ind w:right="160" w:firstLine="625"/>
        <w:spacing w:after="0" w:line="263" w:lineRule="auto"/>
        <w:rPr>
          <w:sz w:val="20"/>
          <w:szCs w:val="20"/>
          <w:color w:val="auto"/>
        </w:rPr>
      </w:pPr>
      <w:r>
        <w:rPr>
          <w:rFonts w:ascii="Times New Roman" w:cs="Times New Roman" w:eastAsia="Times New Roman" w:hAnsi="Times New Roman"/>
          <w:sz w:val="17"/>
          <w:szCs w:val="17"/>
          <w:color w:val="auto"/>
        </w:rPr>
        <w:t>Smaller and other early-stage companies may also prove to be significant competitors, particularly through collaborative arrangements with large and established companies. These third parties compete with us in recruiting and retaining qualified scientific and management personnel, establishing clinical trial sites and patient registration for clinical trials, as well as in acquiring technologies complementary to, or necessary for, our programs. In addition, the biopharmaceutical industry is characterized by rapid technological change. If we fail to stay at the forefront of technological change, we may be unable to compete effectively. Technological advances or products developed by our competitors may render our technologies, products or product candidates obsolete, less competitive or not profitable.</w:t>
      </w:r>
    </w:p>
    <w:p>
      <w:pPr>
        <w:spacing w:after="0" w:line="195"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The manufacture of products or product candidates, for ourselves and our collaborators, is complex, and we may encounter difficulties in production. There can be no assurance that we will be able to effectively manufacture clinical quantities of our product candidates in the future. Further, we have limited experience in large-scale commercial manufacturing, and there can be no assurance that we will be able to effectively manufacture commercial quantities of products or product candidates for ourselves or our collaborators, if and when approved.</w:t>
      </w:r>
    </w:p>
    <w:p>
      <w:pPr>
        <w:spacing w:after="0" w:line="192"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We currently manufacture product and product candidates for ourselves and our collaborators in our in-house manufacturing facility, and we anticipate manufacturing both commercial product as well as product candidates in the future. We have limited experience in manufacturing at commercial scale. The process of commercial or clinical biotechnology manufacturing for ourselves and our collaborators is highly susceptible to delays or product loss due to a variety of factors, including but not limited to contamination, equipment failure, improper installation or operation of equipment, vendor or operator error, inconsistency in yields, variability in product characteristics, difficulties in scaling the production process, and vendor supply chain disruptions or fluctuations. Even minor deviations from manufacturing processes could result in reduced production yields, product defects and other supply disruptions. If microbial, viral or other contaminations are discovered in our products or product candidates or in the manufacturing facilities in which our products and our product candidates are made, such manufacturing facilities may need to be closed for an extended period of time to investigate and remedy the contamination. Any adverse developments affecting manufacturing operations for our products and our product candidates, if any are approved, may result in shipment delays, inventory shortages, lot failures, product withdrawals or recalls, or other interruptions in the supply of our products. We may also have to take inventory write-offs and incur other charges and expenses for products that fail to meet specifications, undertake costly remediation efforts or seek more costly manufacturing alternatives. In addition, if we fail to supply required quantities of a product or a product candidate for one of our collaborators, our collaborator may terminate our agreement.</w:t>
      </w:r>
    </w:p>
    <w:p>
      <w:pPr>
        <w:spacing w:after="0" w:line="200" w:lineRule="exact"/>
        <w:rPr>
          <w:sz w:val="20"/>
          <w:szCs w:val="20"/>
          <w:color w:val="auto"/>
        </w:rPr>
      </w:pPr>
    </w:p>
    <w:p>
      <w:pPr>
        <w:spacing w:after="0" w:line="212" w:lineRule="exact"/>
        <w:rPr>
          <w:sz w:val="20"/>
          <w:szCs w:val="20"/>
          <w:color w:val="auto"/>
        </w:rPr>
      </w:pPr>
    </w:p>
    <w:p>
      <w:pPr>
        <w:jc w:val="both"/>
        <w:ind w:right="140" w:firstLine="625"/>
        <w:spacing w:after="0" w:line="268" w:lineRule="auto"/>
        <w:rPr>
          <w:sz w:val="20"/>
          <w:szCs w:val="20"/>
          <w:color w:val="auto"/>
        </w:rPr>
      </w:pPr>
      <w:r>
        <w:rPr>
          <w:rFonts w:ascii="Times New Roman" w:cs="Times New Roman" w:eastAsia="Times New Roman" w:hAnsi="Times New Roman"/>
          <w:sz w:val="17"/>
          <w:szCs w:val="17"/>
          <w:color w:val="auto"/>
        </w:rPr>
        <w:t>Although we currently maintain insurance coverage against damage to our property and to cover business interruption and research and development restoration expenses, our insurance coverage may not reimburse us, or may not be sufficient to reimburse us, for any expenses or losses we may suffer. If there were to be a catastrophic event or failure of our manufacturing facilities or processes, we may be unable to meet our requirements for supply of our products or product candidates.</w:t>
      </w:r>
    </w:p>
    <w:p>
      <w:pPr>
        <w:spacing w:after="0" w:line="191" w:lineRule="exact"/>
        <w:rPr>
          <w:sz w:val="20"/>
          <w:szCs w:val="20"/>
          <w:color w:val="auto"/>
        </w:rPr>
      </w:pPr>
    </w:p>
    <w:p>
      <w:pPr>
        <w:jc w:val="both"/>
        <w:ind w:right="1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Public health crises such as pandemics or similar outbreaks may have a significant negative impact on our clinical trials, nonclinical studies, development, manufacturing and commercialization of our product candidates and other aspects of our business, staff, and operations.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35" w:name="page36"/>
    <w:bookmarkEnd w:id="35"/>
    <w:p>
      <w:pPr>
        <w:ind w:right="20" w:firstLine="625"/>
        <w:spacing w:after="0" w:line="261" w:lineRule="auto"/>
        <w:rPr>
          <w:sz w:val="20"/>
          <w:szCs w:val="20"/>
          <w:color w:val="auto"/>
        </w:rPr>
      </w:pPr>
      <w:r>
        <w:rPr>
          <w:rFonts w:ascii="Times New Roman" w:cs="Times New Roman" w:eastAsia="Times New Roman" w:hAnsi="Times New Roman"/>
          <w:sz w:val="17"/>
          <w:szCs w:val="17"/>
          <w:color w:val="auto"/>
        </w:rPr>
        <w:t>Public health crises such as pandemics or similar outbreaks may have a material impact our business. For instance, the COVID-19 pandemic impaired, and future public health crises may in the future impair, our ability to enroll patients in clinical trials, continue ongoing clinical trials and activate clinical trial sites. Further, patients may be unable or unwilling to enroll in our clinical trials or be unable to comply with clinical trial protocols if public health restrictions impede patient movement or interrupt healthcare services. Public health crises may also negatively affect the operations of third-party CROs that we rely upon to carry out our clinical trials, or the operations of other service providers, which could result in delays or disruptions in the supply of our product candidates or other aspects of our business or that of our collaborators. Any negative impact public health crises could adversely affect our ability to seek and obtain regulatory approval for and to commercialize any approved product candidates, increase our operating expenses and have a material adverse effect on our business and financial results.</w:t>
      </w:r>
    </w:p>
    <w:p>
      <w:pPr>
        <w:spacing w:after="0" w:line="200" w:lineRule="exact"/>
        <w:rPr>
          <w:sz w:val="20"/>
          <w:szCs w:val="20"/>
          <w:color w:val="auto"/>
        </w:rPr>
      </w:pPr>
    </w:p>
    <w:p>
      <w:pPr>
        <w:spacing w:after="0" w:line="209" w:lineRule="exact"/>
        <w:rPr>
          <w:sz w:val="20"/>
          <w:szCs w:val="20"/>
          <w:color w:val="auto"/>
        </w:rPr>
      </w:pPr>
    </w:p>
    <w:p>
      <w:pPr>
        <w:ind w:right="58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have limited experience in launching and marketing approved products. If our products achieve regulatory approval and we are unable to further develop marketing and sales capabilities or enter into agreements with third parties to market and sell our products we may not be able to generate substantial product sales revenue.</w:t>
      </w:r>
    </w:p>
    <w:p>
      <w:pPr>
        <w:spacing w:after="0" w:line="184" w:lineRule="exact"/>
        <w:rPr>
          <w:sz w:val="20"/>
          <w:szCs w:val="20"/>
          <w:color w:val="auto"/>
        </w:rPr>
      </w:pPr>
    </w:p>
    <w:p>
      <w:pPr>
        <w:ind w:firstLine="625"/>
        <w:spacing w:after="0" w:line="250" w:lineRule="auto"/>
        <w:rPr>
          <w:sz w:val="20"/>
          <w:szCs w:val="20"/>
          <w:color w:val="auto"/>
        </w:rPr>
      </w:pPr>
      <w:r>
        <w:rPr>
          <w:rFonts w:ascii="Times New Roman" w:cs="Times New Roman" w:eastAsia="Times New Roman" w:hAnsi="Times New Roman"/>
          <w:sz w:val="17"/>
          <w:szCs w:val="17"/>
          <w:color w:val="auto"/>
        </w:rPr>
        <w:t>We have limited experience in commercializing products. In March 2021, following FDA approval, we launched MARGENZA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in the United States for the treatment of adult patients with metastatic HER2-positive breast cancer who have received two or more prior anti-HER2 regimens, at least one of which was for metastatic disease. In November 2024, we completed the sale of the global rights to MARGENZA to TerSera Therapeutics LLC. We continue to have limited internal commercialization capabilities, and the commercialization of any future l products or product candidates that we may develop or in-license, will require building, or contracting for, capabilities, which will require significant capital expenditures, management resources and time. For example, we have limited experience in building and managing a commercial team, conducting a comprehensive market analysis or managing distributors and a field force for our products. We will compete with many companies that currently have extensive and well-funded sales and marketing operations with respect to any approved products.</w:t>
      </w:r>
    </w:p>
    <w:p>
      <w:pPr>
        <w:spacing w:after="0" w:line="200" w:lineRule="exact"/>
        <w:rPr>
          <w:sz w:val="20"/>
          <w:szCs w:val="20"/>
          <w:color w:val="auto"/>
        </w:rPr>
      </w:pPr>
    </w:p>
    <w:p>
      <w:pPr>
        <w:spacing w:after="0" w:line="219" w:lineRule="exact"/>
        <w:rPr>
          <w:sz w:val="20"/>
          <w:szCs w:val="20"/>
          <w:color w:val="auto"/>
        </w:rPr>
      </w:pPr>
    </w:p>
    <w:p>
      <w:pPr>
        <w:ind w:right="200" w:firstLine="625"/>
        <w:spacing w:after="0" w:line="262" w:lineRule="auto"/>
        <w:rPr>
          <w:sz w:val="20"/>
          <w:szCs w:val="20"/>
          <w:color w:val="auto"/>
        </w:rPr>
      </w:pPr>
      <w:r>
        <w:rPr>
          <w:rFonts w:ascii="Times New Roman" w:cs="Times New Roman" w:eastAsia="Times New Roman" w:hAnsi="Times New Roman"/>
          <w:sz w:val="17"/>
          <w:szCs w:val="17"/>
          <w:color w:val="auto"/>
        </w:rPr>
        <w:t>For commercialization of any or all of our product candidates, we will have to compete with other pharmaceutical and biotechnology companies to recruit, hire, train and retain marketing and sales personnel. If we are unable to, or decide not to, further develop internal sales, marketing, and commercial distribution capabilities for any or all of our products, we will likely pursue additional collaborative arrangements regarding the sales and marketing of our products. However, there can be no assurance that we will be able to establish or maintain such collaborative arrangements, or if we are able to do so, that they will be effective. There can be no assurance that we will be able to develop or successfully maintain internal sales and commercial capabilities or establish or maintain relationships with third-party collaborators to successfully commercialize any product, and as a result, we may not be able to generate substantial product sales revenue.</w:t>
      </w:r>
    </w:p>
    <w:p>
      <w:pPr>
        <w:spacing w:after="0" w:line="195" w:lineRule="exact"/>
        <w:rPr>
          <w:sz w:val="20"/>
          <w:szCs w:val="20"/>
          <w:color w:val="auto"/>
        </w:rPr>
      </w:pPr>
    </w:p>
    <w:p>
      <w:pPr>
        <w:ind w:right="6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Actual or anticipated changes to the laws and regulations governing the health care system may have a negative impact on cost and access to health insurance coverage and reimbursement of healthcare items and services.</w:t>
      </w:r>
    </w:p>
    <w:p>
      <w:pPr>
        <w:spacing w:after="0" w:line="168" w:lineRule="exact"/>
        <w:rPr>
          <w:sz w:val="20"/>
          <w:szCs w:val="20"/>
          <w:color w:val="auto"/>
        </w:rPr>
      </w:pPr>
    </w:p>
    <w:p>
      <w:pPr>
        <w:ind w:right="100" w:firstLine="625"/>
        <w:spacing w:after="0" w:line="259" w:lineRule="auto"/>
        <w:rPr>
          <w:sz w:val="20"/>
          <w:szCs w:val="20"/>
          <w:color w:val="auto"/>
        </w:rPr>
      </w:pPr>
      <w:r>
        <w:rPr>
          <w:rFonts w:ascii="Times New Roman" w:cs="Times New Roman" w:eastAsia="Times New Roman" w:hAnsi="Times New Roman"/>
          <w:sz w:val="17"/>
          <w:szCs w:val="17"/>
          <w:color w:val="auto"/>
        </w:rPr>
        <w:t>The United States and several foreign jurisdictions are considering, or have already enacted, a number of legislative and regulatory proposals to change the healthcare system in ways that could affect our ability to sell any of our future approved products profitably. Among policy makers and payors in the United States and elsewhere, there is significant interest in promoting changes in healthcare systems with the stated goals of containing healthcare costs through lowering prescription drug prices, improving quality and/or expanding access to healthcare. In the United States, the pharmaceutical industry has been a particular focus of these efforts and has been significantly affected by major legislative initiatives, including the Patient Protection and Affordable Care Act, as amended by the Health Care and Education Reconciliation Act, or collectively, the ACA, which became law in 2010. While it is difficult to assess the impact of the ACA in isolation, either in general or on our business specifically, it is widely thought that the ACA increases the likelihood of downward pressure on pharmaceutical reimbursement, which could negatively affect market acceptance of, and the price we may charge for, any products we develop that receive regulatory approval. Further, the United State and foreign governments regularly consider additional reform measures that affect healthcare coverage and costs. Such reforms may include changes to the coverage and reimbursement of healthcare services and products. In particular, there have been executive, judicial and Congressional challenges and amendments to the ACA.</w:t>
      </w:r>
    </w:p>
    <w:p>
      <w:pPr>
        <w:spacing w:after="0" w:line="206"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For example, on August 16, 2022, President Biden signed the Inflation Reduction Act of 2022 (IRA)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and creating a new manufacturer discount program. It is possible that the ACA will be subject to judicial or Congressional challenges in the future. It is unclear how such challenges and any healthcare reform measures of the second Trump administration will impact the ACA and our business.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6" w:name="page37"/>
    <w:bookmarkEnd w:id="36"/>
    <w:p>
      <w:pPr>
        <w:ind w:right="20" w:firstLine="625"/>
        <w:spacing w:after="0" w:line="258" w:lineRule="auto"/>
        <w:rPr>
          <w:sz w:val="20"/>
          <w:szCs w:val="20"/>
          <w:color w:val="auto"/>
        </w:rPr>
      </w:pPr>
      <w:r>
        <w:rPr>
          <w:rFonts w:ascii="Times New Roman" w:cs="Times New Roman" w:eastAsia="Times New Roman" w:hAnsi="Times New Roman"/>
          <w:sz w:val="17"/>
          <w:szCs w:val="17"/>
          <w:color w:val="auto"/>
        </w:rPr>
        <w:t>Further, there has been heightened governmental scrutiny in the United States of pharmaceutical pricing practices in light of the rising cost of prescription drugs.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for products. For example, the IRA, among other things, (i) directs the U.S. Department of Health and Human Services (HHS) to negotiate the price of certain high-expenditure, single-source drugs covered under Medicare that have been on the market for at least 7 years, and subject drug manufacturers to civil monetary penalties and a potential excise tax by offering a price that is not equal to or less than the negotiated “maximum fair price” for such drugs under the law (the Medicare Drug Price Negotiation Program),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These provisions began to take effect progressively starting in fiscal year 2023. On August 15, 2024, HHS announced the agreed-upon prices of the first ten drugs that were subject to price negotiations, although the Medicare drug price negotiation program is currently subject to legal challenges. On January 17, 2025, HHS selected fifteen additional drugs covered under Part D for price negotiation in 2025. Each year thereafter more Part B and Part D products will become subject to the Medicare drug price negotiation program. Further,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 We cannot predict what healthcare initiatives, if any, will be implemented at the federal or state level, however, government and other regulatory oversight and future regulatory and government interference with the healthcare systems could adversely impact our business and results of operations.</w:t>
      </w:r>
    </w:p>
    <w:p>
      <w:pPr>
        <w:spacing w:after="0" w:line="204" w:lineRule="exact"/>
        <w:rPr>
          <w:sz w:val="20"/>
          <w:szCs w:val="20"/>
          <w:color w:val="auto"/>
        </w:rPr>
      </w:pPr>
    </w:p>
    <w:p>
      <w:pPr>
        <w:ind w:right="40" w:firstLine="625"/>
        <w:spacing w:after="0" w:line="248" w:lineRule="auto"/>
        <w:rPr>
          <w:sz w:val="20"/>
          <w:szCs w:val="20"/>
          <w:color w:val="auto"/>
        </w:rPr>
      </w:pPr>
      <w:r>
        <w:rPr>
          <w:rFonts w:ascii="Times New Roman" w:cs="Times New Roman" w:eastAsia="Times New Roman" w:hAnsi="Times New Roman"/>
          <w:sz w:val="17"/>
          <w:szCs w:val="17"/>
          <w:color w:val="auto"/>
        </w:rPr>
        <w:t>Additional health reform measures may continue and affect our business in unknown ways, particularly given the recent change in administration. The current Trump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may include, for example, directives to reduce agency workforce, rescinding a Biden administration executive order tasking the Center for Medicare and Medicaid Innovation to consider new payment and healthcare models to limit drug spending and eliminating the Biden administration’s executive order that directed HHS to establishing an AI task force and developing a strategic plan, and directing certain federal agencies to enforce existing law regarding hospital and price plan transparency and by standardizing prices across hospitals and health plans. Additionally, in its June 2024 decision in Loper Bright Enterprises v. Raimondo, the U.S. Supreme Court overturned the longstanding Chevron doctrine, under which courts were required to give deference to regulatory agencies’ reasonable interpretations of ambiguous federal statutes. The Loper Bright decision could result in additional legal challenges to current regulations and guidance issued by federal agencies applicable to our operations, including those issued by the FDA. Congress may introduce and ultimately pass health care related legislation that could impact the drug approval process and make changes to the Medicare Drug Price Negotiation Program created under the IRA. We expect to experience pricing pressures in connection with the sale of any products that we develop, due to the trend toward managed healthcare, the increasing influence of various and evolving payor models and additional legislative proposals.</w:t>
      </w:r>
    </w:p>
    <w:p>
      <w:pPr>
        <w:spacing w:after="0" w:line="196"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68"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Market acceptance and sales of our product candidates, if approved for sale by the appropriate regulatory authorities, may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 formularies and prior authorization. We cannot be certain that reimbursement will be available for our products or any products that we develop. Also, we cannot be certain that reimbursement policies will not reduce the demand for, or the price paid for, our products. Our ability to commercialize our products may depend, in part, on the extent to which reimbursement for the products will be available from government authorities and third-party payors. If reimbursement for our products is not available or is available on a limited basis, or if the reimbursement amount for our products is inadequate to support a product’s price, we may not be able to successfully commercialize any of our approved products.</w:t>
      </w:r>
    </w:p>
    <w:p>
      <w:pPr>
        <w:spacing w:after="0" w:line="201" w:lineRule="exact"/>
        <w:rPr>
          <w:sz w:val="20"/>
          <w:szCs w:val="20"/>
          <w:color w:val="auto"/>
        </w:rPr>
      </w:pPr>
    </w:p>
    <w:p>
      <w:pPr>
        <w:ind w:right="180" w:firstLine="625"/>
        <w:spacing w:after="0" w:line="268" w:lineRule="auto"/>
        <w:rPr>
          <w:sz w:val="20"/>
          <w:szCs w:val="20"/>
          <w:color w:val="auto"/>
        </w:rPr>
      </w:pPr>
      <w:r>
        <w:rPr>
          <w:rFonts w:ascii="Times New Roman" w:cs="Times New Roman" w:eastAsia="Times New Roman" w:hAnsi="Times New Roman"/>
          <w:sz w:val="17"/>
          <w:szCs w:val="17"/>
          <w:color w:val="auto"/>
        </w:rPr>
        <w:t>There is uncertainty related to third-party payor coverage and reimbursement of newly approved products. In the United States, for example, principal decisions about reimbursement for new products are typically made by CMS, an agency within HHS. CMS decides whether and to what extent a new product will be covered and reimbursed under Medicare, and private third-party payors often follow CMS’s decisions regarding coverage and reimbursement to a substantial degree. However, one third-party payor’s determination to provide coverage for a product candidate does not assure that other payors</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7" w:name="page38"/>
    <w:bookmarkEnd w:id="37"/>
    <w:p>
      <w:pPr>
        <w:ind w:right="240"/>
        <w:spacing w:after="0" w:line="268" w:lineRule="auto"/>
        <w:rPr>
          <w:sz w:val="20"/>
          <w:szCs w:val="20"/>
          <w:color w:val="auto"/>
        </w:rPr>
      </w:pPr>
      <w:r>
        <w:rPr>
          <w:rFonts w:ascii="Times New Roman" w:cs="Times New Roman" w:eastAsia="Times New Roman" w:hAnsi="Times New Roman"/>
          <w:sz w:val="17"/>
          <w:szCs w:val="17"/>
          <w:color w:val="auto"/>
        </w:rPr>
        <w:t>will also provide coverage for the product candidate. Further, no uniform policy for coverage and reimbursement exists in the United States, and coverage and reimbursement can differ significantly from payor to payor. As a result, the coverage and reimbursement determination process is often time-consuming and costly. This process may require us to provide scientific and clinical information to support the coverage or reimbursement of our products to each third-party payor separately, with no assurance that coverage and adequate reimbursement will be applied consistently or obtained in the first instance.</w:t>
      </w:r>
    </w:p>
    <w:p>
      <w:pPr>
        <w:spacing w:after="0" w:line="195" w:lineRule="exact"/>
        <w:rPr>
          <w:sz w:val="20"/>
          <w:szCs w:val="20"/>
          <w:color w:val="auto"/>
        </w:rPr>
      </w:pPr>
    </w:p>
    <w:p>
      <w:pPr>
        <w:ind w:right="180" w:firstLine="625"/>
        <w:spacing w:after="0" w:line="264" w:lineRule="auto"/>
        <w:rPr>
          <w:sz w:val="20"/>
          <w:szCs w:val="20"/>
          <w:color w:val="auto"/>
        </w:rPr>
      </w:pPr>
      <w:r>
        <w:rPr>
          <w:rFonts w:ascii="Times New Roman" w:cs="Times New Roman" w:eastAsia="Times New Roman" w:hAnsi="Times New Roman"/>
          <w:sz w:val="17"/>
          <w:szCs w:val="17"/>
          <w:color w:val="auto"/>
        </w:rPr>
        <w:t>As federal and state governments implement additional health care cost containment measures, including measures to lower prescription drug pricing, we cannot be sure that our products and our product candidates, if approved, will be covered, or remain covered, by private or public payors, and if covered, whether the reimbursement will be perceived by product purchasers as adequate. Health reform actions by federal and state governments and health plans may put additional downward pressure on pharmaceutical pricing and health care costs, which could negatively impact coverage and reimbursement for our product or our product candidates, if approved, our revenue, and our ability to compete with other marketed products and to recoup the costs of our research and development.</w:t>
      </w:r>
    </w:p>
    <w:p>
      <w:pPr>
        <w:spacing w:after="0" w:line="200" w:lineRule="exact"/>
        <w:rPr>
          <w:sz w:val="20"/>
          <w:szCs w:val="20"/>
          <w:color w:val="auto"/>
        </w:rPr>
      </w:pPr>
    </w:p>
    <w:p>
      <w:pPr>
        <w:spacing w:after="0" w:line="210"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Increasingly, third-party payors are requiring that biopharmaceutical manufacturers provide them with discounts from list prices and are challenging the prices charged for medical products. Further, such payors are increasingly challenging the price, examining the medical necessity and reviewing the cost effectiveness of medical products. There may be especially significant delays in obtaining coverage and reimbursement for newly approved drugs. Third-party payors may limit coverage to specific product candidates on an approved list, known as a formulary, which might not include all FDA-approved drugs for a particular indication. We may need to conduct expensive pharmaco-economic studies to demonstrate the medical necessity and cost effectiveness of our products. Nonetheless, our products may not be considered medically necessary or cost effective. We cannot be sure that coverage and reimbursement will be available for any approved product that we commercialize and, if reimbursement is available, what the level of reimbursement will be. Further, coverage policies and third-party payor reimbursement rates may change at any time. Even if favorable coverage and reimbursement status is attained, less favorable coverage policies and reimbursement rates may be implemented in the future. Additionally, we or our collaborators may develop companion diagnostic tests for use with our product candidates where appropriate. We or our collaborators will be required to obtain coverage and reimbursement for these tests separate and apart from the coverage and reimbursement we may seek for our product candidates. While we have not yet developed any companion diagnostic tests for our product candidates, if we do, there is significant uncertainty regarding our ability to obtain coverage and adequate reimbursement for the same reasons applicable to our product candidates.</w:t>
      </w:r>
    </w:p>
    <w:p>
      <w:pPr>
        <w:spacing w:after="0" w:line="200" w:lineRule="exact"/>
        <w:rPr>
          <w:sz w:val="20"/>
          <w:szCs w:val="20"/>
          <w:color w:val="auto"/>
        </w:rPr>
      </w:pPr>
    </w:p>
    <w:p>
      <w:pPr>
        <w:spacing w:after="0" w:line="208"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any product liability lawsuits are successfully brought against us or any of our collaborators, we may incur substantial liabilities and may be required to limit commercialization of our products or product candidates.</w:t>
      </w:r>
    </w:p>
    <w:p>
      <w:pPr>
        <w:spacing w:after="0" w:line="168"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We face an inherent risk of product liability lawsuits related to the sale of our products to, use of our products by, and testing of our product candidates in, seriously ill patients. Product liability claims may be brought against us or our collaborators by participants enrolled in our clinical trials, patients, health care providers or others using, administering or selling any of our approved products. If we cannot successfully defend ourselves against any such claims, we may incur substantial liabilities. Regardless of their merit or eventual outcome, liability claims may result in:</w:t>
      </w:r>
    </w:p>
    <w:p>
      <w:pPr>
        <w:spacing w:after="0" w:line="195" w:lineRule="exact"/>
        <w:rPr>
          <w:sz w:val="20"/>
          <w:szCs w:val="20"/>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demand for our future approved products;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injury to our reputation;</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withdrawal of clinical trial participants;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termination of clinical trial sites or entire trial programs;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regulatory scrutiny;</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significant litigation costs;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substantial monetary awards to or costly settlement with patients or other claimants;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or a change in the indications for which they may be used;</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diversion of management and scientific resources from our business operations; and</w:t>
      </w: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38" w:name="page39"/>
    <w:bookmarkEnd w:id="38"/>
    <w:p>
      <w:pPr>
        <w:ind w:left="860" w:hanging="309"/>
        <w:spacing w:after="0"/>
        <w:tabs>
          <w:tab w:leader="none" w:pos="8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inability to commercialize our product candidates.</w:t>
      </w:r>
    </w:p>
    <w:p>
      <w:pPr>
        <w:spacing w:after="0" w:line="247" w:lineRule="exact"/>
        <w:rPr>
          <w:sz w:val="20"/>
          <w:szCs w:val="20"/>
          <w:color w:val="auto"/>
        </w:rPr>
      </w:pPr>
    </w:p>
    <w:p>
      <w:pPr>
        <w:ind w:firstLine="625"/>
        <w:spacing w:after="0" w:line="264" w:lineRule="auto"/>
        <w:rPr>
          <w:sz w:val="20"/>
          <w:szCs w:val="20"/>
          <w:color w:val="auto"/>
        </w:rPr>
      </w:pPr>
      <w:r>
        <w:rPr>
          <w:rFonts w:ascii="Times New Roman" w:cs="Times New Roman" w:eastAsia="Times New Roman" w:hAnsi="Times New Roman"/>
          <w:sz w:val="17"/>
          <w:szCs w:val="17"/>
          <w:color w:val="auto"/>
        </w:rPr>
        <w:t>With respect to our product candidates that may receive approval for commercial sale or our partners’ products, we are, and will be, highly dependent upon physician and patient perceptions of us and the safety and quality of our products. We could be adversely affected if we are subject to negative publicity. We could also be adversely affected if any of our products or any similar products distributed by other companies prove to be, or are asserted to be, harmful to patients. Because of our dependence upon consumer perceptions, any adverse publicity associated with illness or other adverse effects resulting from patients’ use or misuse of our products or any similar products distributed by other companies could have a material adverse impact on our financial condition or results of operations.</w:t>
      </w:r>
    </w:p>
    <w:p>
      <w:pPr>
        <w:spacing w:after="0" w:line="200" w:lineRule="exact"/>
        <w:rPr>
          <w:sz w:val="20"/>
          <w:szCs w:val="20"/>
          <w:color w:val="auto"/>
        </w:rPr>
      </w:pPr>
    </w:p>
    <w:p>
      <w:pPr>
        <w:spacing w:after="0" w:line="210" w:lineRule="exact"/>
        <w:rPr>
          <w:sz w:val="20"/>
          <w:szCs w:val="20"/>
          <w:color w:val="auto"/>
        </w:rPr>
      </w:pPr>
    </w:p>
    <w:p>
      <w:pPr>
        <w:ind w:right="160" w:firstLine="625"/>
        <w:spacing w:after="0" w:line="263" w:lineRule="auto"/>
        <w:rPr>
          <w:sz w:val="20"/>
          <w:szCs w:val="20"/>
          <w:color w:val="auto"/>
        </w:rPr>
      </w:pPr>
      <w:r>
        <w:rPr>
          <w:rFonts w:ascii="Times New Roman" w:cs="Times New Roman" w:eastAsia="Times New Roman" w:hAnsi="Times New Roman"/>
          <w:sz w:val="17"/>
          <w:szCs w:val="17"/>
          <w:color w:val="auto"/>
        </w:rPr>
        <w:t>As of December 31, 2024, we hold $20.0 million in product liability insurance coverage in the aggregate, with a per incident limit of $20.0 million, which may not be adequate to cover all liabilities that we may incur. We may need to increase our insurance coverage when we begin the commercialization of product candidates. Insurance coverage is becoming increasingly expensive. As a result, we may be unable to maintain or obtain sufficient insurance at a reasonable cost to protect us against losses that could have a material adverse effect on our business. A successful product liability claim or series of claims brought against us, particularly if judgments exceed any insurance coverage we may have, could decrease our cash resources and adversely affect our business, financial condition and results of operation.</w:t>
      </w:r>
    </w:p>
    <w:p>
      <w:pPr>
        <w:spacing w:after="0" w:line="195" w:lineRule="exact"/>
        <w:rPr>
          <w:sz w:val="20"/>
          <w:szCs w:val="20"/>
          <w:color w:val="auto"/>
        </w:rPr>
      </w:pPr>
    </w:p>
    <w:p>
      <w:pPr>
        <w:ind w:right="6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Even if we and our collaborators obtain regulatory approvals to market our current and any future approved products, we and our collaborators will remain subject to extensive ongoing regulatory obligations and oversight, including post-approval requirements, that could result in significant additional expense and could negatively impact our and our collaborators' ability to commercialize our current and any future approved products.</w:t>
      </w:r>
    </w:p>
    <w:p>
      <w:pPr>
        <w:spacing w:after="0" w:line="187" w:lineRule="exact"/>
        <w:rPr>
          <w:sz w:val="20"/>
          <w:szCs w:val="20"/>
          <w:color w:val="auto"/>
        </w:rPr>
      </w:pPr>
    </w:p>
    <w:p>
      <w:pPr>
        <w:jc w:val="both"/>
        <w:ind w:right="20" w:firstLine="625"/>
        <w:spacing w:after="0" w:line="274" w:lineRule="auto"/>
        <w:rPr>
          <w:sz w:val="20"/>
          <w:szCs w:val="20"/>
          <w:color w:val="auto"/>
        </w:rPr>
      </w:pPr>
      <w:r>
        <w:rPr>
          <w:rFonts w:ascii="Times New Roman" w:cs="Times New Roman" w:eastAsia="Times New Roman" w:hAnsi="Times New Roman"/>
          <w:sz w:val="17"/>
          <w:szCs w:val="17"/>
          <w:color w:val="auto"/>
        </w:rPr>
        <w:t>We and our collaborators are subject to extensive ongoing obligations and continued regulatory review from applicable regulatory agencies with respect to any product obtaining regulatory approval, , such as continued adverse event reporting requirements and post-marketing commitments, all of which may result in significant expense and limit our and our collaborators' ability to commercialize our current and any future approved products.</w:t>
      </w:r>
    </w:p>
    <w:p>
      <w:pPr>
        <w:spacing w:after="0" w:line="190"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We and the manufacturers of our current and any future approved products are also required, or will be required, to comply with cGMP regulations, which include requirements relating to quality control and quality assurance as well as the corresponding maintenance of records and documentation. Further, regulatory agencies must approve these manufacturing facilities before they can be used to manufacture our product candidates, and these facilities are subject to ongoing regulatory inspections. In addition, regulatory agencies subject an approved product, its manufacturer and the manufacturer’s facilities to continual review and inspections, including periodic unannounced inspections. The subsequent discovery of previously unknown problems with our current or any future approved products, including adverse events of unanticipated severity or frequency, or problems with the facilities where our current or any future approved products are manufactured, may result in restrictions on the marketing of our current or any such future approved products, up to and including withdrawal of the affected product from the market. If our manufacturing facilities, our collaborators' manufacturing facilities, or those of our respective suppliers, fail to comply with applicable regulatory requirements, such noncompliance could result in regulatory action and additional costs to us.</w:t>
      </w:r>
    </w:p>
    <w:p>
      <w:pPr>
        <w:spacing w:after="0" w:line="2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Failure to comply with applicable FDA and other regulatory requirements may subject us to administrative or judicially imposed sanctions, including:</w:t>
      </w:r>
    </w:p>
    <w:p>
      <w:pPr>
        <w:spacing w:after="0" w:line="247" w:lineRule="exact"/>
        <w:rPr>
          <w:sz w:val="20"/>
          <w:szCs w:val="20"/>
          <w:color w:val="auto"/>
        </w:rPr>
      </w:pPr>
    </w:p>
    <w:p>
      <w:pPr>
        <w:ind w:left="860" w:hanging="309"/>
        <w:spacing w:after="0"/>
        <w:tabs>
          <w:tab w:leader="none" w:pos="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issuance of Form FDA 483 notices or Warning Letters by the FDA or other regulatory agencies;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imposition of fines and other civil penalties;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criminal prosecutions;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injunctions, suspensions or revocations of regulatory approvals;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suspension of any ongoing clinical trials;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or partial suspension of manufacturing;</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commercialization;</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39" w:name="page40"/>
    <w:bookmarkEnd w:id="39"/>
    <w:p>
      <w:pPr>
        <w:ind w:left="860" w:hanging="309"/>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 by the FDA to approve pending applications or supplements to approved applications submitted by us;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refusals to permit drugs to be imported into or exported from the United States;</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on operations, including costly new manufacturing requirements; and</w:t>
      </w:r>
    </w:p>
    <w:p>
      <w:pPr>
        <w:spacing w:after="0" w:line="247" w:lineRule="exact"/>
        <w:rPr>
          <w:rFonts w:ascii="Times New Roman" w:cs="Times New Roman" w:eastAsia="Times New Roman" w:hAnsi="Times New Roman"/>
          <w:sz w:val="17"/>
          <w:szCs w:val="17"/>
          <w:color w:val="auto"/>
        </w:rPr>
      </w:pPr>
    </w:p>
    <w:p>
      <w:pPr>
        <w:ind w:left="860" w:hanging="309"/>
        <w:spacing w:after="0"/>
        <w:tabs>
          <w:tab w:leader="none" w:pos="86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recalls or seizures.</w:t>
      </w:r>
    </w:p>
    <w:p>
      <w:pPr>
        <w:spacing w:after="0" w:line="247"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The policies of the FDA and other regulatory agencies may change and additional government regulations may be enacted that could prevent or delay regulatory approval of our product candidates, or further restrict or regulate post-approval activities. We cannot predict the likelihood, nature or extent of adverse government regulation that may arise from future legislation or administrative action, either in the United States or abroad. If we are not able to maintain regulatory compliance, we or our collaborators might not be permitted to market our current or any future approved products and our business would suffer.</w:t>
      </w:r>
    </w:p>
    <w:p>
      <w:pPr>
        <w:spacing w:after="0" w:line="191" w:lineRule="exact"/>
        <w:rPr>
          <w:sz w:val="20"/>
          <w:szCs w:val="20"/>
          <w:color w:val="auto"/>
        </w:rPr>
      </w:pPr>
    </w:p>
    <w:p>
      <w:pPr>
        <w:ind w:right="4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and/or our collaboration partners may never obtain approval or commercialize our products outside of the United States, which would limit our ability to realize their full market potential.</w:t>
      </w:r>
    </w:p>
    <w:p>
      <w:pPr>
        <w:spacing w:after="0" w:line="168" w:lineRule="exact"/>
        <w:rPr>
          <w:sz w:val="20"/>
          <w:szCs w:val="20"/>
          <w:color w:val="auto"/>
        </w:rPr>
      </w:pPr>
    </w:p>
    <w:p>
      <w:pPr>
        <w:ind w:right="120" w:firstLine="625"/>
        <w:spacing w:after="0" w:line="260" w:lineRule="auto"/>
        <w:rPr>
          <w:sz w:val="20"/>
          <w:szCs w:val="20"/>
          <w:color w:val="auto"/>
        </w:rPr>
      </w:pPr>
      <w:r>
        <w:rPr>
          <w:rFonts w:ascii="Times New Roman" w:cs="Times New Roman" w:eastAsia="Times New Roman" w:hAnsi="Times New Roman"/>
          <w:sz w:val="17"/>
          <w:szCs w:val="17"/>
          <w:color w:val="auto"/>
        </w:rPr>
        <w:t>In order to market any products outside of the United States, we and our current and potential collaboration partners must establish and comply with numerous and varying regulatory requirements of other countries regarding safety and efficacy. Clinical trials conducted in one country may not be accepted by regulatory authorities in other countries, and regulatory approval in one country does not mean that regulatory approval will be obtained in any other country. Approval procedures vary among countries and may require additional nonclinical studies or clinical trials or additional administrative review periods, which could result in significant delays, difficulties and costs for us. In addition, our failure to obtain regulatory approval in any country may delay or have negative effects on the process for regulatory approval in other countries. Further, even if a product candidate receives regulatory approval outside of the United States, the collaborator may not commercialize the product or may not commercialize the product effectively. If we fail to comply with regulatory requirements in international markets or to obtain and maintain required approvals, our target market will be reduced and our ability to realize the full market potential of our products will be harmed.</w:t>
      </w:r>
    </w:p>
    <w:p>
      <w:pPr>
        <w:spacing w:after="0" w:line="200" w:lineRule="exact"/>
        <w:rPr>
          <w:sz w:val="20"/>
          <w:szCs w:val="20"/>
          <w:color w:val="auto"/>
        </w:rPr>
      </w:pPr>
    </w:p>
    <w:p>
      <w:pPr>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Inadequate funding or government efficiency initiatives for the FDA and other government agencies could reduce agency staffing or hinder agency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spacing w:after="0" w:line="192"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The ability of the FDA to review and approve new products can be affected by a variety of factors, including government budget, funding and staffing levels, ability to hire and retain key personnel and accept the payment of user fees, and statutory, regulatory and policy changes. Average review times at the agency have fluctuated in recent years as a result and may fluctuate significantly in the future. In addition, government funding and staffing levels of other government agencies on which our operations may rely, including those that fund research and development activities is subject to the political process, which is inherently fluid and unpredictable.</w:t>
      </w:r>
    </w:p>
    <w:p>
      <w:pPr>
        <w:spacing w:after="0" w:line="197"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Disruptions at the FDA and other agencies may also slow the time necessary for new drugs to be reviewed and/or approved by necessary government agencies, which would adversely affect our business. For example, over the past decade, the U.S. government has shut down several times and certain regulatory agencies, such as the FDA, have had to furlough critical FDA, and other government employees and pause or stop critical activities. If a prolonged government shutdown occurs, or if FDA or other government employees’ positions are eliminated or become vacant, it could significantly impact the ability of the FDA to timely review and process our regulatory submissions, which could have a material adverse effect on our business.</w:t>
      </w:r>
    </w:p>
    <w:p>
      <w:pPr>
        <w:spacing w:after="0" w:line="193" w:lineRule="exact"/>
        <w:rPr>
          <w:sz w:val="20"/>
          <w:szCs w:val="20"/>
          <w:color w:val="auto"/>
        </w:rPr>
      </w:pPr>
    </w:p>
    <w:p>
      <w:pPr>
        <w:ind w:right="3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Changes in U.S. tax law may have a material adverse effect on our business, financial condition and results of operations, and changes in international trade relations may have a material adverse effect on the commercialization of some or all of our product candidates.</w:t>
      </w:r>
    </w:p>
    <w:p>
      <w:pPr>
        <w:spacing w:after="0" w:line="168"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Changes in laws and policy relating to taxes may have an adverse effect on our business, financial condition and results of operations. Recent tax reforms in the United States have resulted in significant changes to preexisting U.S. tax rules and regulations. These changes may trigger an adverse effect on our business, financial conditions and results of operations.</w:t>
      </w:r>
    </w:p>
    <w:p>
      <w:pPr>
        <w:spacing w:after="0" w:line="190" w:lineRule="exact"/>
        <w:rPr>
          <w:sz w:val="20"/>
          <w:szCs w:val="20"/>
          <w:color w:val="auto"/>
        </w:rPr>
      </w:pPr>
    </w:p>
    <w:p>
      <w:pPr>
        <w:ind w:right="80" w:firstLine="625"/>
        <w:spacing w:after="0" w:line="294" w:lineRule="auto"/>
        <w:rPr>
          <w:sz w:val="20"/>
          <w:szCs w:val="20"/>
          <w:color w:val="auto"/>
        </w:rPr>
      </w:pPr>
      <w:r>
        <w:rPr>
          <w:rFonts w:ascii="Times New Roman" w:cs="Times New Roman" w:eastAsia="Times New Roman" w:hAnsi="Times New Roman"/>
          <w:sz w:val="17"/>
          <w:szCs w:val="17"/>
          <w:color w:val="auto"/>
        </w:rPr>
        <w:t>Additionally, there is inherent risk, based on the complex relationships among the United States and the countries in which we plan to conduct business in, that political, diplomatic, and national security factors can lead to global trade restrictions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40" w:name="page41"/>
    <w:bookmarkEnd w:id="40"/>
    <w:p>
      <w:pPr>
        <w:spacing w:after="0" w:line="265" w:lineRule="auto"/>
        <w:rPr>
          <w:sz w:val="20"/>
          <w:szCs w:val="20"/>
          <w:color w:val="auto"/>
        </w:rPr>
      </w:pPr>
      <w:r>
        <w:rPr>
          <w:rFonts w:ascii="Times New Roman" w:cs="Times New Roman" w:eastAsia="Times New Roman" w:hAnsi="Times New Roman"/>
          <w:sz w:val="17"/>
          <w:szCs w:val="17"/>
          <w:color w:val="auto"/>
        </w:rPr>
        <w:t>and changes in trade policies and export regulations that may adversely affect our business and operations. The United States and other countries have imposed and may continue to impose new trade restrictions and export regulations, have levied tariffs and taxes on certain goods, and could significantly increase tariffs on a broad array of goods. Overall, changes in international trade relations, such as the imposition of or increase in tariffs or other trade barriers, could materially and adversely impact our costs, the ability to make sales of our product candidates to any of our significant customers in other countries, and reduce the competitiveness of our product candidates.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Dependence on Third Parties</w:t>
      </w:r>
    </w:p>
    <w:p>
      <w:pPr>
        <w:spacing w:after="0" w:line="245" w:lineRule="exact"/>
        <w:rPr>
          <w:sz w:val="20"/>
          <w:szCs w:val="20"/>
          <w:color w:val="auto"/>
        </w:rPr>
      </w:pPr>
    </w:p>
    <w:p>
      <w:pPr>
        <w:ind w:right="1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existing therapeutic collaborations are important to our business, and future collaborations may also be important to us. If we are unable to maintain any of these collaborations, or if these collaborations are not successful, our business could be adversely affected.</w:t>
      </w:r>
    </w:p>
    <w:p>
      <w:pPr>
        <w:spacing w:after="0" w:line="90"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We have limited capabilities for drug development and have little to no internal capability for sales, marketing or distribution. We have entered into collaborations with other companies that we believe can provide such capabilities, including our agreements with, for example, Gilead Sciences, Inc, and Incyte Corporation. These current collaborations also have provided us with important funding for our development programs and technology platforms and we expect to receive additional funding under these collaborations in the future. Our existing therapeutic collaborations, and any future collaborations we enter into, may pose a number of risks, including the following:</w:t>
      </w:r>
    </w:p>
    <w:p>
      <w:pPr>
        <w:spacing w:after="0" w:line="197" w:lineRule="exact"/>
        <w:rPr>
          <w:sz w:val="20"/>
          <w:szCs w:val="20"/>
          <w:color w:val="auto"/>
        </w:rPr>
      </w:pPr>
    </w:p>
    <w:p>
      <w:pPr>
        <w:ind w:left="780" w:hanging="307"/>
        <w:spacing w:after="0"/>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have significant discretion in determining the efforts and resources that they will apply to these collaborations;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perform their obligations as expected;</w:t>
      </w:r>
    </w:p>
    <w:p>
      <w:pPr>
        <w:spacing w:after="0" w:line="247" w:lineRule="exact"/>
        <w:rPr>
          <w:rFonts w:ascii="Times New Roman" w:cs="Times New Roman" w:eastAsia="Times New Roman" w:hAnsi="Times New Roman"/>
          <w:sz w:val="17"/>
          <w:szCs w:val="17"/>
          <w:color w:val="auto"/>
        </w:rPr>
      </w:pPr>
    </w:p>
    <w:p>
      <w:pPr>
        <w:ind w:left="780" w:hanging="307"/>
        <w:spacing w:after="0" w:line="274" w:lineRule="auto"/>
        <w:tabs>
          <w:tab w:leader="none" w:pos="77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90" w:lineRule="exact"/>
        <w:rPr>
          <w:rFonts w:ascii="Times New Roman" w:cs="Times New Roman" w:eastAsia="Times New Roman" w:hAnsi="Times New Roman"/>
          <w:sz w:val="17"/>
          <w:szCs w:val="17"/>
          <w:color w:val="auto"/>
        </w:rPr>
      </w:pPr>
    </w:p>
    <w:p>
      <w:pPr>
        <w:ind w:left="780" w:right="260" w:hanging="307"/>
        <w:spacing w:after="0" w:line="294" w:lineRule="auto"/>
        <w:tabs>
          <w:tab w:leader="none" w:pos="77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72" w:lineRule="exact"/>
        <w:rPr>
          <w:rFonts w:ascii="Times New Roman" w:cs="Times New Roman" w:eastAsia="Times New Roman" w:hAnsi="Times New Roman"/>
          <w:sz w:val="17"/>
          <w:szCs w:val="17"/>
          <w:color w:val="auto"/>
        </w:rPr>
      </w:pPr>
    </w:p>
    <w:p>
      <w:pPr>
        <w:ind w:left="780" w:right="140" w:hanging="307"/>
        <w:spacing w:after="0" w:line="274" w:lineRule="auto"/>
        <w:tabs>
          <w:tab w:leader="none" w:pos="77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90" w:lineRule="exact"/>
        <w:rPr>
          <w:rFonts w:ascii="Times New Roman" w:cs="Times New Roman" w:eastAsia="Times New Roman" w:hAnsi="Times New Roman"/>
          <w:sz w:val="17"/>
          <w:szCs w:val="17"/>
          <w:color w:val="auto"/>
        </w:rPr>
      </w:pPr>
    </w:p>
    <w:p>
      <w:pPr>
        <w:ind w:left="780" w:right="460" w:hanging="307"/>
        <w:spacing w:after="0" w:line="294" w:lineRule="auto"/>
        <w:tabs>
          <w:tab w:leader="none" w:pos="77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72" w:lineRule="exact"/>
        <w:rPr>
          <w:rFonts w:ascii="Times New Roman" w:cs="Times New Roman" w:eastAsia="Times New Roman" w:hAnsi="Times New Roman"/>
          <w:sz w:val="17"/>
          <w:szCs w:val="17"/>
          <w:color w:val="auto"/>
        </w:rPr>
      </w:pPr>
    </w:p>
    <w:p>
      <w:pPr>
        <w:ind w:left="780" w:right="440" w:hanging="307"/>
        <w:spacing w:after="0" w:line="294" w:lineRule="auto"/>
        <w:tabs>
          <w:tab w:leader="none" w:pos="77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collaborator with marketing and distribution rights to one or more of our product candidates that achieve regulatory approval may not commit sufficient resources to the marketing and distribution of such product or products;</w:t>
      </w:r>
    </w:p>
    <w:p>
      <w:pPr>
        <w:spacing w:after="0" w:line="172" w:lineRule="exact"/>
        <w:rPr>
          <w:rFonts w:ascii="Times New Roman" w:cs="Times New Roman" w:eastAsia="Times New Roman" w:hAnsi="Times New Roman"/>
          <w:sz w:val="17"/>
          <w:szCs w:val="17"/>
          <w:color w:val="auto"/>
        </w:rPr>
      </w:pPr>
    </w:p>
    <w:p>
      <w:pPr>
        <w:ind w:left="780" w:right="40" w:hanging="307"/>
        <w:spacing w:after="0" w:line="268" w:lineRule="auto"/>
        <w:tabs>
          <w:tab w:leader="none" w:pos="77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disagreements with collaborators, including disagreements over proprietary rights, contract interpretation or the preferred course of development, might cause delays in payment, or non-payment, of royalties, milestones or other monies owed,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194" w:lineRule="exact"/>
        <w:rPr>
          <w:rFonts w:ascii="Times New Roman" w:cs="Times New Roman" w:eastAsia="Times New Roman" w:hAnsi="Times New Roman"/>
          <w:sz w:val="17"/>
          <w:szCs w:val="17"/>
          <w:color w:val="auto"/>
        </w:rPr>
      </w:pPr>
    </w:p>
    <w:p>
      <w:pPr>
        <w:ind w:left="780" w:right="200" w:hanging="307"/>
        <w:spacing w:after="0" w:line="294" w:lineRule="auto"/>
        <w:tabs>
          <w:tab w:leader="none" w:pos="77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infringe the intellectual property rights of third parties, which may expose us to litigation and potential liability; and</w:t>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4" w:right="379" w:bottom="1440" w:gutter="0" w:footer="0" w:header="0"/>
        </w:sectPr>
      </w:pPr>
    </w:p>
    <w:bookmarkStart w:id="41" w:name="page42"/>
    <w:bookmarkEnd w:id="41"/>
    <w:p>
      <w:pPr>
        <w:ind w:left="780" w:right="100" w:hanging="307"/>
        <w:spacing w:after="0" w:line="274" w:lineRule="auto"/>
        <w:tabs>
          <w:tab w:leader="none" w:pos="776"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for the convenience of the collaborator and, if terminated, we could be required to raise additional capital to pursue further development or commercialization of the applicable product candidates. For example, each of our collaboration and license agreements may be terminated for convenience upon the completion of a specified notice period.</w:t>
      </w:r>
    </w:p>
    <w:p>
      <w:pPr>
        <w:spacing w:after="0" w:line="190"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If our collaborations do not result in the successful development and commercialization of products or if one of our collaborators terminates its agreement with us, we may not receive any future research funding or milestone or royalty payments under the collaboration. All of the risks relating to product development, regulatory approval and commercialization described in this Annual Report on Form 10-K also apply to the activities of our program collaborators.</w:t>
      </w:r>
    </w:p>
    <w:p>
      <w:pPr>
        <w:spacing w:after="0" w:line="190" w:lineRule="exact"/>
        <w:rPr>
          <w:sz w:val="20"/>
          <w:szCs w:val="20"/>
          <w:color w:val="auto"/>
        </w:rPr>
      </w:pPr>
    </w:p>
    <w:p>
      <w:pPr>
        <w:ind w:right="140" w:firstLine="625"/>
        <w:spacing w:after="0" w:line="274" w:lineRule="auto"/>
        <w:rPr>
          <w:sz w:val="20"/>
          <w:szCs w:val="20"/>
          <w:color w:val="auto"/>
        </w:rPr>
      </w:pPr>
      <w:r>
        <w:rPr>
          <w:rFonts w:ascii="Times New Roman" w:cs="Times New Roman" w:eastAsia="Times New Roman" w:hAnsi="Times New Roman"/>
          <w:sz w:val="17"/>
          <w:szCs w:val="17"/>
          <w:color w:val="auto"/>
        </w:rPr>
        <w:t>Additionally, subject to its contractual obligations to us, if one of our collaborators is involved in a business combination, the collaborator might de-emphasize or terminate the development or commercialization of any product candidate licensed to it by us. If one of our collaborators terminates its agreement with us, we may find it more difficult to attract new collaborators.</w:t>
      </w:r>
    </w:p>
    <w:p>
      <w:pPr>
        <w:spacing w:after="0" w:line="190"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We may in the future decide to collaborate with additional pharmaceutical and biotechnology companies for development and potential commercialization, if approved, our product candidates. We face significant competition in seeking appropriate collaborators. Our ability to reach a definitive agreement for a collaboration will depend, among other things, upon our assessment of the collaborator’s resources and expertise, the terms and conditions of the proposed collaboration and the proposed collaborator’s evaluation of a number of factors. These factors may include the design or results of clinical trials, the likelihood of approval by the FDA or similar regulatory authorities outside the United States, the potential market for the subject product candidate, the costs and complexities of manufacturing and delivering such product candidate to patients, the potential of competing products, the existence of uncertainty with respect to our ownership of technology, which can exist if there is a challenge to such ownership without regard to the merits of the challenge and industry and market conditions generally. The collaborator may also consider alternative products, product candidates or technologies for similar indications that may be available to collaborate on and whether such a collaboration could be more attractive than the one with us for our product candidate.</w:t>
      </w:r>
    </w:p>
    <w:p>
      <w:pPr>
        <w:spacing w:after="0" w:line="204"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Collaborations are complex and time-consuming to negotiate and document. If we are unable to reach agreements with suitable collaborators on a timely basis, on acceptable terms, or at all, we may have to curtail the development of our product candidates, reduce or delay one or more of our other development programs, delay the commercialization of a product candidate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technology platforms and our business may be materially and adversely affected.</w:t>
      </w:r>
    </w:p>
    <w:p>
      <w:pPr>
        <w:spacing w:after="0" w:line="200" w:lineRule="exact"/>
        <w:rPr>
          <w:sz w:val="20"/>
          <w:szCs w:val="20"/>
          <w:color w:val="auto"/>
        </w:rPr>
      </w:pPr>
    </w:p>
    <w:p>
      <w:pPr>
        <w:spacing w:after="0" w:line="213"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We may also be restricted under collaboration agreements from entering into additional agreements on certain terms with potential collaborators. Most of our existing therapeutic collaborations contain a restriction on our engaging in activities that are the subject of the collaboration with third parties for specified periods of time.</w:t>
      </w:r>
    </w:p>
    <w:p>
      <w:pPr>
        <w:spacing w:after="0" w:line="186"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We contract with, and may in the future contract with, third parties for components of the manufacturing of our product candidates, including our antibody drug conjugate candidates. Failure of third-party contractors to successfully perform their obligations could harm our ability to develop or commercialize our product or product candidates</w:t>
      </w:r>
      <w:r>
        <w:rPr>
          <w:rFonts w:ascii="Times New Roman" w:cs="Times New Roman" w:eastAsia="Times New Roman" w:hAnsi="Times New Roman"/>
          <w:sz w:val="17"/>
          <w:szCs w:val="17"/>
          <w:color w:val="auto"/>
        </w:rPr>
        <w:t>.</w:t>
      </w:r>
    </w:p>
    <w:p>
      <w:pPr>
        <w:spacing w:after="0" w:line="187" w:lineRule="exact"/>
        <w:rPr>
          <w:sz w:val="20"/>
          <w:szCs w:val="20"/>
          <w:color w:val="auto"/>
        </w:rPr>
      </w:pPr>
    </w:p>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We currently have one cGMP manufacturing facility located in Rockville, Maryland in compliance with cGMP to support future clinical and commercial production of our and our collaborators’ product candidates. We manufacture drug substance lots at this facility that we use for clinical trials of our and our collaborators’ product candidates. We will continue to rely on third parties for bioconjugation to produce ADCs and for fill finish activities, neither of which our cGMP manufacturing facility can currently accommodate.</w:t>
      </w:r>
    </w:p>
    <w:p>
      <w:pPr>
        <w:spacing w:after="0" w:line="195" w:lineRule="exact"/>
        <w:rPr>
          <w:sz w:val="20"/>
          <w:szCs w:val="20"/>
          <w:color w:val="auto"/>
        </w:rPr>
      </w:pPr>
    </w:p>
    <w:p>
      <w:pPr>
        <w:ind w:right="100" w:firstLine="625"/>
        <w:spacing w:after="0" w:line="263" w:lineRule="auto"/>
        <w:rPr>
          <w:sz w:val="20"/>
          <w:szCs w:val="20"/>
          <w:color w:val="auto"/>
        </w:rPr>
      </w:pPr>
      <w:r>
        <w:rPr>
          <w:rFonts w:ascii="Times New Roman" w:cs="Times New Roman" w:eastAsia="Times New Roman" w:hAnsi="Times New Roman"/>
          <w:sz w:val="17"/>
          <w:szCs w:val="17"/>
          <w:color w:val="auto"/>
        </w:rPr>
        <w:t>We have entered into agreements with contract manufacturing organizations in the past to supplement our clinical supply and internal capacity as we advance product candidates in our pipeline. In addition, in the future, we may use third parties for the manufacture of some or all components of our product candidates for clinical testing, including antibody drug conjugates, as well as for commercial manufacture of some of our product candidates that receive marketing approval and that are not manufactured by us or one of our third-party collaborators. We may be unable to reach agreement with any of these contract manufacturers, or to identify and reach arrangements on satisfactory terms with other contract manufacturers, to manufacture any of our product candidates. Additionally, the facilities used by any contract manufacturer to manufacture any of</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42" w:name="page43"/>
    <w:bookmarkEnd w:id="42"/>
    <w:p>
      <w:pPr>
        <w:spacing w:after="0" w:line="268" w:lineRule="auto"/>
        <w:rPr>
          <w:sz w:val="20"/>
          <w:szCs w:val="20"/>
          <w:color w:val="auto"/>
        </w:rPr>
      </w:pPr>
      <w:r>
        <w:rPr>
          <w:rFonts w:ascii="Times New Roman" w:cs="Times New Roman" w:eastAsia="Times New Roman" w:hAnsi="Times New Roman"/>
          <w:sz w:val="17"/>
          <w:szCs w:val="17"/>
          <w:color w:val="auto"/>
        </w:rPr>
        <w:t>our product candidates must be the subject of a satisfactory inspection before the FDA and other regulatory authorities approve a BLA or marketing authorization for the product candidate manufactured at that facility. We will depend on these third-party manufacturing partners for compliance with the FDA’s requirements for the manufacture of our finished products. If our manufacturers cannot successfully manufacture material that conforms to our specifications and the FDA and other regulatory authorities’ cGMP requirements, our product candidates will not be approved or, if already approved, may be subject to recalls.</w:t>
      </w:r>
    </w:p>
    <w:p>
      <w:pPr>
        <w:spacing w:after="0" w:line="195" w:lineRule="exact"/>
        <w:rPr>
          <w:sz w:val="20"/>
          <w:szCs w:val="20"/>
          <w:color w:val="auto"/>
        </w:rPr>
      </w:pPr>
    </w:p>
    <w:p>
      <w:pPr>
        <w:ind w:right="400" w:firstLine="625"/>
        <w:spacing w:after="0" w:line="294" w:lineRule="auto"/>
        <w:rPr>
          <w:sz w:val="20"/>
          <w:szCs w:val="20"/>
          <w:color w:val="auto"/>
        </w:rPr>
      </w:pPr>
      <w:r>
        <w:rPr>
          <w:rFonts w:ascii="Times New Roman" w:cs="Times New Roman" w:eastAsia="Times New Roman" w:hAnsi="Times New Roman"/>
          <w:sz w:val="17"/>
          <w:szCs w:val="17"/>
          <w:color w:val="auto"/>
        </w:rPr>
        <w:t>Reliance on third-party manufacturers entails risks to which we would not be subject if we manufactured products or product candidates ourselves, including:</w:t>
      </w:r>
    </w:p>
    <w:p>
      <w:pPr>
        <w:spacing w:after="0" w:line="172" w:lineRule="exact"/>
        <w:rPr>
          <w:sz w:val="20"/>
          <w:szCs w:val="20"/>
          <w:color w:val="auto"/>
        </w:rPr>
      </w:pPr>
    </w:p>
    <w:p>
      <w:pPr>
        <w:ind w:left="780" w:hanging="307"/>
        <w:spacing w:after="0"/>
        <w:tabs>
          <w:tab w:leader="none" w:pos="78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a breach of the manufacturing agreements by the third parties because of factors beyond our control;</w:t>
      </w:r>
    </w:p>
    <w:p>
      <w:pPr>
        <w:spacing w:after="0" w:line="247" w:lineRule="exact"/>
        <w:rPr>
          <w:rFonts w:ascii="Times New Roman" w:cs="Times New Roman" w:eastAsia="Times New Roman" w:hAnsi="Times New Roman"/>
          <w:sz w:val="17"/>
          <w:szCs w:val="17"/>
          <w:color w:val="auto"/>
        </w:rPr>
      </w:pPr>
    </w:p>
    <w:p>
      <w:pPr>
        <w:ind w:left="780" w:right="20" w:hanging="307"/>
        <w:spacing w:after="0" w:line="294" w:lineRule="auto"/>
        <w:tabs>
          <w:tab w:leader="none" w:pos="77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of termination or nonrenewal of the agreements by the third parties before we are able to arrange for a qualified replacement third-party manufacturer; and</w:t>
      </w:r>
    </w:p>
    <w:p>
      <w:pPr>
        <w:spacing w:after="0" w:line="172" w:lineRule="exact"/>
        <w:rPr>
          <w:rFonts w:ascii="Times New Roman" w:cs="Times New Roman" w:eastAsia="Times New Roman" w:hAnsi="Times New Roman"/>
          <w:sz w:val="17"/>
          <w:szCs w:val="17"/>
          <w:color w:val="auto"/>
        </w:rPr>
      </w:pPr>
    </w:p>
    <w:p>
      <w:pPr>
        <w:ind w:left="780" w:right="260" w:hanging="307"/>
        <w:spacing w:after="0" w:line="294" w:lineRule="auto"/>
        <w:tabs>
          <w:tab w:leader="none" w:pos="77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we may not be able to secure a manufacturer or manufacturing capacity in a timely manner and on satisfactory terms in order to meet our manufacturing needs.</w:t>
      </w:r>
    </w:p>
    <w:p>
      <w:pPr>
        <w:spacing w:after="0" w:line="172"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Any of these factors could adversely impact the development of our product candidates, delay approval of our product candidates, or cause us to incur higher costs or prevent us from commercializing our products or product candidates successfully. Furthermore, if contract manufacturers fail to deliver the required quantities of finished product on a timely basis and at commercially reasonable prices, and we are unable to find one or more replacement manufacturers capable of production at a substantially equivalent cost, in substantially equivalent volumes and quality and on a timely basis, we would likely be unable to meet expectations for our clinical development needs, which would delay our ability to execute and complete clinical trials It may take several years to establish an alternative source of supply for our product candidates and to have any such new source approved by the FDA or any other relevant regulatory authorities.</w:t>
      </w:r>
    </w:p>
    <w:p>
      <w:pPr>
        <w:spacing w:after="0" w:line="195"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Failure to successfully develop and commercialize companion diagnostics with third party contractors for use with our product candidates could harm our ability to commercialize our product candidates.</w:t>
      </w:r>
    </w:p>
    <w:p>
      <w:pPr>
        <w:spacing w:after="0" w:line="168"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We plan to develop, or engage third parties to develop, companion diagnostics for our product candidates where appropriate. At least in some cases, the FDA and similar regulatory authorities outside the United States may request or require the development and regulatory approval of a companion diagnostic as a condition to approving one or more of our product candidates. We do not have experience or capabilities in developing or commercializing diagnostics and are relying, and in the future plan to continue to rely, in large part on third parties to perform these functions.</w:t>
      </w:r>
    </w:p>
    <w:p>
      <w:pPr>
        <w:spacing w:after="0" w:line="195" w:lineRule="exact"/>
        <w:rPr>
          <w:sz w:val="20"/>
          <w:szCs w:val="20"/>
          <w:color w:val="auto"/>
        </w:rPr>
      </w:pPr>
    </w:p>
    <w:p>
      <w:pPr>
        <w:ind w:right="120" w:firstLine="625"/>
        <w:spacing w:after="0" w:line="274" w:lineRule="auto"/>
        <w:rPr>
          <w:sz w:val="20"/>
          <w:szCs w:val="20"/>
          <w:color w:val="auto"/>
        </w:rPr>
      </w:pPr>
      <w:r>
        <w:rPr>
          <w:rFonts w:ascii="Times New Roman" w:cs="Times New Roman" w:eastAsia="Times New Roman" w:hAnsi="Times New Roman"/>
          <w:sz w:val="17"/>
          <w:szCs w:val="17"/>
          <w:color w:val="auto"/>
        </w:rPr>
        <w:t>In most cases, we will likely outsource the development, production and commercialization of companion diagnostics to third parties. By outsourcing these companion diagnostics to third parties, we become dependent on the efforts of our third party contractors to successfully develop and commercialize these companion diagnostics. Our contractors:</w:t>
      </w:r>
    </w:p>
    <w:p>
      <w:pPr>
        <w:spacing w:after="0" w:line="190" w:lineRule="exact"/>
        <w:rPr>
          <w:sz w:val="20"/>
          <w:szCs w:val="20"/>
          <w:color w:val="auto"/>
        </w:rPr>
      </w:pPr>
    </w:p>
    <w:p>
      <w:pPr>
        <w:ind w:left="780" w:hanging="307"/>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not perform their obligations as expected;</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encounter production difficulties that could constrain the supply of the companion diagnostic;</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have difficulties gaining acceptance of the use of the companion diagnostic in the clinical community;</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not commit sufficient resources to the marketing and distribution of such product; and</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terminate their relationship with us.</w:t>
      </w:r>
    </w:p>
    <w:p>
      <w:pPr>
        <w:spacing w:after="0" w:line="247"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If any companion diagnostic for use with one of our product candidates fails to gain market acceptance, our ability to derive revenues from sales of such product candidate could be harmed. If our third-party contractors fail to commercialize such companion diagnostic, we may not be able to enter into arrangements with another diagnostic company to obtain supplies of an alternative diagnostic test for use in connection with such product candidate or do so on commercially reasonable terms, which could adversely affect and delay the development or commercialization of such product candidate.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3" w:name="page44"/>
    <w:bookmarkEnd w:id="43"/>
    <w:p>
      <w:pPr>
        <w:ind w:right="1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Independent clinical investigators and CROs that we engage to conduct our clinical trials may not devote sufficient time or attention to our clinical trials or be able to repeat their past success.</w:t>
      </w:r>
    </w:p>
    <w:p>
      <w:pPr>
        <w:spacing w:after="0" w:line="168"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We expect to continue to depend on independent clinical investigators and CROs to conduct our clinical trials. CROs may also assist us in the collection and analysis of data. There is a limited number of third-party service providers that specialize or have the expertise required to achieve our business objectives. Identifying, qualifying and managing performance of third-party service providers can be difficult, time consuming and cause delays in our development programs. These investigators and CROs are not and will not be our employees and we will not be able to control, other than by contract, the amount of resources, including time, which they devote to our product candidates and clinical trials. If independent investigators or CROs fail to devote sufficient resources to the development of our product candidates, or if their performance is substandard, it may delay or compromise the prospects for approval and commercialization of any product candidates that we develop. In addition, the use of third-party service providers requires us to disclose our proprietary information to these parties, which could increase the risk that this information will be misappropriated. Further, the FDA requires that we comply with standards, commonly referred to as current Good Clinical Practice (GCP) for conducting, recording and reporting clinical trials to assure that data and reported results are credible and accurate and that the rights, integrity and confidentiality of trial subjects are protected. Failure of clinical investigators or CROs to meet their obligations to us or comply with GCP procedures could adversely affect the clinical development of our product candidates and harm our business.</w:t>
      </w:r>
    </w:p>
    <w:p>
      <w:pPr>
        <w:spacing w:after="0" w:line="202" w:lineRule="exact"/>
        <w:rPr>
          <w:sz w:val="20"/>
          <w:szCs w:val="20"/>
          <w:color w:val="auto"/>
        </w:rPr>
      </w:pPr>
    </w:p>
    <w:p>
      <w:pPr>
        <w:ind w:right="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Commercialization collaborations will be important to our business. If we are unable to maintain commercialization collaborations, or if commercialization collaborations are not successful, our business could be adversely affected</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right="280" w:firstLine="625"/>
        <w:spacing w:after="0" w:line="274" w:lineRule="auto"/>
        <w:rPr>
          <w:sz w:val="20"/>
          <w:szCs w:val="20"/>
          <w:color w:val="auto"/>
        </w:rPr>
      </w:pPr>
      <w:r>
        <w:rPr>
          <w:rFonts w:ascii="Times New Roman" w:cs="Times New Roman" w:eastAsia="Times New Roman" w:hAnsi="Times New Roman"/>
          <w:sz w:val="17"/>
          <w:szCs w:val="17"/>
          <w:color w:val="auto"/>
        </w:rPr>
        <w:t>We have limited capabilities for drug commercialization, with little to no internal capability for sales, marketing or distribution. We may enter into commercial collaborations in the future for any approved products or our product candidates. Any future commercialization collaborations we enter into may pose a number of risks, including the following:</w:t>
      </w:r>
    </w:p>
    <w:p>
      <w:pPr>
        <w:spacing w:after="0" w:line="190" w:lineRule="exact"/>
        <w:rPr>
          <w:sz w:val="20"/>
          <w:szCs w:val="20"/>
          <w:color w:val="auto"/>
        </w:rPr>
      </w:pPr>
    </w:p>
    <w:p>
      <w:pPr>
        <w:ind w:left="780" w:hanging="307"/>
        <w:spacing w:after="0"/>
        <w:tabs>
          <w:tab w:leader="none" w:pos="7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have significant discretion in determining the efforts and resources that they will apply to these collaborations;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perform their obligations as expected;</w:t>
      </w:r>
    </w:p>
    <w:p>
      <w:pPr>
        <w:spacing w:after="0" w:line="247" w:lineRule="exact"/>
        <w:rPr>
          <w:rFonts w:ascii="Times New Roman" w:cs="Times New Roman" w:eastAsia="Times New Roman" w:hAnsi="Times New Roman"/>
          <w:sz w:val="17"/>
          <w:szCs w:val="17"/>
          <w:color w:val="auto"/>
        </w:rPr>
      </w:pPr>
    </w:p>
    <w:p>
      <w:pPr>
        <w:jc w:val="both"/>
        <w:ind w:left="780" w:hanging="307"/>
        <w:spacing w:after="0" w:line="274" w:lineRule="auto"/>
        <w:tabs>
          <w:tab w:leader="none" w:pos="77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pursue commercialization our products or any product candidates that achieve regulatory approval or may elect not to continue commercialization based on clinical trial results, changes in the collaborators' strategic focus or other factors that divert resources or create competing priorities;</w:t>
      </w:r>
    </w:p>
    <w:p>
      <w:pPr>
        <w:spacing w:after="0" w:line="190" w:lineRule="exact"/>
        <w:rPr>
          <w:rFonts w:ascii="Times New Roman" w:cs="Times New Roman" w:eastAsia="Times New Roman" w:hAnsi="Times New Roman"/>
          <w:sz w:val="17"/>
          <w:szCs w:val="17"/>
          <w:color w:val="auto"/>
        </w:rPr>
      </w:pPr>
    </w:p>
    <w:p>
      <w:pPr>
        <w:ind w:left="780" w:right="140" w:hanging="307"/>
        <w:spacing w:after="0" w:line="274" w:lineRule="auto"/>
        <w:tabs>
          <w:tab w:leader="none" w:pos="77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could independently commercialize products that compete directly or indirectly with our products or product candidates if the collaborators believe that competitive products are more likely to be successfully commercialized under terms that are more economically attractive than ours;</w:t>
      </w:r>
    </w:p>
    <w:p>
      <w:pPr>
        <w:spacing w:after="0" w:line="190" w:lineRule="exact"/>
        <w:rPr>
          <w:rFonts w:ascii="Times New Roman" w:cs="Times New Roman" w:eastAsia="Times New Roman" w:hAnsi="Times New Roman"/>
          <w:sz w:val="17"/>
          <w:szCs w:val="17"/>
          <w:color w:val="auto"/>
        </w:rPr>
      </w:pPr>
    </w:p>
    <w:p>
      <w:pPr>
        <w:ind w:left="780" w:right="460" w:hanging="307"/>
        <w:spacing w:after="0" w:line="294" w:lineRule="auto"/>
        <w:tabs>
          <w:tab w:leader="none" w:pos="77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with marketing and distribution rights to our products or our product candidates that achieve regulatory approval may not commit sufficient resources to the marketing and distribution of such product or products;</w:t>
      </w:r>
    </w:p>
    <w:p>
      <w:pPr>
        <w:spacing w:after="0" w:line="172" w:lineRule="exact"/>
        <w:rPr>
          <w:rFonts w:ascii="Times New Roman" w:cs="Times New Roman" w:eastAsia="Times New Roman" w:hAnsi="Times New Roman"/>
          <w:sz w:val="17"/>
          <w:szCs w:val="17"/>
          <w:color w:val="auto"/>
        </w:rPr>
      </w:pPr>
    </w:p>
    <w:p>
      <w:pPr>
        <w:ind w:left="780" w:right="20" w:hanging="307"/>
        <w:spacing w:after="0" w:line="274" w:lineRule="auto"/>
        <w:tabs>
          <w:tab w:leader="none" w:pos="77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disagreements with collaborators, including disagreements on contract interpretation, commercialization strategy or tactics, might cause delays or termination of the commercialization of products or product candidates, might lead to additional responsibilities for us with respect to our products or product candidates, or might result in litigation or arbitration, any of which would be time-consuming and expensive;</w:t>
      </w:r>
    </w:p>
    <w:p>
      <w:pPr>
        <w:spacing w:after="0" w:line="190" w:lineRule="exact"/>
        <w:rPr>
          <w:rFonts w:ascii="Times New Roman" w:cs="Times New Roman" w:eastAsia="Times New Roman" w:hAnsi="Times New Roman"/>
          <w:sz w:val="17"/>
          <w:szCs w:val="17"/>
          <w:color w:val="auto"/>
        </w:rPr>
      </w:pPr>
    </w:p>
    <w:p>
      <w:pPr>
        <w:ind w:left="780" w:right="100" w:hanging="307"/>
        <w:spacing w:after="0" w:line="294" w:lineRule="auto"/>
        <w:tabs>
          <w:tab w:leader="none" w:pos="77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not properly utilize our intellectual property rights or may use our proprietary information in such a way as to invite litigation that could jeopardize or invalidate our intellectual property or proprietary information or expose us to potential litigation;</w:t>
      </w:r>
    </w:p>
    <w:p>
      <w:pPr>
        <w:spacing w:after="0" w:line="172" w:lineRule="exact"/>
        <w:rPr>
          <w:rFonts w:ascii="Times New Roman" w:cs="Times New Roman" w:eastAsia="Times New Roman" w:hAnsi="Times New Roman"/>
          <w:sz w:val="17"/>
          <w:szCs w:val="17"/>
          <w:color w:val="auto"/>
        </w:rPr>
      </w:pPr>
    </w:p>
    <w:p>
      <w:pPr>
        <w:ind w:left="780" w:right="100" w:hanging="307"/>
        <w:spacing w:after="0" w:line="294" w:lineRule="auto"/>
        <w:tabs>
          <w:tab w:leader="none" w:pos="77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collaborators may violate, or be investigated for potentially violating, health care compliance and related laws and regulations, which may expose us to litigation, enforcement actions or inquiries, or other potential liability; and</w:t>
      </w:r>
    </w:p>
    <w:p>
      <w:pPr>
        <w:spacing w:after="0" w:line="172" w:lineRule="exact"/>
        <w:rPr>
          <w:rFonts w:ascii="Times New Roman" w:cs="Times New Roman" w:eastAsia="Times New Roman" w:hAnsi="Times New Roman"/>
          <w:sz w:val="17"/>
          <w:szCs w:val="17"/>
          <w:color w:val="auto"/>
        </w:rPr>
      </w:pPr>
    </w:p>
    <w:p>
      <w:pPr>
        <w:ind w:left="780" w:right="60" w:hanging="307"/>
        <w:spacing w:after="0" w:line="294" w:lineRule="auto"/>
        <w:tabs>
          <w:tab w:leader="none" w:pos="77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collaborations may be terminated for the convenience of the collaborator and, if terminated, we could be required to raise additional capital to pursue further commercialization of our products or applicable product candidates.</w:t>
      </w:r>
    </w:p>
    <w:p>
      <w:pPr>
        <w:spacing w:after="0" w:line="172" w:lineRule="exact"/>
        <w:rPr>
          <w:sz w:val="20"/>
          <w:szCs w:val="20"/>
          <w:color w:val="auto"/>
        </w:rPr>
      </w:pPr>
    </w:p>
    <w:p>
      <w:pPr>
        <w:ind w:right="620" w:firstLine="625"/>
        <w:spacing w:after="0" w:line="294" w:lineRule="auto"/>
        <w:rPr>
          <w:sz w:val="20"/>
          <w:szCs w:val="20"/>
          <w:color w:val="auto"/>
        </w:rPr>
      </w:pPr>
      <w:r>
        <w:rPr>
          <w:rFonts w:ascii="Times New Roman" w:cs="Times New Roman" w:eastAsia="Times New Roman" w:hAnsi="Times New Roman"/>
          <w:sz w:val="17"/>
          <w:szCs w:val="17"/>
          <w:color w:val="auto"/>
        </w:rPr>
        <w:t>All of the risks relating to commercialization, and health care legal compliance described in this Annual Report on Form 10-K also apply to the commercialization activities of our collaborators.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44" w:name="page45"/>
    <w:bookmarkEnd w:id="44"/>
    <w:p>
      <w:pPr>
        <w:ind w:right="320" w:firstLine="625"/>
        <w:spacing w:after="0" w:line="268" w:lineRule="auto"/>
        <w:rPr>
          <w:sz w:val="20"/>
          <w:szCs w:val="20"/>
          <w:color w:val="auto"/>
        </w:rPr>
      </w:pPr>
      <w:r>
        <w:rPr>
          <w:rFonts w:ascii="Times New Roman" w:cs="Times New Roman" w:eastAsia="Times New Roman" w:hAnsi="Times New Roman"/>
          <w:sz w:val="17"/>
          <w:szCs w:val="17"/>
          <w:color w:val="auto"/>
        </w:rPr>
        <w:t>Additionally, subject to its contractual obligations to us, if one of our collaborators is involved in a business combination, the collaborator might de-emphasize or terminate the development or commercialization of a product candidate licensed to it by us. If one of our collaborators terminates its agreement with us, we may find it more difficult to attract new collaborators for the products in the covered territory or elsewhere. We may also be restricted under commercialization collaboration agreements from entering into future agreements on certain terms with potential collaborators.</w:t>
      </w:r>
    </w:p>
    <w:p>
      <w:pPr>
        <w:spacing w:after="0" w:line="195" w:lineRule="exact"/>
        <w:rPr>
          <w:sz w:val="20"/>
          <w:szCs w:val="20"/>
          <w:color w:val="auto"/>
        </w:rPr>
      </w:pPr>
    </w:p>
    <w:p>
      <w:pPr>
        <w:ind w:right="80" w:firstLine="625"/>
        <w:spacing w:after="0" w:line="262" w:lineRule="auto"/>
        <w:rPr>
          <w:sz w:val="20"/>
          <w:szCs w:val="20"/>
          <w:color w:val="auto"/>
        </w:rPr>
      </w:pPr>
      <w:r>
        <w:rPr>
          <w:rFonts w:ascii="Times New Roman" w:cs="Times New Roman" w:eastAsia="Times New Roman" w:hAnsi="Times New Roman"/>
          <w:sz w:val="17"/>
          <w:szCs w:val="17"/>
          <w:color w:val="auto"/>
        </w:rPr>
        <w:t>Commercialization collaborations are complex and time-consuming to negotiate and document. If we are unable to reach agreements with suitable collaborators on a timely basis, on acceptable terms, or at all, we may have to curtail the commercialization of a product or product candidate, reduce the scope of any sales or marketing activities, or increase our expenditures and undertake or commercialization activities at our own expense. If in the future we elect to fund and undertake commercialization activities on our own, we may need to obtain additional expertise and additional capital, which may not be available to us on acceptable terms or at all. If we fail to enter into collaborations to commercialize our product candidates and do not have sufficient funds or expertise to undertake the necessary commercialization activities, we may not be able to commercialize our product candidates or bring them to market or continue and our business may be materially and adversely affected.</w:t>
      </w:r>
    </w:p>
    <w:p>
      <w:pPr>
        <w:spacing w:after="0" w:line="195" w:lineRule="exact"/>
        <w:rPr>
          <w:sz w:val="20"/>
          <w:szCs w:val="20"/>
          <w:color w:val="auto"/>
        </w:rPr>
      </w:pPr>
    </w:p>
    <w:p>
      <w:pPr>
        <w:ind w:right="100"/>
        <w:spacing w:after="0" w:line="277" w:lineRule="auto"/>
        <w:rPr>
          <w:sz w:val="20"/>
          <w:szCs w:val="20"/>
          <w:color w:val="auto"/>
        </w:rPr>
      </w:pPr>
      <w:r>
        <w:rPr>
          <w:rFonts w:ascii="Times New Roman" w:cs="Times New Roman" w:eastAsia="Times New Roman" w:hAnsi="Times New Roman"/>
          <w:sz w:val="17"/>
          <w:szCs w:val="17"/>
          <w:b w:val="1"/>
          <w:bCs w:val="1"/>
          <w:i w:val="1"/>
          <w:iCs w:val="1"/>
          <w:color w:val="auto"/>
        </w:rPr>
        <w:t>If our information technology systems, or those third parties with whom we work,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spacing w:after="0" w:line="187"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In the ordinary course of our business, we and the third parties with whom we work, process, collect, receive, store, process, generate, use, transfer, disclose, make accessible, protect, secure, dispose of, transmit, and share (collectively, process) proprietary, confidential, and sensitive data, including personal data (such as health-related data), intellectual property, trade secrets and any other sensitive data the we may process, e.g., business plans, transactions, financial information, etc. (collectively, sensitive information).</w:t>
      </w:r>
    </w:p>
    <w:p>
      <w:pPr>
        <w:spacing w:after="0" w:line="195" w:lineRule="exact"/>
        <w:rPr>
          <w:sz w:val="20"/>
          <w:szCs w:val="20"/>
          <w:color w:val="auto"/>
        </w:rPr>
      </w:pPr>
    </w:p>
    <w:p>
      <w:pPr>
        <w:ind w:right="260" w:firstLine="625"/>
        <w:spacing w:after="0" w:line="268" w:lineRule="auto"/>
        <w:rPr>
          <w:sz w:val="20"/>
          <w:szCs w:val="20"/>
          <w:color w:val="auto"/>
        </w:rPr>
      </w:pPr>
      <w:r>
        <w:rPr>
          <w:rFonts w:ascii="Times New Roman" w:cs="Times New Roman" w:eastAsia="Times New Roman" w:hAnsi="Times New Roman"/>
          <w:sz w:val="17"/>
          <w:szCs w:val="17"/>
          <w:color w:val="auto"/>
        </w:rPr>
        <w:t>Cyber-attacks, malicious internet-based activity, online and offline fraud, and other similar activities threaten the confidentiality, integrity, and availability of our sensitive information and information technology systems, and those of the third parties upon which we rely.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nation-state-supported actors.</w:t>
      </w:r>
    </w:p>
    <w:p>
      <w:pPr>
        <w:spacing w:after="0" w:line="195"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Some actors now engage and are expected to continue to engage in cyber-attacks, including without limitation nation-state actors for geopolitical reasons and in conjunction with military conflicts and defense activities. During times of war and other major conflicts, we, the third parties upon which we rely, and our customers may be vulnerable to a heightened risk of these attacks, including retaliatory cyber-attacks, that could materially disrupt our systems and operations, supply chain, and ability to produce, sell and distribute our goods and services.</w:t>
      </w:r>
    </w:p>
    <w:p>
      <w:pPr>
        <w:spacing w:after="0" w:line="195"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We and the third parties upon which we rely are subject to a variety of evolving threats, including but not limited to social-engineering attacks (including through deep fakes and the use of Artificial Intelligence (AI)),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w:t>
      </w:r>
    </w:p>
    <w:p>
      <w:pPr>
        <w:spacing w:after="0" w:line="199" w:lineRule="exact"/>
        <w:rPr>
          <w:sz w:val="20"/>
          <w:szCs w:val="20"/>
          <w:color w:val="auto"/>
        </w:rPr>
      </w:pPr>
    </w:p>
    <w:p>
      <w:pPr>
        <w:ind w:right="260" w:firstLine="625"/>
        <w:spacing w:after="0" w:line="265" w:lineRule="auto"/>
        <w:rPr>
          <w:sz w:val="20"/>
          <w:szCs w:val="20"/>
          <w:color w:val="auto"/>
        </w:rPr>
      </w:pPr>
      <w:r>
        <w:rPr>
          <w:rFonts w:ascii="Times New Roman" w:cs="Times New Roman" w:eastAsia="Times New Roman" w:hAnsi="Times New Roman"/>
          <w:sz w:val="17"/>
          <w:szCs w:val="17"/>
          <w:color w:val="auto"/>
        </w:rPr>
        <w:t>Severe ransomware attacks are becoming increasingly prevalent and can lead to significant interruptions in our operations, ability to provide our products or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Remote work has become more common and has increased risks to our information technology systems and data, as more of our employees utilize network connections, computers and devices outside our premises or network, including working at home, while in transit and in public locations.</w:t>
      </w:r>
    </w:p>
    <w:p>
      <w:pPr>
        <w:spacing w:after="0" w:line="197" w:lineRule="exact"/>
        <w:rPr>
          <w:sz w:val="20"/>
          <w:szCs w:val="20"/>
          <w:color w:val="auto"/>
        </w:rPr>
      </w:pPr>
    </w:p>
    <w:p>
      <w:pPr>
        <w:ind w:right="300" w:firstLine="625"/>
        <w:spacing w:after="0" w:line="274" w:lineRule="auto"/>
        <w:rPr>
          <w:sz w:val="20"/>
          <w:szCs w:val="20"/>
          <w:color w:val="auto"/>
        </w:rPr>
      </w:pPr>
      <w:r>
        <w:rPr>
          <w:rFonts w:ascii="Times New Roman" w:cs="Times New Roman" w:eastAsia="Times New Roman" w:hAnsi="Times New Roman"/>
          <w:sz w:val="17"/>
          <w:szCs w:val="17"/>
          <w:color w:val="auto"/>
        </w:rPr>
        <w:t>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color w:val="auto"/>
        </w:rPr>
        <w:t>acquired or integrated entities, and it may be difficult to integrate companies into our information technology environment and security program.</w:t>
      </w:r>
    </w:p>
    <w:p>
      <w:pPr>
        <w:spacing w:after="0" w:line="247"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We rely on third-parties to operate critical business systems to process sensitive information in a variety of contexts, including, without limitation, encryption and authentication technology, employee email, content delivery to customers, and other functions. Our ability to monitor these third parties’ information security practices is limited, as is our ability to determine whether these third parties may not have adequate information security measures in place. If the third-parties with whom we work experience a security incident or other interruption, we could experience adverse consequences. While we may be entitled to damages if our third-party service providers fail to satisfy their privacy or security-related obligations to us, any award may be insufficient to cover our damages, or we may be unable to recover such award. In addition, supply-chain attacks have increased in frequency and severity, and we cannot guarantee that third parties’ infrastructure in our supply chain or our third-party partners’ supply chains have not been compromised.</w:t>
      </w:r>
    </w:p>
    <w:p>
      <w:pPr>
        <w:spacing w:after="0" w:line="199" w:lineRule="exact"/>
        <w:rPr>
          <w:sz w:val="20"/>
          <w:szCs w:val="20"/>
          <w:color w:val="auto"/>
        </w:rPr>
      </w:pPr>
    </w:p>
    <w:p>
      <w:pPr>
        <w:ind w:right="140" w:firstLine="625"/>
        <w:spacing w:after="0" w:line="265" w:lineRule="auto"/>
        <w:rPr>
          <w:sz w:val="20"/>
          <w:szCs w:val="20"/>
          <w:color w:val="auto"/>
        </w:rPr>
      </w:pPr>
      <w:r>
        <w:rPr>
          <w:rFonts w:ascii="Times New Roman" w:cs="Times New Roman" w:eastAsia="Times New Roman" w:hAnsi="Times New Roman"/>
          <w:sz w:val="17"/>
          <w:szCs w:val="17"/>
          <w:color w:val="auto"/>
        </w:rPr>
        <w:t>While we have implemented security measures designed to protect against security incidents, there can be no assurance that these measures will be effective. Any of the previously identified or similar threats could cause a security incident or other interruption that could result in unauthorized, unlawful, or accidental acquisition, modification, destruction, loss, alteration, encryption, disclosure of, or access to our sensitive information or our information technology systems, or those of the third parties upon whom we rely. A security incident or other interruption could disrupt our ability (and that of third parties upon whom we rely) to provide our products.</w:t>
      </w:r>
    </w:p>
    <w:p>
      <w:pPr>
        <w:spacing w:after="0" w:line="197"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We may expend significant resources or modify our business activities (including our clinical trial activities) to try to protect against security incidents. Certain data privacy and security obligations may require us to implement and maintain specific security measures or industry-standard or reasonable security measures to protect our information technology systems and sensitive information. Applicable data privacy and security obligations may require us to notify relevant stakeholders, including affected individuals, customers, regulators, and investors, of security incidents. Such disclosures are costly, and the disclosure or the failure to comply with such requirements could lead to adverse consequences.</w:t>
      </w:r>
    </w:p>
    <w:p>
      <w:pPr>
        <w:spacing w:after="0" w:line="197" w:lineRule="exact"/>
        <w:rPr>
          <w:sz w:val="20"/>
          <w:szCs w:val="20"/>
          <w:color w:val="auto"/>
        </w:rPr>
      </w:pPr>
    </w:p>
    <w:p>
      <w:pPr>
        <w:ind w:right="180" w:firstLine="625"/>
        <w:spacing w:after="0" w:line="263" w:lineRule="auto"/>
        <w:rPr>
          <w:sz w:val="20"/>
          <w:szCs w:val="20"/>
          <w:color w:val="auto"/>
        </w:rPr>
      </w:pPr>
      <w:r>
        <w:rPr>
          <w:rFonts w:ascii="Times New Roman" w:cs="Times New Roman" w:eastAsia="Times New Roman" w:hAnsi="Times New Roman"/>
          <w:sz w:val="17"/>
          <w:szCs w:val="17"/>
          <w:color w:val="auto"/>
        </w:rPr>
        <w:t>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sensitive information (including personal data); litigation (including class claims); indemnification obligations; negative publicity; reputational harm; monetary fund diversions; diversion of management attention; interruptions in our operations (including availability of data); financial loss; and other similar harms. Security incidents and attendant consequences may prevent or cause customers to stop using our products, deter new customers from using our products, and negatively impact our ability to grow and operate our business.</w:t>
      </w:r>
    </w:p>
    <w:p>
      <w:pPr>
        <w:spacing w:after="0" w:line="199"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spacing w:after="0" w:line="195" w:lineRule="exact"/>
        <w:rPr>
          <w:sz w:val="20"/>
          <w:szCs w:val="20"/>
          <w:color w:val="auto"/>
        </w:rPr>
      </w:pPr>
    </w:p>
    <w:p>
      <w:pPr>
        <w:ind w:right="140" w:firstLine="625"/>
        <w:spacing w:after="0" w:line="268" w:lineRule="auto"/>
        <w:rPr>
          <w:sz w:val="20"/>
          <w:szCs w:val="20"/>
          <w:color w:val="auto"/>
        </w:rPr>
      </w:pPr>
      <w:r>
        <w:rPr>
          <w:rFonts w:ascii="Times New Roman" w:cs="Times New Roman" w:eastAsia="Times New Roman" w:hAnsi="Times New Roman"/>
          <w:sz w:val="17"/>
          <w:szCs w:val="17"/>
          <w:color w:val="auto"/>
        </w:rPr>
        <w:t>In addition to experiencing a security incident, third parties may gather, collect, or infer sensitive information about us from public sources, data brokers, or other means that reveals competitively sensitive details about our organization and could be used to undermine our competitive advantage or market position. Additionally, sensitive information of the Company could be leaked, disclosed, or revealed as a result of or in connection with our employees’, personnel’s, or vendors’ use of generative AI technologies.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Intellectual Property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success depends significantly on our ability to operate without infringing the valid patents and other proprietary rights of third parties.</w:t>
      </w:r>
    </w:p>
    <w:p>
      <w:pPr>
        <w:spacing w:after="0" w:line="173" w:lineRule="exact"/>
        <w:rPr>
          <w:sz w:val="20"/>
          <w:szCs w:val="20"/>
          <w:color w:val="auto"/>
        </w:rPr>
      </w:pPr>
    </w:p>
    <w:p>
      <w:pPr>
        <w:ind w:right="480" w:firstLine="625"/>
        <w:spacing w:after="0" w:line="274" w:lineRule="auto"/>
        <w:rPr>
          <w:sz w:val="20"/>
          <w:szCs w:val="20"/>
          <w:color w:val="auto"/>
        </w:rPr>
      </w:pPr>
      <w:r>
        <w:rPr>
          <w:rFonts w:ascii="Times New Roman" w:cs="Times New Roman" w:eastAsia="Times New Roman" w:hAnsi="Times New Roman"/>
          <w:sz w:val="17"/>
          <w:szCs w:val="17"/>
          <w:color w:val="auto"/>
        </w:rPr>
        <w:t>Our success will depend in part on our ability to operate without infringing the proprietary rights of third parties. Third parties may have or obtain patents or proprietary rights that could limit our ability to make, use, sell, offer for sale or import our future approved products or impair our competitive position.</w:t>
      </w:r>
    </w:p>
    <w:p>
      <w:pPr>
        <w:spacing w:after="0" w:line="190" w:lineRule="exact"/>
        <w:rPr>
          <w:sz w:val="20"/>
          <w:szCs w:val="20"/>
          <w:color w:val="auto"/>
        </w:rPr>
      </w:pPr>
    </w:p>
    <w:p>
      <w:pPr>
        <w:ind w:right="180" w:firstLine="625"/>
        <w:spacing w:after="0" w:line="294" w:lineRule="auto"/>
        <w:rPr>
          <w:sz w:val="20"/>
          <w:szCs w:val="20"/>
          <w:color w:val="auto"/>
        </w:rPr>
      </w:pPr>
      <w:r>
        <w:rPr>
          <w:rFonts w:ascii="Times New Roman" w:cs="Times New Roman" w:eastAsia="Times New Roman" w:hAnsi="Times New Roman"/>
          <w:sz w:val="17"/>
          <w:szCs w:val="17"/>
          <w:color w:val="auto"/>
        </w:rPr>
        <w:t>Third parties could possess patents that we may ultimately be found to infringe, or such third-party patents could issue in the future. Third parties may have or may obtain valid and enforceable patents or proprietary rights that could block us from</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46" w:name="page47"/>
    <w:bookmarkEnd w:id="46"/>
    <w:p>
      <w:pPr>
        <w:jc w:val="both"/>
        <w:spacing w:after="0" w:line="274" w:lineRule="auto"/>
        <w:rPr>
          <w:sz w:val="20"/>
          <w:szCs w:val="20"/>
          <w:color w:val="auto"/>
        </w:rPr>
      </w:pPr>
      <w:r>
        <w:rPr>
          <w:rFonts w:ascii="Times New Roman" w:cs="Times New Roman" w:eastAsia="Times New Roman" w:hAnsi="Times New Roman"/>
          <w:sz w:val="17"/>
          <w:szCs w:val="17"/>
          <w:color w:val="auto"/>
        </w:rPr>
        <w:t>developing product candidates using our technology. Our failure to obtain a license to any technology that we require may materially harm our business, financial condition and results of operations. Moreover, our failure to maintain a license to any technology that we require may also materially harm our business, financial condition, and results of operations. Furthermore, we would be exposed to a threat of litigation.</w:t>
      </w:r>
    </w:p>
    <w:p>
      <w:pPr>
        <w:spacing w:after="0" w:line="190" w:lineRule="exact"/>
        <w:rPr>
          <w:sz w:val="20"/>
          <w:szCs w:val="20"/>
          <w:color w:val="auto"/>
        </w:rPr>
      </w:pPr>
    </w:p>
    <w:p>
      <w:pPr>
        <w:ind w:right="220" w:firstLine="625"/>
        <w:spacing w:after="0" w:line="294" w:lineRule="auto"/>
        <w:rPr>
          <w:sz w:val="20"/>
          <w:szCs w:val="20"/>
          <w:color w:val="auto"/>
        </w:rPr>
      </w:pPr>
      <w:r>
        <w:rPr>
          <w:rFonts w:ascii="Times New Roman" w:cs="Times New Roman" w:eastAsia="Times New Roman" w:hAnsi="Times New Roman"/>
          <w:sz w:val="17"/>
          <w:szCs w:val="17"/>
          <w:color w:val="auto"/>
        </w:rPr>
        <w:t>In the biopharmaceutical industry, significant litigation and other proceedings regarding patents, patent applications, trademarks and other intellectual property rights have become commonplace. The types of situations in which we may become a party to such litigation or proceedings include:</w:t>
      </w:r>
    </w:p>
    <w:p>
      <w:pPr>
        <w:spacing w:after="0" w:line="172" w:lineRule="exact"/>
        <w:rPr>
          <w:sz w:val="20"/>
          <w:szCs w:val="20"/>
          <w:color w:val="auto"/>
        </w:rPr>
      </w:pPr>
    </w:p>
    <w:p>
      <w:pPr>
        <w:ind w:left="780" w:right="120" w:hanging="307"/>
        <w:spacing w:after="0" w:line="294" w:lineRule="auto"/>
        <w:tabs>
          <w:tab w:leader="none" w:pos="77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collaborators may initiate litigation or other proceedings against third parties seeking to invalidate the patents held by those third parties or to obtain a judgment that our products or processes do not infringe those third parties' patents;</w:t>
      </w:r>
    </w:p>
    <w:p>
      <w:pPr>
        <w:spacing w:after="0" w:line="172" w:lineRule="exact"/>
        <w:rPr>
          <w:rFonts w:ascii="Times New Roman" w:cs="Times New Roman" w:eastAsia="Times New Roman" w:hAnsi="Times New Roman"/>
          <w:sz w:val="17"/>
          <w:szCs w:val="17"/>
          <w:color w:val="auto"/>
        </w:rPr>
      </w:pPr>
    </w:p>
    <w:p>
      <w:pPr>
        <w:ind w:left="780" w:right="60" w:hanging="307"/>
        <w:spacing w:after="0" w:line="274" w:lineRule="auto"/>
        <w:tabs>
          <w:tab w:leader="none" w:pos="77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our competitors file patent applications that claim technology also claimed by us or our licensors, we or our licensors may be required to participate in interference, opposition or other proceedings to determine the priority of invention, which could jeopardize our patent rights and potentially provide a third party with a dominant patent position;</w:t>
      </w:r>
    </w:p>
    <w:p>
      <w:pPr>
        <w:spacing w:after="0" w:line="190" w:lineRule="exact"/>
        <w:rPr>
          <w:rFonts w:ascii="Times New Roman" w:cs="Times New Roman" w:eastAsia="Times New Roman" w:hAnsi="Times New Roman"/>
          <w:sz w:val="17"/>
          <w:szCs w:val="17"/>
          <w:color w:val="auto"/>
        </w:rPr>
      </w:pPr>
    </w:p>
    <w:p>
      <w:pPr>
        <w:ind w:left="780" w:right="760" w:hanging="307"/>
        <w:spacing w:after="0" w:line="294" w:lineRule="auto"/>
        <w:tabs>
          <w:tab w:leader="none" w:pos="77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third parties initiate litigation claiming that our processes or products infringe their patent or other intellectual property rights, we and our collaborators will need to defend against such proceedings; and</w:t>
      </w:r>
    </w:p>
    <w:p>
      <w:pPr>
        <w:spacing w:after="0" w:line="172" w:lineRule="exact"/>
        <w:rPr>
          <w:rFonts w:ascii="Times New Roman" w:cs="Times New Roman" w:eastAsia="Times New Roman" w:hAnsi="Times New Roman"/>
          <w:sz w:val="17"/>
          <w:szCs w:val="17"/>
          <w:color w:val="auto"/>
        </w:rPr>
      </w:pPr>
    </w:p>
    <w:p>
      <w:pPr>
        <w:ind w:left="780" w:right="180" w:hanging="307"/>
        <w:spacing w:after="0" w:line="274" w:lineRule="auto"/>
        <w:tabs>
          <w:tab w:leader="none" w:pos="77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 license to necessary technology is terminated, the licensor may initiate litigation claiming that our processes or products infringe or misappropriate their patent or other intellectual property rights and/or that we breached our obligations under the license agreement, and we and our collaborators would need to defend against such proceedings.</w:t>
      </w:r>
    </w:p>
    <w:p>
      <w:pPr>
        <w:spacing w:after="0" w:line="190" w:lineRule="exact"/>
        <w:rPr>
          <w:sz w:val="20"/>
          <w:szCs w:val="20"/>
          <w:color w:val="auto"/>
        </w:rPr>
      </w:pPr>
    </w:p>
    <w:p>
      <w:pPr>
        <w:ind w:right="60" w:firstLine="625"/>
        <w:spacing w:after="0" w:line="262" w:lineRule="auto"/>
        <w:rPr>
          <w:sz w:val="20"/>
          <w:szCs w:val="20"/>
          <w:color w:val="auto"/>
        </w:rPr>
      </w:pPr>
      <w:r>
        <w:rPr>
          <w:rFonts w:ascii="Times New Roman" w:cs="Times New Roman" w:eastAsia="Times New Roman" w:hAnsi="Times New Roman"/>
          <w:sz w:val="17"/>
          <w:szCs w:val="17"/>
          <w:color w:val="auto"/>
        </w:rPr>
        <w:t>These lawsuits would be costly and could affect our results of operations and divert the attention of our management and scientific personnel. There is a risk that a court would decide that we or our collaborators are infringing the third party’s patents and would order us or our collaborators to stop the activities covered by the patents. In that event, we or our collaborators may not have a viable alternative to the technology protected by the patent and may need to halt work on the affected product candidate or cease commercialization of an approved product. In addition, there is a risk that a court will order us or our collaborators to pay the other party damages. An adverse outcome in any litigation or other proceeding could subject us to significant liabilities to third parties and require us to cease using the technology that is at issue or to license the technology from third parties. We may not be able to obtain any required licenses on commercially acceptable terms or at all. Any of these outcomes could have a material adverse effect on our business.</w:t>
      </w:r>
    </w:p>
    <w:p>
      <w:pPr>
        <w:spacing w:after="0" w:line="199"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The pharmaceutical and biotechnology industries have produced a significant number of patents, and it may not always be clear to industry participants, including us, which patents cover various types of products, methods of use, or processes. The coverage of patents is subject to interpretation by the courts, and the interpretation is not always uniform or predictable. If we are sued for patent infringement, we would need to demonstrate that our products, methods, or processes either do not infringe the patent claims of the relevant patent or that the patent claims are invalid, and we may not be able to do so. Proving invalidity is difficult. For example, in the United States, proving invalidity requires a showing of clear and convincing evidence to overcome the presumption of validity enjoyed by issued patents. Even if we are successful in these proceedings, we may incur substantial costs and divert management’s time and attention in pursuing these proceedings, which could have a material adverse effect on us. If we are unable to avoid infringing the patent rights of others, we may be required to seek a license, defend an infringement action or challenge the validity of the patents in court. Patent litigation is costly and time consuming. We may not have sufficient resources to bring these actions to a successful conclusion. In addition, if we do not obtain a license, develop or obtain non-infringing technology, fail to defend an infringement action successfully or have infringed patents declared invalid, we may incur substantial monetary damages, encounter significant delays in bringing our product candidates to market and be precluded from manufacturing or selling our product candidates.</w:t>
      </w:r>
    </w:p>
    <w:p>
      <w:pPr>
        <w:spacing w:after="0" w:line="206"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The cost of any patent litigation or other proceeding, even if resolved in our favor, could be substantial. Some of our competitors may be able to sustain the cost of such litigation and proceedings more effectively than we can because of their substantially greater resources. Uncertainties resulting from the initiation and continuation of patent litigation or other proceedings could have a material adverse effect on our ability to compete in the marketplace. Patent litigation and other proceedings may also absorb significant management time.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7" w:name="page48"/>
    <w:bookmarkEnd w:id="47"/>
    <w:p>
      <w:pPr>
        <w:ind w:right="7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we are unable to obtain and enforce patent protection for our products and our product candidates and related technology, our business could be materially harmed.</w:t>
      </w:r>
    </w:p>
    <w:p>
      <w:pPr>
        <w:spacing w:after="0" w:line="168" w:lineRule="exact"/>
        <w:rPr>
          <w:sz w:val="20"/>
          <w:szCs w:val="20"/>
          <w:color w:val="auto"/>
        </w:rPr>
      </w:pPr>
    </w:p>
    <w:p>
      <w:pPr>
        <w:ind w:firstLine="174"/>
        <w:spacing w:after="0" w:line="260" w:lineRule="auto"/>
        <w:rPr>
          <w:sz w:val="20"/>
          <w:szCs w:val="20"/>
          <w:color w:val="auto"/>
        </w:rPr>
      </w:pPr>
      <w:r>
        <w:rPr>
          <w:rFonts w:ascii="Times New Roman" w:cs="Times New Roman" w:eastAsia="Times New Roman" w:hAnsi="Times New Roman"/>
          <w:sz w:val="17"/>
          <w:szCs w:val="17"/>
          <w:color w:val="auto"/>
        </w:rPr>
        <w:t>Issued patents may be challenged, narrowed, invalidated or circumvented. In addition, court decisions may introduce uncertainty in the enforceability or scope of patents owned by biotechnology companies. The legal systems of certain countries do not favor the aggressive enforcement of patents, and the laws of foreign countries may not allow us to protect our inventions with patents to the same extent as the laws of the United States. Patent applications in the United States and many foreign jurisdictions are typically not published until 18 months after filing, or in some cases not at all. Publications of discoveries in scientific literature lag behind actual discoveries, thus we cannot be certain that we were the first to make the inventions claimed in our issued patents or pending patent applications, or that we were the first to file for protection of the inventions set forth in our patents or patent applications. As a result, we may not be able to obtain or maintain protection for certain inventions. Therefore, the enforceability and scope of our patents in the United States and in foreign countries cannot be predicted with certainty and, as a result, any patents that we own or license may not provide sufficient protection against competitors. We may not be able to obtain or maintain patent protection from our pending patent applications, from those we may file in the future, or from those we may license from third parties. Moreover, even if we can obtain patent protection, it may be of insufficient scope to achieve our business objectives.</w:t>
      </w:r>
    </w:p>
    <w:p>
      <w:pPr>
        <w:spacing w:after="0" w:line="20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Our strategy depends on our ability to identify and seek patent protection for our discoveries. This process is expensive and time consuming, and we may not be able to file and prosecute all necessary or desirable patent applications at a reasonable cost, in a timely manner, or in all jurisdictions where protection may be commercially advantageous. Despite our efforts to protect our proprietary rights, unauthorized parties may be able to obtain and use information that we regard as proprietary.</w:t>
      </w:r>
    </w:p>
    <w:p>
      <w:pPr>
        <w:spacing w:after="0" w:line="195" w:lineRule="exact"/>
        <w:rPr>
          <w:sz w:val="20"/>
          <w:szCs w:val="20"/>
          <w:color w:val="auto"/>
        </w:rPr>
      </w:pPr>
    </w:p>
    <w:p>
      <w:pPr>
        <w:ind w:right="80" w:firstLine="625"/>
        <w:spacing w:after="0" w:line="262" w:lineRule="auto"/>
        <w:rPr>
          <w:sz w:val="20"/>
          <w:szCs w:val="20"/>
          <w:color w:val="auto"/>
        </w:rPr>
      </w:pPr>
      <w:r>
        <w:rPr>
          <w:rFonts w:ascii="Times New Roman" w:cs="Times New Roman" w:eastAsia="Times New Roman" w:hAnsi="Times New Roman"/>
          <w:sz w:val="17"/>
          <w:szCs w:val="17"/>
          <w:color w:val="auto"/>
        </w:rPr>
        <w:t>The issuance of a patent does not ensure that a court or agency finds or will find the patent valid or enforceable, so even if we obtain patents, they may not be valid or enforceable against third parties. In addition, the issuance of a patent does not give us the right to practice the patented invention. Third parties may have blocking patents that could prevent us from marketing our own patented product and practicing our own patented technology. Third parties may also seek to market biosimilar versions of any approved products. Alternatively, third parties may seek approval to market their own products, which are similar to or otherwise competitive with our products. In these circumstances, we may need to defend and/or assert our patents, including by filing lawsuits alleging patent infringement. In any of these types of proceedings, a court or agency with jurisdiction may find our patents invalid and/or unenforceable. Even if we have valid and enforceable patents, these patents still may not provide protection against competing products or processes sufficient to achieve our business objectives.</w:t>
      </w:r>
    </w:p>
    <w:p>
      <w:pPr>
        <w:spacing w:after="0" w:line="199"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The patent position of pharmaceutical or biotechnology companies, including ours, is generally uncertain and involves complex legal and factual considerations. The standards which the USPTO and its foreign counterparts use to grant patents are not always applied predictably or uniformly and can change. There is also no uniform, worldwide policy regarding the subject matter and scope of claims granted or allowable in pharmaceutical or biotechnology patents. The laws of some foreign countries do not protect proprietary information to the same extent as the laws of the United States, and many companies have encountered significant problems and costs in protecting their proprietary information in these foreign countries. Outside the United States, patent protection must be sought in individual jurisdictions, further adding to the cost and uncertainty of obtaining adequate patent protection outside of the United States. Accordingly, we cannot predict whether additional patents protecting our technology will issue in the United States or in foreign jurisdictions, or whether any patents that do issue will have claims of adequate scope to provide competitive advantage. Moreover, we cannot predict whether third parties will be able to successfully obtain claims or the breadth of such claims. The allowance of broader claims may increase the incidence and cost of patent interference proceedings, opposition proceedings, and/or reexamination proceedings, the risk of infringement litigation, and the vulnerability of the claims to challenge. On the other hand, the allowance of narrower claims does not eliminate the potential for adversarial proceedings and may fail to provide a competitive advantage. Our issued patents may not contain claims sufficiently broad to protect us against third parties with similar technologies or products or provide us with any competitive advantage.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We may become involved in lawsuits to protect or enforce our patents, which could be expensive, time consuming and unsuccessful.</w:t>
      </w:r>
    </w:p>
    <w:p>
      <w:pPr>
        <w:spacing w:after="0" w:line="251"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Even after they have been issued, our patents and any patents which we license may be challenged, narrowed, invalidated or circumvented. If our patents are invalidated or otherwise limited or will expire prior to the commercialization of any approved product candidates, other companies may be better able to develop products that compete with ours, which could adversely affect our competitive business position, business prospects and financial condition.</w:t>
      </w:r>
    </w:p>
    <w:p>
      <w:pPr>
        <w:spacing w:after="0" w:line="190" w:lineRule="exact"/>
        <w:rPr>
          <w:sz w:val="20"/>
          <w:szCs w:val="20"/>
          <w:color w:val="auto"/>
        </w:rPr>
      </w:pPr>
    </w:p>
    <w:p>
      <w:pPr>
        <w:ind w:right="120" w:firstLine="625"/>
        <w:spacing w:after="0" w:line="294" w:lineRule="auto"/>
        <w:rPr>
          <w:sz w:val="20"/>
          <w:szCs w:val="20"/>
          <w:color w:val="auto"/>
        </w:rPr>
      </w:pPr>
      <w:r>
        <w:rPr>
          <w:rFonts w:ascii="Times New Roman" w:cs="Times New Roman" w:eastAsia="Times New Roman" w:hAnsi="Times New Roman"/>
          <w:sz w:val="17"/>
          <w:szCs w:val="17"/>
          <w:color w:val="auto"/>
        </w:rPr>
        <w:t>The following are examples of litigation and other adversarial proceedings or disputes that we could become a party to involving our patents or patents licensed to us: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48" w:name="page49"/>
    <w:bookmarkEnd w:id="48"/>
    <w:p>
      <w:pPr>
        <w:ind w:left="780" w:hanging="307"/>
        <w:spacing w:after="0"/>
        <w:tabs>
          <w:tab w:leader="none" w:pos="7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or our collaborators may initiate litigation or other proceedings against third parties to enforce our patent rights;</w:t>
      </w:r>
    </w:p>
    <w:p>
      <w:pPr>
        <w:spacing w:after="0" w:line="247" w:lineRule="exact"/>
        <w:rPr>
          <w:rFonts w:ascii="Times New Roman" w:cs="Times New Roman" w:eastAsia="Times New Roman" w:hAnsi="Times New Roman"/>
          <w:sz w:val="17"/>
          <w:szCs w:val="17"/>
          <w:color w:val="auto"/>
        </w:rPr>
      </w:pPr>
    </w:p>
    <w:p>
      <w:pPr>
        <w:ind w:left="780" w:right="220" w:hanging="307"/>
        <w:spacing w:after="0" w:line="294" w:lineRule="auto"/>
        <w:tabs>
          <w:tab w:leader="none" w:pos="77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may initiate litigation or other proceedings seeking to invalidate patents owned by or licensed to us or to obtain a declaratory judgment that their product or technology does not infringe our patents or patents licensed to us;</w:t>
      </w:r>
    </w:p>
    <w:p>
      <w:pPr>
        <w:spacing w:after="0" w:line="172" w:lineRule="exact"/>
        <w:rPr>
          <w:rFonts w:ascii="Times New Roman" w:cs="Times New Roman" w:eastAsia="Times New Roman" w:hAnsi="Times New Roman"/>
          <w:sz w:val="17"/>
          <w:szCs w:val="17"/>
          <w:color w:val="auto"/>
        </w:rPr>
      </w:pPr>
    </w:p>
    <w:p>
      <w:pPr>
        <w:ind w:left="780" w:right="100" w:hanging="307"/>
        <w:spacing w:after="0" w:line="294" w:lineRule="auto"/>
        <w:tabs>
          <w:tab w:leader="none" w:pos="77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may initiate opposition, reexamination or inter partes review proceedings challenging the validity or scope of our patent rights, requiring us or our collaborators and/or licensors to participate in such proceedings to defend the validity and scope of our patents;</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 may be a challenge or dispute regarding inventorship or ownership of patents currently identified as being owned by or licensed to us;</w:t>
      </w:r>
    </w:p>
    <w:p>
      <w:pPr>
        <w:spacing w:after="0" w:line="247" w:lineRule="exact"/>
        <w:rPr>
          <w:rFonts w:ascii="Times New Roman" w:cs="Times New Roman" w:eastAsia="Times New Roman" w:hAnsi="Times New Roman"/>
          <w:sz w:val="17"/>
          <w:szCs w:val="17"/>
          <w:color w:val="auto"/>
        </w:rPr>
      </w:pPr>
    </w:p>
    <w:p>
      <w:pPr>
        <w:ind w:left="780" w:right="160" w:hanging="307"/>
        <w:spacing w:after="0" w:line="274" w:lineRule="auto"/>
        <w:tabs>
          <w:tab w:leader="none" w:pos="77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USPTO may initiate an interference between patents or patent applications owned by or licensed to us and those of our competitors, requiring us or our collaborators and/or licensors to participate in an interference proceeding to determine the priority of invention, which could jeopardize our patent rights; or</w:t>
      </w:r>
    </w:p>
    <w:p>
      <w:pPr>
        <w:spacing w:after="0" w:line="190" w:lineRule="exact"/>
        <w:rPr>
          <w:rFonts w:ascii="Times New Roman" w:cs="Times New Roman" w:eastAsia="Times New Roman" w:hAnsi="Times New Roman"/>
          <w:sz w:val="17"/>
          <w:szCs w:val="17"/>
          <w:color w:val="auto"/>
        </w:rPr>
      </w:pPr>
    </w:p>
    <w:p>
      <w:pPr>
        <w:ind w:left="780" w:right="420" w:hanging="307"/>
        <w:spacing w:after="0" w:line="294" w:lineRule="auto"/>
        <w:tabs>
          <w:tab w:leader="none" w:pos="77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third parties may seek approval to market biosimilar versions of our future approved products prior to expiration of relevant patents owned by or licensed to us, requiring us to defend our patents, including by filing lawsuits alleging patent infringement.</w:t>
      </w:r>
    </w:p>
    <w:p>
      <w:pPr>
        <w:spacing w:after="0" w:line="172"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These lawsuits and proceedings would be costly and could affect our results of operations and divert the attention of our managerial and scientific personnel. There is a risk that a court or administrative body would decide that our patents are invalid or not infringed by a third party’s activities, or that the scope of certain issued claims must be further limited. An adverse outcome in a litigation or proceeding involving our own patents could limit our ability to assert our patents against these or other competitors, affect our ability to receive royalties or other licensing consideration from our licensees, and may curtail or preclude our ability to exclude third parties from making, using and selling similar or competitive products. Any of these occurrences could adversely affect our competitive business position, business prospects and financial condition.</w:t>
      </w:r>
    </w:p>
    <w:p>
      <w:pPr>
        <w:spacing w:after="0" w:line="199" w:lineRule="exact"/>
        <w:rPr>
          <w:sz w:val="20"/>
          <w:szCs w:val="20"/>
          <w:color w:val="auto"/>
        </w:rPr>
      </w:pPr>
    </w:p>
    <w:p>
      <w:pPr>
        <w:ind w:right="40" w:firstLine="625"/>
        <w:spacing w:after="0" w:line="294" w:lineRule="auto"/>
        <w:rPr>
          <w:sz w:val="20"/>
          <w:szCs w:val="20"/>
          <w:color w:val="auto"/>
        </w:rPr>
      </w:pPr>
      <w:r>
        <w:rPr>
          <w:rFonts w:ascii="Times New Roman" w:cs="Times New Roman" w:eastAsia="Times New Roman" w:hAnsi="Times New Roman"/>
          <w:sz w:val="17"/>
          <w:szCs w:val="17"/>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72" w:lineRule="exact"/>
        <w:rPr>
          <w:sz w:val="20"/>
          <w:szCs w:val="20"/>
          <w:color w:val="auto"/>
        </w:rPr>
      </w:pPr>
    </w:p>
    <w:p>
      <w:pPr>
        <w:ind w:left="780" w:hanging="307"/>
        <w:spacing w:after="0"/>
        <w:tabs>
          <w:tab w:leader="none" w:pos="7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develop a platform that is similar to, or better than, ours in a way that is not covered by the claims of our patents;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others may be able to make compounds that are similar to our product candidates but that are not covered by the claims of our patents;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not have been the first to make the inventions covered by patents or pending patent applications;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not have been the first to file patent applications for these inventions;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patents that we obtain may not provide us with any competitive advantages or may ultimately be found invalid or unenforceable; or</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not develop additional proprietary technologies that are patentable.</w:t>
      </w:r>
    </w:p>
    <w:p>
      <w:pPr>
        <w:spacing w:after="0" w:line="243" w:lineRule="exact"/>
        <w:rPr>
          <w:sz w:val="20"/>
          <w:szCs w:val="20"/>
          <w:color w:val="auto"/>
        </w:rPr>
      </w:pPr>
    </w:p>
    <w:p>
      <w:pPr>
        <w:ind w:right="4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we fail to comply with our obligations under our intellectual property licenses with third parties, we could lose license rights that are important to our business.</w:t>
      </w:r>
    </w:p>
    <w:p>
      <w:pPr>
        <w:spacing w:after="0" w:line="168" w:lineRule="exact"/>
        <w:rPr>
          <w:sz w:val="20"/>
          <w:szCs w:val="20"/>
          <w:color w:val="auto"/>
        </w:rPr>
      </w:pPr>
    </w:p>
    <w:p>
      <w:pPr>
        <w:ind w:right="120" w:firstLine="625"/>
        <w:spacing w:after="0" w:line="262" w:lineRule="auto"/>
        <w:rPr>
          <w:sz w:val="20"/>
          <w:szCs w:val="20"/>
          <w:color w:val="auto"/>
        </w:rPr>
      </w:pPr>
      <w:r>
        <w:rPr>
          <w:rFonts w:ascii="Times New Roman" w:cs="Times New Roman" w:eastAsia="Times New Roman" w:hAnsi="Times New Roman"/>
          <w:sz w:val="17"/>
          <w:szCs w:val="17"/>
          <w:color w:val="auto"/>
        </w:rPr>
        <w:t>We are currently party to various intellectual property license agreements. These license agreements impose, and we expect that future license agreements may impose, various diligence, milestone payment, royalty, insurance and other obligations on us. For example, we entered into patent and know-how license agreements that grant us the right to use certain technologies related to biological manufacturing to manufacture our clinical product candidates. These licenses typically include an obligation to pay yearly maintenance payments and royalties on sales and may also include upfront and milestone payments. If we fail to comply with our obligations under the licenses, the licensors may have the right to terminate their respective license agreements, in which event we might not be able to market any product that is covered by the agreements. Termination of the license agreements or reduction or elimination of our licensed rights may result in our having to negotiate</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7"/>
          <w:szCs w:val="17"/>
          <w:color w:val="auto"/>
        </w:rPr>
        <w:t>new or reinstated licenses with less favorable terms, which could adversely affect our competitive business position and harm our business.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are unable to protect the confidentiality of our proprietary information, the value of our technology and products could be adversely affected.</w:t>
      </w:r>
    </w:p>
    <w:p>
      <w:pPr>
        <w:spacing w:after="0" w:line="251" w:lineRule="exact"/>
        <w:rPr>
          <w:sz w:val="20"/>
          <w:szCs w:val="20"/>
          <w:color w:val="auto"/>
        </w:rPr>
      </w:pPr>
    </w:p>
    <w:p>
      <w:pPr>
        <w:ind w:right="20" w:firstLine="625"/>
        <w:spacing w:after="0" w:line="259" w:lineRule="auto"/>
        <w:rPr>
          <w:sz w:val="20"/>
          <w:szCs w:val="20"/>
          <w:color w:val="auto"/>
        </w:rPr>
      </w:pPr>
      <w:r>
        <w:rPr>
          <w:rFonts w:ascii="Times New Roman" w:cs="Times New Roman" w:eastAsia="Times New Roman" w:hAnsi="Times New Roman"/>
          <w:sz w:val="17"/>
          <w:szCs w:val="17"/>
          <w:color w:val="auto"/>
        </w:rPr>
        <w:t>In addition to patent protection, we also rely on other proprietary rights, including protection of trade secrets, and other proprietary information. To maintain the confidentiality of trade secrets and proprietary information, we enter into confidentiality agreements with our employees, consultants, collaborators and others upon the commencement of their relationships with us. These agreements require that all confidential information developed by the individual or made known to the individual by us during the course of the individual’s relationship with us be kept confidential and not disclosed to third parties. Our agreements with employees and our personnel policies also provide that any inventions conceived by the individual while rendering services to us shall be our exclusive property. However, we may not obtain these agreements in all circumstances, and individuals with whom we have these agreements may not comply with their terms. Thus, despite such agreement, such inventions may become assigned to third parties. In the event of unauthorized use or disclosure of our trade secrets or proprietary information, these agreements, even if obtained, may not provide meaningful protection, particularly for our trade secrets or other confidential information. To the extent that our employees, consultants or contractors use technology or know-how owned by third parties in their work for us, disputes may arise between us and those third parties as to the rights in related inventions. To the extent that an individual who is not obligated to assign rights in intellectual property to us is rightfully an inventor of intellectual property, we may need to obtain an assignment or a license to that intellectual property from that individual, or a third party or from that individual’s assignee. Such assignment or license may not be available on commercially reasonable terms or at all.</w:t>
      </w:r>
    </w:p>
    <w:p>
      <w:pPr>
        <w:spacing w:after="0" w:line="204"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Adequate remedies may not exist in the event of unauthorized use or disclosure of our proprietary information. The disclosure of our trade secrets would impair our competitive position and may materially harm our business, financial condition and results of operations. Costly and time-consuming litigation could be necessary to enforce and determine the scope of our proprietary rights, and failure to maintain trade secret protection could adversely affect our competitive business position. In addition, others may independently discover or develop our trade secrets and proprietary information, and the existence of our own trade secrets affords no protection against such independent discovery.</w:t>
      </w:r>
    </w:p>
    <w:p>
      <w:pPr>
        <w:spacing w:after="0" w:line="197"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As is common in the biotechnology and pharmaceutical industries, we employ individuals who were previously or concurrently employed at research institutions and/or other biotechnology or pharmaceutical companies, including our competitors or potential competitors. We may be subject to claims that these employees, or we, have inadvertently or otherwise used or disclosed trade secrets or other proprietary information of their former employers, or that patents and applications we have filed to protect inventions of these employees, even those related to one or more of our product candidates, are rightfully owned by their former or concurrent employer. Litigation may be necessary to defend against these claims. Even if we are successful in defending against these claims, litigation could result in substantial costs and be a distraction to management.</w:t>
      </w:r>
    </w:p>
    <w:p>
      <w:pPr>
        <w:spacing w:after="0" w:line="195" w:lineRule="exact"/>
        <w:rPr>
          <w:sz w:val="20"/>
          <w:szCs w:val="20"/>
          <w:color w:val="auto"/>
        </w:rPr>
      </w:pPr>
    </w:p>
    <w:p>
      <w:pPr>
        <w:ind w:right="5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68"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Periodic maintenance fees, renewal fees, annuity fees and various other governmental fees on patents and/or applications will be due to the USPTO and various foreign patent offices at various points over the lifetime of our patents and/or applications. We have systems in place to remind us to pay these fees, and we rely on our outside counsel or our agents to pay these fees when due. Additionally, the USPTO and various foreign patent offices require compliance with a number of procedural, documentary, fee payment and other similar provisions during the patent application process. We employ reputable law firms and other professionals to help us comply, and in many cases, an inadvertent lapse can be cured by payment of a late fee or by other means in accordance with rules applicable to the particular jurisdiction. However, there are situations in which noncompliance can result in abandonment or lapse of the patent or patent application, resulting in partial or complete loss of patent rights in the relevant jurisdiction. If such an event were to occur, it could have a material adverse effect on our business. In addition, we may be responsible for the payment of patent fees for patent rights that we license from other parties. If any licensor of these patents does not itself elect to make these payments, and we fail to do so, we may be liable to the licensor for any costs and consequences of any resulting loss of patent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0" w:name="page51"/>
    <w:bookmarkEnd w:id="50"/>
    <w:p>
      <w:pPr>
        <w:ind w:right="1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If we do not obtain protection under the Hatch-Waxman Amendments and similar foreign legislation for extending the term of patents covering each of our product candidates, our business may be materially harmed.</w:t>
      </w:r>
    </w:p>
    <w:p>
      <w:pPr>
        <w:spacing w:after="0" w:line="168"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Depending upon the timing, duration and conditions of FDA marketing approval of our product candidates, one or more of our U.S. patents may be eligible for limited patent term extension under the Drug Price Competition and Patent Term Restoration Act of 1984, referred to as the Hatch-Waxman Amendments. The Hatch-Waxman Amendments permit a patent term extension of up to five years for a patent covering an approved product as compensation for effective patent term lost during product development and the FDA regulatory review process. However, we may not receive an extension if we fail to apply within applicable deadlines, fail to apply prior to expiration of relevant patents or otherwise fail to satisfy applicable requirements. Moreover, the length of the extension could be less than we request. If we are unable to obtain patent term extension or the term of any such extension is less than we request, the period during which we can enforce our patent rights for that product will be shortened and our competitors may obtain approval to market competing products sooner. As a result, our revenue from applicable products could be reduced, possibly materially.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Legal Compliance Matters</w:t>
      </w:r>
    </w:p>
    <w:p>
      <w:pPr>
        <w:spacing w:after="0" w:line="167" w:lineRule="exact"/>
        <w:rPr>
          <w:sz w:val="20"/>
          <w:szCs w:val="20"/>
          <w:color w:val="auto"/>
        </w:rPr>
      </w:pPr>
    </w:p>
    <w:p>
      <w:pPr>
        <w:ind w:right="16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are subject to the U.S. Foreign Corrupt Practices Act and other anti-corruption laws. If we fail to comply with these laws, we could be subject to civil or criminal penalties, other remedial measures, and legal expenses, which could adversely affect our business, results of operations and financial condition.</w:t>
      </w:r>
    </w:p>
    <w:p>
      <w:pPr>
        <w:spacing w:after="0" w:line="90" w:lineRule="exact"/>
        <w:rPr>
          <w:sz w:val="20"/>
          <w:szCs w:val="20"/>
          <w:color w:val="auto"/>
        </w:rPr>
      </w:pPr>
    </w:p>
    <w:p>
      <w:pPr>
        <w:ind w:firstLine="174"/>
        <w:spacing w:after="0" w:line="261" w:lineRule="auto"/>
        <w:rPr>
          <w:sz w:val="20"/>
          <w:szCs w:val="20"/>
          <w:color w:val="auto"/>
        </w:rPr>
      </w:pPr>
      <w:r>
        <w:rPr>
          <w:rFonts w:ascii="Times New Roman" w:cs="Times New Roman" w:eastAsia="Times New Roman" w:hAnsi="Times New Roman"/>
          <w:sz w:val="17"/>
          <w:szCs w:val="17"/>
          <w:color w:val="auto"/>
        </w:rPr>
        <w:t>Our operations are subject to anti-corruption laws, including the U.S. Foreign Corrupt Practices Act (FCPA), and other anti-corruption laws that apply in countries where we do business. The FCPA and these other laws generally prohibit us and our employees and intermediaries from bribing, being bribed or making other prohibited payments to government officials or other persons to obtain or retain business or gain some other business advantage. We and our commercial partners operate in a number of jurisdictions that pose a risk of potential FCPA violations, and we participate in collaborations and relationships with third parties whose actions could potentially subject us to liability under the FCPA or other anti-corruption laws. There is no assurance that we will be completely effective in ensuring our compliance with all applicable anti-corruption laws. If we violate provisions of the FCPA or other anti-corruption laws or are subject to an investigation or audit pursuant to these laws, we may be subject to criminal and civil penalties, disgorgement and other sanctions and remedial measures and legal expenses, which could have an adverse impact on our business, financial condition and results of operations.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If we do not comply with laws regulating the protection of the environment and health and human safety, our business could be adversely affected.</w:t>
      </w:r>
    </w:p>
    <w:p>
      <w:pPr>
        <w:spacing w:after="0" w:line="251" w:lineRule="exact"/>
        <w:rPr>
          <w:sz w:val="20"/>
          <w:szCs w:val="20"/>
          <w:color w:val="auto"/>
        </w:rPr>
      </w:pPr>
    </w:p>
    <w:p>
      <w:pPr>
        <w:ind w:right="60" w:firstLine="625"/>
        <w:spacing w:after="0" w:line="260" w:lineRule="auto"/>
        <w:rPr>
          <w:sz w:val="20"/>
          <w:szCs w:val="20"/>
          <w:color w:val="auto"/>
        </w:rPr>
      </w:pPr>
      <w:r>
        <w:rPr>
          <w:rFonts w:ascii="Times New Roman" w:cs="Times New Roman" w:eastAsia="Times New Roman" w:hAnsi="Times New Roman"/>
          <w:sz w:val="17"/>
          <w:szCs w:val="17"/>
          <w:color w:val="auto"/>
        </w:rPr>
        <w:t>Our research and development involves, and may in the future involve, the use of potentially hazardous materials and chemicals. Our operations may produce hazardous waste products. Although we believe that our safety procedures for handling and disposing of these materials comply with the standards mandated by local, state and federal laws and regulations, the risk of accidental contamination or injury from these materials cannot be eliminated. If an accident occurs, we could be held liable for resulting damages, which could be substantial. We are also subject to numerous environmental, health and workplace safety laws and regulations and fire and building codes, including those governing laboratory procedures, exposure to blood-borne pathogens, use and storage of flammable agents and the handling of biohazardous materials. Although we maintain workers’ compensation insurance as prescribed by the States of Maryland and California to cover us for costs and expenses we may incur due to injuries to our employees resulting from the use of these materials, this insurance may not provide adequate coverage against potential liabilities. We do not maintain insurance for environmental liability or toxic tort claims that may be asserted against us. Additional federal, state and local laws and regulations affecting our operations may be adopted in the future. We may incur substantial costs to comply with, and substantial fines or penalties if we violate, any of these laws or regulations.</w:t>
      </w:r>
    </w:p>
    <w:p>
      <w:pPr>
        <w:spacing w:after="0" w:line="197" w:lineRule="exact"/>
        <w:rPr>
          <w:sz w:val="20"/>
          <w:szCs w:val="20"/>
          <w:color w:val="auto"/>
        </w:rPr>
      </w:pPr>
    </w:p>
    <w:p>
      <w:pPr>
        <w:ind w:right="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and our collaborators are subject to various healthcare laws, and our failure, or the failure of our collaborators, to comply with those laws could result in significant penalties and adversely affect our business, operations and financial condition.</w:t>
      </w:r>
    </w:p>
    <w:p>
      <w:pPr>
        <w:spacing w:after="0" w:line="168"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In the United States, our operations, and those of our collaborators, are subject to regulation by various local, state, federal authorities in addition to the FDA, including but not limited to, CMS, other divisions of HHS (such as the Office of Inspector General, Office for Civil Rights and the Health Resources and Service Administration), the U.S. Department of Justice (DOJ) and individual U.S. Attorney offices within the DOJ, and state and local governments. We and our collaborators are or may be subject to broadly applicable “fraud and abuse” laws, such as false claims, anti-kickback laws, transparency laws, and privacy and security laws. Federal false claims laws, including the federal civil False Claims Act, prohibit, among other things, any person or entity from knowingly presenting, or causing to be presented, a false claim for payment to the federal government or knowingly making, or causing to be made, a false statement to get a claim paid.</w:t>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51" w:name="page52"/>
    <w:bookmarkEnd w:id="51"/>
    <w:p>
      <w:pPr>
        <w:ind w:firstLine="625"/>
        <w:spacing w:after="0" w:line="260" w:lineRule="auto"/>
        <w:rPr>
          <w:sz w:val="20"/>
          <w:szCs w:val="20"/>
          <w:color w:val="auto"/>
        </w:rPr>
      </w:pPr>
      <w:r>
        <w:rPr>
          <w:rFonts w:ascii="Times New Roman" w:cs="Times New Roman" w:eastAsia="Times New Roman" w:hAnsi="Times New Roman"/>
          <w:sz w:val="17"/>
          <w:szCs w:val="17"/>
          <w:color w:val="auto"/>
        </w:rPr>
        <w:t>The federal healthcare program anti-kickback statute prohibits, among other things, knowingly and willfully offering, paying, soliciting or receiving remuneration to induce, or in return for, purchasing, leasing, ordering or arranging for the purchase, lease or order of any healthcare item or service reimbursable under Medicare, Medicaid or other federally financed healthcare programs. This statute has been interpreted to apply to arrangements between pharmaceutical manufacturers on the one hand and prescribers, purchasers and formulary managers on the other. Although there are several statutory exemptions and regulatory safe harbors protecting certain common activities from prosecution, the exemptions and safe harbors are drawn narrowly, and practices that involve remuneration intended to induce prescribing, purchasing or recommending may be subject to scrutiny if they do not qualify for an exemption or safe harbor. Failure to meet all of the requirements of a particular applicable statutory exception or regulatory safe harbor does not make the conduct per se illegal under the federal anti-kickback statute. Instead, the legality of the arrangement will be evaluated on a case-by-case basis based on a cumulative review of all of its facts and circumstances. Our practices, or those of our collaborators, may not in all cases meet all of the criteria for protection under a statutory exception or regulatory safe harbor.</w:t>
      </w:r>
    </w:p>
    <w:p>
      <w:pPr>
        <w:spacing w:after="0" w:line="200" w:lineRule="exact"/>
        <w:rPr>
          <w:sz w:val="20"/>
          <w:szCs w:val="20"/>
          <w:color w:val="auto"/>
        </w:rPr>
      </w:pPr>
    </w:p>
    <w:p>
      <w:pPr>
        <w:spacing w:after="0" w:line="212"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Additionally, the intent standard under the federal anti-kickback statute and the criminal healthcare fraud statutes (discussed below) was amended by the ACA to a stricter standard such that a person or entity no longer needs to have actual knowledge of the statute or specific intent to violate it in order to have committed a violation. In addition, the ACA codified case law that a claim including items or services resulting from a violation of the federal anti-kickback statute constitutes a false or fraudulent claim for purposes of the federal civil false claims act.</w:t>
      </w:r>
    </w:p>
    <w:p>
      <w:pPr>
        <w:spacing w:after="0" w:line="195" w:lineRule="exact"/>
        <w:rPr>
          <w:sz w:val="20"/>
          <w:szCs w:val="20"/>
          <w:color w:val="auto"/>
        </w:rPr>
      </w:pPr>
    </w:p>
    <w:p>
      <w:pPr>
        <w:ind w:right="100" w:firstLine="625"/>
        <w:spacing w:after="0" w:line="262" w:lineRule="auto"/>
        <w:rPr>
          <w:sz w:val="20"/>
          <w:szCs w:val="20"/>
          <w:color w:val="auto"/>
        </w:rPr>
      </w:pPr>
      <w:r>
        <w:rPr>
          <w:rFonts w:ascii="Times New Roman" w:cs="Times New Roman" w:eastAsia="Times New Roman" w:hAnsi="Times New Roman"/>
          <w:sz w:val="17"/>
          <w:szCs w:val="17"/>
          <w:color w:val="auto"/>
        </w:rPr>
        <w:t>The federal Health Insurance Portability and Accountability Act of 1996 (HIPAA) which prohibits, among other things, knowingly and willfully executing, or attempting to execute, a scheme or artifice to defraud any healthcare benefit program or obtain, by means of false or fraudulent pretenses, representations, or promises, any of the money or property owned by, or under the custody or control of, any healthcare benefit program, regardless of the payor (e.g., public or private), willfully obstructing a criminal investigation of a healthcare offense, and knowingly and willfully falsifying, concealing or covering up by any trick or device a material fact or making any materially false, fictitious or fraudulent statements in connection with the delivery of, or payment for, healthcare benefits, items or services relating to healthcare matters. Similar to the federal anti-kickback statute, a person or entity does not need to have actual knowledge of the statute or specific intent to violate it in order to have committed a violation.</w:t>
      </w:r>
    </w:p>
    <w:p>
      <w:pPr>
        <w:spacing w:after="0" w:line="199"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In addition, under the federal Physician Payment Sunshine Act provisions of the ACA, covered manufacturers of drugs, devices, biological and medical supplies for which payment is available under a federal health care program (with certain exceptions) are subject to annual federal reporting and disclosure requirements with regard to payments or other transfers of value made to physicians defined to include doctors, dentists, optometrists, podiatrists and chiropractors, other healthcare professionals (such as physician assistants and nurse practitioners), and teaching hospitals as well as information regarding certain ownership and investment interests held by physicians and their immediate family members.</w:t>
      </w:r>
    </w:p>
    <w:p>
      <w:pPr>
        <w:spacing w:after="0" w:line="197" w:lineRule="exact"/>
        <w:rPr>
          <w:sz w:val="20"/>
          <w:szCs w:val="20"/>
          <w:color w:val="auto"/>
        </w:rPr>
      </w:pPr>
    </w:p>
    <w:p>
      <w:pPr>
        <w:ind w:right="160" w:firstLine="625"/>
        <w:spacing w:after="0" w:line="274" w:lineRule="auto"/>
        <w:rPr>
          <w:sz w:val="20"/>
          <w:szCs w:val="20"/>
          <w:color w:val="auto"/>
        </w:rPr>
      </w:pPr>
      <w:r>
        <w:rPr>
          <w:rFonts w:ascii="Times New Roman" w:cs="Times New Roman" w:eastAsia="Times New Roman" w:hAnsi="Times New Roman"/>
          <w:sz w:val="17"/>
          <w:szCs w:val="17"/>
          <w:color w:val="auto"/>
        </w:rPr>
        <w:t>Most states also have statutes or regulations similar to the federal anti-kickback law and federal false claims laws, which may apply to items such as pharmaceutical products and services reimbursed by private insurers. Some state laws also prohibit certain gifts to healthcare providers, require pharmaceutical companies to report payments to healthcare professionals, and/or require companies to adopt compliance programs or codes of conduct.</w:t>
      </w:r>
    </w:p>
    <w:p>
      <w:pPr>
        <w:spacing w:after="0" w:line="190" w:lineRule="exact"/>
        <w:rPr>
          <w:sz w:val="20"/>
          <w:szCs w:val="20"/>
          <w:color w:val="auto"/>
        </w:rPr>
      </w:pPr>
    </w:p>
    <w:p>
      <w:pPr>
        <w:ind w:right="80" w:firstLine="625"/>
        <w:spacing w:after="0" w:line="265" w:lineRule="auto"/>
        <w:rPr>
          <w:sz w:val="20"/>
          <w:szCs w:val="20"/>
          <w:color w:val="auto"/>
        </w:rPr>
      </w:pPr>
      <w:r>
        <w:rPr>
          <w:rFonts w:ascii="Times New Roman" w:cs="Times New Roman" w:eastAsia="Times New Roman" w:hAnsi="Times New Roman"/>
          <w:sz w:val="17"/>
          <w:szCs w:val="17"/>
          <w:color w:val="auto"/>
        </w:rPr>
        <w:t>HIPAA, as amended by the Health Information Technology for Economic and Clinical Health Act of 2019, or HITECH, and their respective implementing regulations, impose obligations on “covered entities,” including certain healthcare providers, health plans, and healthcare clearinghouses, as well as their respective “business associates” that create, receive, maintain or transmit individually identifiable health information for or on behalf of a covered entity and their subcontractors that use, disclose, access, or otherwise process individually identifiable health information, with respect to safeguarding the privacy, security and transmission of individually identifiable health information.</w:t>
      </w:r>
    </w:p>
    <w:p>
      <w:pPr>
        <w:spacing w:after="0" w:line="197" w:lineRule="exact"/>
        <w:rPr>
          <w:sz w:val="20"/>
          <w:szCs w:val="20"/>
          <w:color w:val="auto"/>
        </w:rPr>
      </w:pPr>
    </w:p>
    <w:p>
      <w:pPr>
        <w:ind w:right="20" w:firstLine="625"/>
        <w:spacing w:after="0" w:line="261" w:lineRule="auto"/>
        <w:rPr>
          <w:sz w:val="20"/>
          <w:szCs w:val="20"/>
          <w:color w:val="auto"/>
        </w:rPr>
      </w:pPr>
      <w:r>
        <w:rPr>
          <w:rFonts w:ascii="Times New Roman" w:cs="Times New Roman" w:eastAsia="Times New Roman" w:hAnsi="Times New Roman"/>
          <w:sz w:val="17"/>
          <w:szCs w:val="17"/>
          <w:color w:val="auto"/>
        </w:rPr>
        <w:t>Further, in order to distribute products commercially in the United States, we or our collaborators must also comply with state laws that require the registration of manufacturers and wholesale distributors of pharmaceutical products in a state, including, in certain states, manufacturers, and distributors who ship products into the state even if such manufacturers or distributors have no place of business within the state. Some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Several states have enacted legislation requiring pharmaceutical companies to establish marketing compliance programs, file periodic reports with the state, make periodic public disclosures on sales, marketing, pricing, track, and report gifts, compensation and other remuneration made to physicians and other healthcare providers, clinical trials and other activities, and/or register their sales</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52" w:name="page53"/>
    <w:bookmarkEnd w:id="52"/>
    <w:p>
      <w:pPr>
        <w:ind w:right="40"/>
        <w:spacing w:after="0" w:line="294" w:lineRule="auto"/>
        <w:rPr>
          <w:sz w:val="20"/>
          <w:szCs w:val="20"/>
          <w:color w:val="auto"/>
        </w:rPr>
      </w:pPr>
      <w:r>
        <w:rPr>
          <w:rFonts w:ascii="Times New Roman" w:cs="Times New Roman" w:eastAsia="Times New Roman" w:hAnsi="Times New Roman"/>
          <w:sz w:val="17"/>
          <w:szCs w:val="17"/>
          <w:color w:val="auto"/>
        </w:rPr>
        <w:t>representatives, as well as to prohibit pharmacies and other healthcare entities from providing certain physician prescribing data to pharmaceutical companies for use in sales and marketing, and to prohibit certain other sales and marketing practices.</w:t>
      </w:r>
    </w:p>
    <w:p>
      <w:pPr>
        <w:spacing w:after="0" w:line="172"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If our operations, or those of our collaborators marketing, distributing or commercializing any of our products on our behalf, are found to be in violation of any of the federal and state healthcare laws described above or any other governmental regulations that apply to us, we may be subject to penalties, including without limitation, significant civil, criminal and/or administrative penalties, damages, fines, disgorgement, exclusion from participation in government programs, such as Medicare and Medicaid, injunctions, private “qui tam” actions brought by individual whistleblowers in the name of the government, or refusal to allow us to enter into government contracts, contractual damages, reputational harm, administrative burdens, diminished profits and future earnings, and the curtailment or restructuring of our operations, any of which could adversely affect our ability to operate our business and our results of operations.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In addition, our operations and those of our collaborators may be subject to analogous foreign health care laws in the jurisdictions in which we operate.</w:t>
      </w:r>
    </w:p>
    <w:p>
      <w:pPr>
        <w:spacing w:after="0" w:line="243" w:lineRule="exact"/>
        <w:rPr>
          <w:sz w:val="20"/>
          <w:szCs w:val="20"/>
          <w:color w:val="auto"/>
        </w:rPr>
      </w:pPr>
    </w:p>
    <w:p>
      <w:pPr>
        <w:ind w:right="20"/>
        <w:spacing w:after="0" w:line="270" w:lineRule="auto"/>
        <w:rPr>
          <w:sz w:val="20"/>
          <w:szCs w:val="20"/>
          <w:color w:val="auto"/>
        </w:rPr>
      </w:pPr>
      <w:r>
        <w:rPr>
          <w:rFonts w:ascii="Times New Roman" w:cs="Times New Roman" w:eastAsia="Times New Roman" w:hAnsi="Times New Roman"/>
          <w:sz w:val="17"/>
          <w:szCs w:val="17"/>
          <w:b w:val="1"/>
          <w:bCs w:val="1"/>
          <w:i w:val="1"/>
          <w:iCs w:val="1"/>
          <w:color w:val="auto"/>
        </w:rPr>
        <w:t>We and the third parties with whom we work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disruptions of our business operations; reputational harm; loss of revenue or profits; loss of customers; and other adverse business consequences.</w:t>
      </w:r>
    </w:p>
    <w:p>
      <w:pPr>
        <w:spacing w:after="0" w:line="192" w:lineRule="exact"/>
        <w:rPr>
          <w:sz w:val="20"/>
          <w:szCs w:val="20"/>
          <w:color w:val="auto"/>
        </w:rPr>
      </w:pPr>
    </w:p>
    <w:p>
      <w:pPr>
        <w:ind w:right="100" w:firstLine="625"/>
        <w:spacing w:after="0" w:line="263" w:lineRule="auto"/>
        <w:rPr>
          <w:sz w:val="20"/>
          <w:szCs w:val="20"/>
          <w:color w:val="auto"/>
        </w:rPr>
      </w:pPr>
      <w:r>
        <w:rPr>
          <w:rFonts w:ascii="Times New Roman" w:cs="Times New Roman" w:eastAsia="Times New Roman" w:hAnsi="Times New Roman"/>
          <w:sz w:val="17"/>
          <w:szCs w:val="17"/>
          <w:color w:val="auto"/>
        </w:rPr>
        <w:t>In the ordinary course of business, we and the third parties with whom we work process personal data and other sensitive information, including proprietary and confidential business data, trade secrets, intellectual property, data we collect about trial participants in connection with clinical trials, sensitive third-party data, business plans, transactions, and financial information, which we collectively refer to as “sensitive data.”. Our data processing activities subject us to numerous data privacy and security obligations, such as various laws, regulations, guidance, industry standards, external and internal privacy and security policies, contractual requirements, and other obligations relating to data privacy and security. Data privacy and security have become significant issues in the United States, Europe, and in many other jurisdictions where we or our partners may in the future conduct our operations.</w:t>
      </w:r>
    </w:p>
    <w:p>
      <w:pPr>
        <w:spacing w:after="0" w:line="199" w:lineRule="exact"/>
        <w:rPr>
          <w:sz w:val="20"/>
          <w:szCs w:val="20"/>
          <w:color w:val="auto"/>
        </w:rPr>
      </w:pPr>
    </w:p>
    <w:p>
      <w:pPr>
        <w:ind w:firstLine="174"/>
        <w:spacing w:after="0" w:line="260" w:lineRule="auto"/>
        <w:rPr>
          <w:sz w:val="20"/>
          <w:szCs w:val="20"/>
          <w:color w:val="auto"/>
        </w:rPr>
      </w:pPr>
      <w:r>
        <w:rPr>
          <w:rFonts w:ascii="Times New Roman" w:cs="Times New Roman" w:eastAsia="Times New Roman" w:hAnsi="Times New Roman"/>
          <w:sz w:val="17"/>
          <w:szCs w:val="17"/>
          <w:color w:val="auto"/>
        </w:rPr>
        <w:t>In the United States, federal, state, and local governments have enacted numerous data privacy and security laws and regulations, including data breach notification laws, personal data privacy laws, consumer protection laws (e.g., Section 5 of the Federal Trade Commission Act), and other similar laws (e.g., wiretapping laws). Furthermore, numerous U.S. states have enacted comprehensive privacy laws that impose certain obligations on covered businesses, including providing specific disclosures in privacy notices and affording residents with certain rights concerning their personal data. For example, the California Consumer Privacy Act of 2018 (the “CCPA”) applies to personal data of consumers, business representatives, and employees who are California residents, and requires businesses to provide specific disclosures in privacy notices and honor requests of such individuals to exercise certain privacy rights. The CCPA provides for fines for violations and allows private litigants affected by certain data breaches to recover significant statutory damages. Although the CCPA exempts some data processed in the context of clinical trials, the CCPA increases compliance costs and potential liability with respect to other personal data we maintain about California residents. Similar laws are being considered in several other states, as well as at the federal and local levels, and we expect more states to pass similar laws in the future.</w:t>
      </w:r>
    </w:p>
    <w:p>
      <w:pPr>
        <w:spacing w:after="0" w:line="201" w:lineRule="exact"/>
        <w:rPr>
          <w:sz w:val="20"/>
          <w:szCs w:val="20"/>
          <w:color w:val="auto"/>
        </w:rPr>
      </w:pPr>
    </w:p>
    <w:p>
      <w:pPr>
        <w:ind w:right="260" w:firstLine="625"/>
        <w:spacing w:after="0" w:line="263" w:lineRule="auto"/>
        <w:rPr>
          <w:sz w:val="20"/>
          <w:szCs w:val="20"/>
          <w:color w:val="auto"/>
        </w:rPr>
      </w:pPr>
      <w:r>
        <w:rPr>
          <w:rFonts w:ascii="Times New Roman" w:cs="Times New Roman" w:eastAsia="Times New Roman" w:hAnsi="Times New Roman"/>
          <w:sz w:val="17"/>
          <w:szCs w:val="17"/>
          <w:color w:val="auto"/>
        </w:rPr>
        <w:t>Outside the United States, an increasing number of laws, regulations, and industry standards govern data privacy and security. For example, the European Union’s General Data Protection Regulation (EU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processing of personal data brought by classes of data subjects or consumer protection organizations authorized at law to represent their interests. In Canada, the Personal Information Protection and Electronic Documents Act (PIPEDA) and various related provincial laws, may apply to our operations. As another example, Australia’s Privacy Act of 1998 may apply to our operations.</w:t>
      </w:r>
    </w:p>
    <w:p>
      <w:pPr>
        <w:spacing w:after="0" w:line="199" w:lineRule="exact"/>
        <w:rPr>
          <w:sz w:val="20"/>
          <w:szCs w:val="20"/>
          <w:color w:val="auto"/>
        </w:rPr>
      </w:pPr>
    </w:p>
    <w:p>
      <w:pPr>
        <w:ind w:right="160" w:firstLine="625"/>
        <w:spacing w:after="0" w:line="294" w:lineRule="auto"/>
        <w:rPr>
          <w:sz w:val="20"/>
          <w:szCs w:val="20"/>
          <w:color w:val="auto"/>
        </w:rPr>
      </w:pPr>
      <w:r>
        <w:rPr>
          <w:rFonts w:ascii="Times New Roman" w:cs="Times New Roman" w:eastAsia="Times New Roman" w:hAnsi="Times New Roman"/>
          <w:sz w:val="17"/>
          <w:szCs w:val="17"/>
          <w:color w:val="auto"/>
        </w:rPr>
        <w:t>Our compliance with these legal requirements and obligations, together with any policies or practices that we have or may implement to further secure and protect sensitive data, could limit our ability to utilize data that may be valuable to our business.</w:t>
      </w:r>
    </w:p>
    <w:p>
      <w:pPr>
        <w:spacing w:after="0" w:line="172" w:lineRule="exact"/>
        <w:rPr>
          <w:sz w:val="20"/>
          <w:szCs w:val="20"/>
          <w:color w:val="auto"/>
        </w:rPr>
      </w:pPr>
    </w:p>
    <w:p>
      <w:pPr>
        <w:ind w:right="80" w:firstLine="625"/>
        <w:spacing w:after="0" w:line="294" w:lineRule="auto"/>
        <w:rPr>
          <w:sz w:val="20"/>
          <w:szCs w:val="20"/>
          <w:color w:val="auto"/>
        </w:rPr>
      </w:pPr>
      <w:r>
        <w:rPr>
          <w:rFonts w:ascii="Times New Roman" w:cs="Times New Roman" w:eastAsia="Times New Roman" w:hAnsi="Times New Roman"/>
          <w:sz w:val="17"/>
          <w:szCs w:val="17"/>
          <w:color w:val="auto"/>
        </w:rPr>
        <w:t>Our employees and personnel may integrate generative AI technologies to perform their work, and the disclosure and use of personal data in generative AI technologies is subject to various privacy laws and other privacy obligations.</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3" w:name="page54"/>
    <w:bookmarkEnd w:id="53"/>
    <w:p>
      <w:pPr>
        <w:ind w:right="40"/>
        <w:spacing w:after="0" w:line="294" w:lineRule="auto"/>
        <w:rPr>
          <w:sz w:val="20"/>
          <w:szCs w:val="20"/>
          <w:color w:val="auto"/>
        </w:rPr>
      </w:pPr>
      <w:r>
        <w:rPr>
          <w:rFonts w:ascii="Times New Roman" w:cs="Times New Roman" w:eastAsia="Times New Roman" w:hAnsi="Times New Roman"/>
          <w:sz w:val="17"/>
          <w:szCs w:val="17"/>
          <w:color w:val="auto"/>
        </w:rPr>
        <w:t>Governments have passed and are likely to pass additional laws regulating generative AI. Any use of this technology could result in additional compliance costs, regulatory investigations and actions, and lawsuits.</w:t>
      </w:r>
    </w:p>
    <w:p>
      <w:pPr>
        <w:spacing w:after="0" w:line="172" w:lineRule="exact"/>
        <w:rPr>
          <w:sz w:val="20"/>
          <w:szCs w:val="20"/>
          <w:color w:val="auto"/>
        </w:rPr>
      </w:pPr>
    </w:p>
    <w:p>
      <w:pPr>
        <w:ind w:right="100" w:firstLine="625"/>
        <w:spacing w:after="0" w:line="265" w:lineRule="auto"/>
        <w:rPr>
          <w:sz w:val="20"/>
          <w:szCs w:val="20"/>
          <w:color w:val="auto"/>
        </w:rPr>
      </w:pPr>
      <w:r>
        <w:rPr>
          <w:rFonts w:ascii="Times New Roman" w:cs="Times New Roman" w:eastAsia="Times New Roman" w:hAnsi="Times New Roman"/>
          <w:sz w:val="17"/>
          <w:szCs w:val="17"/>
          <w:color w:val="auto"/>
        </w:rPr>
        <w:t>Obligations related to data privacy and security (and consumers’ data privacy expectations) are quickly changing, becoming increasingly stringent, and creating uncertainty. Additionally, these obligations may be subject to differing applications and interpretations, which may be inconsistent or conflict among jurisdictions. Failure to comply with these current and future laws, policies, industry standards or legal obligations or any security incident resulting in the unauthorized access to, or acquisition, release or transfer of personal information may result in governmental enforcement actions, litigation, fines and penalties or adverse publicity and could cause our customers to lose trust in us, which could have a material adverse effect on our business and results of operations.</w:t>
      </w:r>
    </w:p>
    <w:p>
      <w:pPr>
        <w:spacing w:after="0" w:line="197"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operations. If we or the third parties with whom we work fail, or are perceived to have failed, to address or comply with applicable data privacy and security obligations, we could face significant consequences, including but not limited to: government enforcement actions (e.g., investigations, fines, penalties, audits, inspections, and similar); litigation (including class-action claims) and mass arbitration demands; additional reporting requirements and/or oversight; bans on processing personal data; orders to destroy or not use personal data; and imprisonment of company officials.</w:t>
      </w:r>
    </w:p>
    <w:p>
      <w:pPr>
        <w:spacing w:after="0" w:line="199" w:lineRule="exact"/>
        <w:rPr>
          <w:sz w:val="20"/>
          <w:szCs w:val="20"/>
          <w:color w:val="auto"/>
        </w:rPr>
      </w:pPr>
    </w:p>
    <w:p>
      <w:pPr>
        <w:ind w:right="160" w:firstLine="625"/>
        <w:spacing w:after="0" w:line="263" w:lineRule="auto"/>
        <w:rPr>
          <w:sz w:val="20"/>
          <w:szCs w:val="20"/>
          <w:color w:val="auto"/>
        </w:rPr>
      </w:pPr>
      <w:r>
        <w:rPr>
          <w:rFonts w:ascii="Times New Roman" w:cs="Times New Roman" w:eastAsia="Times New Roman" w:hAnsi="Times New Roman"/>
          <w:sz w:val="17"/>
          <w:szCs w:val="17"/>
          <w:color w:val="auto"/>
        </w:rPr>
        <w:t>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significant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pacing w:after="0" w:line="195" w:lineRule="exact"/>
        <w:rPr>
          <w:sz w:val="20"/>
          <w:szCs w:val="20"/>
          <w:color w:val="auto"/>
        </w:rPr>
      </w:pPr>
    </w:p>
    <w:p>
      <w:pPr>
        <w:ind w:right="28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Our employees may engage in misconduct or other improper activities, including noncompliance with regulatory standards and requirements and insider trading.</w:t>
      </w:r>
    </w:p>
    <w:p>
      <w:pPr>
        <w:spacing w:after="0" w:line="168" w:lineRule="exact"/>
        <w:rPr>
          <w:sz w:val="20"/>
          <w:szCs w:val="20"/>
          <w:color w:val="auto"/>
        </w:rPr>
      </w:pPr>
    </w:p>
    <w:p>
      <w:pPr>
        <w:ind w:right="20" w:firstLine="170"/>
        <w:spacing w:after="0" w:line="260" w:lineRule="auto"/>
        <w:rPr>
          <w:sz w:val="20"/>
          <w:szCs w:val="20"/>
          <w:color w:val="auto"/>
        </w:rPr>
      </w:pPr>
      <w:r>
        <w:rPr>
          <w:rFonts w:ascii="Times New Roman" w:cs="Times New Roman" w:eastAsia="Times New Roman" w:hAnsi="Times New Roman"/>
          <w:sz w:val="17"/>
          <w:szCs w:val="17"/>
          <w:color w:val="auto"/>
        </w:rPr>
        <w:t>We are exposed to the risk of employee fraud or other misconduct. Misconduct by employees could include intentional failures to comply with FDA regulations, to provide accurate information to the FDA or other agencies, to comply with federal and state health care fraud and abuse laws and regulations, to report financial information or data accurately or to disclose unauthorized activities to us. In particular, sales, marketing and business arrangements in the health care industry are subject to extensive laws and regulations intended to prevent fraud, misconduct, kickbacks, self-dealing and other abusive practices. Employee misconduct could also involve the improper use of information obtained in the course of clinical trials, which could result in regulatory sanctions and serious harm to our reputation. We have adopted a code of conduct, but it is not always possible to identify and deter employee misconduct,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Employee Matters and Human Capital Management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Our future success depends on our ability to attract or retain key executives and to attract, retain and motivate qualified personnel.</w:t>
      </w:r>
    </w:p>
    <w:p>
      <w:pPr>
        <w:spacing w:after="0" w:line="173"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We are highly dependent on the research and development, clinical and business development expertise of certain of our executive officers and other key employees. Although we have entered into employment agreements with our executive officers, each of them may terminate their employment with us at any time. The loss of the services of our executive officers or other key employees could impede the achievement of our research, development, manufacturing and commercialization objectives and seriously harm our ability to successfully implement our business strategy.</w:t>
      </w:r>
    </w:p>
    <w:p>
      <w:pPr>
        <w:spacing w:after="0" w:line="195" w:lineRule="exact"/>
        <w:rPr>
          <w:sz w:val="20"/>
          <w:szCs w:val="20"/>
          <w:color w:val="auto"/>
        </w:rPr>
      </w:pPr>
    </w:p>
    <w:p>
      <w:pPr>
        <w:ind w:right="220" w:firstLine="625"/>
        <w:spacing w:after="0" w:line="274" w:lineRule="auto"/>
        <w:rPr>
          <w:sz w:val="20"/>
          <w:szCs w:val="20"/>
          <w:color w:val="auto"/>
        </w:rPr>
      </w:pPr>
      <w:r>
        <w:rPr>
          <w:rFonts w:ascii="Times New Roman" w:cs="Times New Roman" w:eastAsia="Times New Roman" w:hAnsi="Times New Roman"/>
          <w:sz w:val="17"/>
          <w:szCs w:val="17"/>
          <w:color w:val="auto"/>
        </w:rPr>
        <w:t>In October 2024, we announced the separation of our President and Chief Executive Officer, Dr. Scott Koenig and the appointment of a special executive search committee of the Board to identify a new Chief Executive Officer for our company. Although we intend to navigate this transition effectively and the identification of a new Chief Executive Officer is intended to</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54" w:name="page55"/>
    <w:bookmarkEnd w:id="54"/>
    <w:p>
      <w:pPr>
        <w:ind w:right="140"/>
        <w:spacing w:after="0" w:line="274" w:lineRule="auto"/>
        <w:rPr>
          <w:sz w:val="20"/>
          <w:szCs w:val="20"/>
          <w:color w:val="auto"/>
        </w:rPr>
      </w:pPr>
      <w:r>
        <w:rPr>
          <w:rFonts w:ascii="Times New Roman" w:cs="Times New Roman" w:eastAsia="Times New Roman" w:hAnsi="Times New Roman"/>
          <w:sz w:val="17"/>
          <w:szCs w:val="17"/>
          <w:color w:val="auto"/>
        </w:rPr>
        <w:t>be in the best interest of our company and our stockholders, as we navigate Dr. Koenig’s separation and the hiring of a new Chief Executive Officer, the uncertainty during the transition period may increase the risks of employee departures, which may also result in the loss of institutional or technical knowledge, which may adversely affect our business.</w:t>
      </w:r>
    </w:p>
    <w:p>
      <w:pPr>
        <w:spacing w:after="0" w:line="190" w:lineRule="exact"/>
        <w:rPr>
          <w:sz w:val="20"/>
          <w:szCs w:val="20"/>
          <w:color w:val="auto"/>
        </w:rPr>
      </w:pPr>
    </w:p>
    <w:p>
      <w:pPr>
        <w:ind w:right="20" w:firstLine="625"/>
        <w:spacing w:after="0" w:line="259" w:lineRule="auto"/>
        <w:rPr>
          <w:sz w:val="20"/>
          <w:szCs w:val="20"/>
          <w:color w:val="auto"/>
        </w:rPr>
      </w:pPr>
      <w:r>
        <w:rPr>
          <w:rFonts w:ascii="Times New Roman" w:cs="Times New Roman" w:eastAsia="Times New Roman" w:hAnsi="Times New Roman"/>
          <w:sz w:val="17"/>
          <w:szCs w:val="17"/>
          <w:color w:val="auto"/>
        </w:rPr>
        <w:t>Recruiting and retaining qualified scientific, clinical, manufacturing and other personnel will also be critical to our success. For example, we have experienced employee turnover, consistent with the broader American economy, and we may continue to experience employee turnover in the future that may have an adverse effect on our business strategy. New hires require significant training and, in most cases, take significant time before they achieve full productivity. New employees may not become as productive as we expect, and we may be unable to hire or retain sufficient numbers of qualified individuals. Furthermore, replacing executive officers and key employees may be difficult and may take an extended period of time because of the limited number of individuals in our industry with the breadth of skills and experience required to successfully develop, gain regulatory approval of and commercialize products. Competition to hire from this limited pool is intense, and we may be unable to hire, train, retain or motivate these key personnel on acceptable terms given the competition among numerous pharmaceutical and biotechnology companies for similar personnel. We also experience competition for the hiring of scientific and clinical personnel from universities and research institutions. 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 If we are unable to continue to attract and retain high quality personnel, motivate existing employees, or maintain our corporate culture in a hybrid or remote work environment and in the midst of higher turnover, our ability to pursue our growth strategy will be limited.</w:t>
      </w:r>
    </w:p>
    <w:p>
      <w:pPr>
        <w:spacing w:after="0" w:line="201"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Additionally, in January 2023, the U.S. Federal Trade Commission (FTC) published a proposed rule that would generally prohibit post-employment non-compete clauses (or other clauses with comparable effect) in agreements between employers and their employees. As of August 20, 2024, the FTC cannot enforce this rule as a result of a court order, which remains subject to appeal. If this rule goes into effect, or if we fail to adequately address any of the issues referred to above, it could adversely impact our ability to attract or retain key executives, which may result in a material adverse effect on our business, operating results and financial condition.</w:t>
      </w:r>
    </w:p>
    <w:p>
      <w:pPr>
        <w:spacing w:after="0" w:line="193"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may undertake internal restructuring activities, including associated workforce reductions, that could result in disruptions to our business or otherwise materially harm our results of operations or financial condition.</w:t>
      </w:r>
    </w:p>
    <w:p>
      <w:pPr>
        <w:spacing w:after="0" w:line="168"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From time to time, we may undertake internal restricting activities, including associated workforce reductions, as we continue to evaluate and attempt to optimize our cost and operating structure in light of developments in our business strategy and long-term operating plans. For example, in August 2022, we announced a reduction in workforce by approximately 15% in connection with the restructuring of our business to prioritize and focus on our lead assets, and, as a result, we incurred certain restructuring charges, including employee termination-related charges. Any restructuring activities that we may undertake in the future may result in write-offs or other restructuring charges, including employee termination-related charges in connection with any associated workforce reductions. We may not realize, in full or in part, the anticipated benefits, savings and improvements in our operating structure from any restructuring efforts due to unforeseen difficulties, delays or unexpected costs. If we are unable to realize the expected operational efficiencies and cost savings from any restructuring, our results of operation and financial condition could be adversely affected. Furthermore, any strategic restructuring plan may be disruptive to our operations. For example, any workforce reductions could yield unanticipated consequences, such as attrition beyond planned staff reductions, increased difficulties in our day-to-day operations and reduced employee morale. Any employees not affected by any reduction in force may seek alternate employment, which could result in us seeking contract support which may result in unplanned additional expense or harm our productivity. Any workforce reductions could also harm our ability to attract and retain qualified management, scientific, clinical, and manufacturing personnel who are critical to our business. Any failure to attract or retain qualified personnel could prevent us from successfully developing our product candidates in the future.</w:t>
      </w:r>
    </w:p>
    <w:p>
      <w:pPr>
        <w:spacing w:after="0" w:line="197" w:lineRule="exact"/>
        <w:rPr>
          <w:sz w:val="20"/>
          <w:szCs w:val="20"/>
          <w:color w:val="auto"/>
        </w:rPr>
      </w:pPr>
    </w:p>
    <w:p>
      <w:pPr>
        <w:ind w:right="42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may need to grow or contract our organization, and we may experience difficulties in managing this growth or contraction, which could disrupt our operations.</w:t>
      </w:r>
    </w:p>
    <w:p>
      <w:pPr>
        <w:spacing w:after="0" w:line="220"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As of December 31, 2024, we had 341 full-time employees. In addition to the risks associated with a reduction in force, as our finances, development and commercialization plans and strategies evolve, we may choose to expand or contract our employee base for managerial, operational, manufacturing, financial and other resources. Future growth or additional contraction would impose significant costs as well as added responsibilities on members of management, including the potential need to identify, recruit, maintain, motivate and integrate additional employees. Also, our management may need to divert a disproportionate amount of their attention away from our day-to-day activities and devote a substantial amount of time to managing either growth or contraction activities. We may not be able to effectively manage our operations which may result in</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55" w:name="page56"/>
    <w:bookmarkEnd w:id="55"/>
    <w:p>
      <w:pPr>
        <w:ind w:right="340"/>
        <w:spacing w:after="0" w:line="294" w:lineRule="auto"/>
        <w:rPr>
          <w:sz w:val="20"/>
          <w:szCs w:val="20"/>
          <w:color w:val="auto"/>
        </w:rPr>
      </w:pPr>
      <w:r>
        <w:rPr>
          <w:rFonts w:ascii="Times New Roman" w:cs="Times New Roman" w:eastAsia="Times New Roman" w:hAnsi="Times New Roman"/>
          <w:sz w:val="17"/>
          <w:szCs w:val="17"/>
          <w:color w:val="auto"/>
        </w:rPr>
        <w:t>weaknesses in our infrastructure, give rise to operational errors, loss of business opportunities, loss of employees and reduced productivity among remaining employees.</w:t>
      </w:r>
    </w:p>
    <w:p>
      <w:pPr>
        <w:spacing w:after="0" w:line="94" w:lineRule="exact"/>
        <w:rPr>
          <w:sz w:val="20"/>
          <w:szCs w:val="20"/>
          <w:color w:val="auto"/>
        </w:rPr>
      </w:pPr>
    </w:p>
    <w:p>
      <w:pPr>
        <w:ind w:right="140" w:firstLine="625"/>
        <w:spacing w:after="0" w:line="265" w:lineRule="auto"/>
        <w:rPr>
          <w:sz w:val="20"/>
          <w:szCs w:val="20"/>
          <w:color w:val="auto"/>
        </w:rPr>
      </w:pPr>
      <w:r>
        <w:rPr>
          <w:rFonts w:ascii="Times New Roman" w:cs="Times New Roman" w:eastAsia="Times New Roman" w:hAnsi="Times New Roman"/>
          <w:sz w:val="17"/>
          <w:szCs w:val="17"/>
          <w:color w:val="auto"/>
        </w:rPr>
        <w:t>Growth could require significant capital expenditures and may divert financial resources from other projects, such as the development of existing and additional product candidates. If our management is unable to effectively manage such growth, our expenses may increase more than expected, our ability to generate and/or grow revenue could be reduced and we may not be able to implement our business strategy. Our future financial performance and our ability to develop and commercialize our product candidates and compete effectively with others in our industry will depend, in part, on our ability to effectively manage any such growth.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Risks Related to Our Common Stock</w:t>
      </w:r>
    </w:p>
    <w:p>
      <w:pPr>
        <w:spacing w:after="0" w:line="167" w:lineRule="exact"/>
        <w:rPr>
          <w:sz w:val="20"/>
          <w:szCs w:val="20"/>
          <w:color w:val="auto"/>
        </w:rPr>
      </w:pPr>
    </w:p>
    <w:p>
      <w:pPr>
        <w:ind w:right="200"/>
        <w:spacing w:after="0" w:line="299" w:lineRule="auto"/>
        <w:rPr>
          <w:sz w:val="20"/>
          <w:szCs w:val="20"/>
          <w:color w:val="auto"/>
        </w:rPr>
      </w:pPr>
      <w:r>
        <w:rPr>
          <w:rFonts w:ascii="Times New Roman" w:cs="Times New Roman" w:eastAsia="Times New Roman" w:hAnsi="Times New Roman"/>
          <w:sz w:val="17"/>
          <w:szCs w:val="17"/>
          <w:b w:val="1"/>
          <w:bCs w:val="1"/>
          <w:i w:val="1"/>
          <w:iCs w:val="1"/>
          <w:color w:val="auto"/>
        </w:rPr>
        <w:t>We have been and may in the future be subject to securities litigation, which is expensive and could divert management attention and adversely impact our business.</w:t>
      </w:r>
    </w:p>
    <w:p>
      <w:pPr>
        <w:spacing w:after="0" w:line="90" w:lineRule="exact"/>
        <w:rPr>
          <w:sz w:val="20"/>
          <w:szCs w:val="20"/>
          <w:color w:val="auto"/>
        </w:rPr>
      </w:pPr>
    </w:p>
    <w:p>
      <w:pPr>
        <w:ind w:firstLine="170"/>
        <w:spacing w:after="0" w:line="262" w:lineRule="auto"/>
        <w:rPr>
          <w:sz w:val="20"/>
          <w:szCs w:val="20"/>
          <w:color w:val="auto"/>
        </w:rPr>
      </w:pPr>
      <w:r>
        <w:rPr>
          <w:rFonts w:ascii="Times New Roman" w:cs="Times New Roman" w:eastAsia="Times New Roman" w:hAnsi="Times New Roman"/>
          <w:sz w:val="17"/>
          <w:szCs w:val="17"/>
          <w:color w:val="auto"/>
        </w:rPr>
        <w:t>The market price of our common stock has been and may continue to be volatile. Companies that have experienced volatility in the market price of their common stock are often subject to securities class action litigation. For example, in July 2024, a putative securities class action suit, entitled Crain v. MacroGenics, Inc. (Case No. 24-cv-02184), was filed in the U.S. District Court for the District of Maryland against our company and Scott Koenig, M.D., Ph.D., our President, Chief Executive Officer and a member of our Board of Directors, alleging violations of securities laws during 2024. On December 20, 2024, the District Court issued an Order dismissing the case, without prejudice. Previously, on September 13, 2019, a securities class action complaint was filed against us, and certain of our officers and/or directors in the U.S. District Court for the District of Maryland. On September 29, 2021, the District Court issued an Order dismissing the case, with prejudice, and on March 2, 2023 the Fourth Circuit affirmed the District Court’s dismissal.</w:t>
      </w:r>
    </w:p>
    <w:p>
      <w:pPr>
        <w:spacing w:after="0" w:line="199"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Due to the inherent uncertainties in legal proceedings, we cannot accurately predict the ultimate outcome of any such proceedings. Any securities litigation brought by private parties or government enforcement agencies could result in substantial costs and diversion of management’s attention and resources, which could adversely impact our business. Any adverse determination in litigation could also subject us to significant liabilities.</w:t>
      </w:r>
    </w:p>
    <w:p>
      <w:pPr>
        <w:spacing w:after="0" w:line="190"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The market price of our stock may fluctuate unpredictably in response to factors unrelated to our operating performance. The stock market has recently experienced significant volatility, particularly with respect to pharmaceutical, biotechnology, and other life sciences company stocks. The volatility of pharmaceutical, biotechnology, and other life sciences company stocks often does not relate to the operating performance of the companies represented by the stock. Some of the factors that may cause the market price of our common stock to fluctuate include:</w:t>
      </w:r>
    </w:p>
    <w:p>
      <w:pPr>
        <w:spacing w:after="0" w:line="195" w:lineRule="exact"/>
        <w:rPr>
          <w:sz w:val="20"/>
          <w:szCs w:val="20"/>
          <w:color w:val="auto"/>
        </w:rPr>
      </w:pPr>
    </w:p>
    <w:p>
      <w:pPr>
        <w:ind w:left="780" w:hanging="307"/>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and timing of our clinical trials and clinical trials of our competitors’ products;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or discontinuation of any of our development programs;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issues in manufacturing our product candidates or future approved products;</w:t>
      </w:r>
    </w:p>
    <w:p>
      <w:pPr>
        <w:spacing w:after="0" w:line="247" w:lineRule="exact"/>
        <w:rPr>
          <w:rFonts w:ascii="Times New Roman" w:cs="Times New Roman" w:eastAsia="Times New Roman" w:hAnsi="Times New Roman"/>
          <w:sz w:val="17"/>
          <w:szCs w:val="17"/>
          <w:color w:val="auto"/>
        </w:rPr>
      </w:pPr>
    </w:p>
    <w:p>
      <w:pPr>
        <w:ind w:left="780" w:right="620" w:hanging="307"/>
        <w:spacing w:after="0" w:line="294" w:lineRule="auto"/>
        <w:tabs>
          <w:tab w:leader="none" w:pos="77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regulatory developments or enforcement in the United States and foreign countries with respect to our product candidates or our competitors’ products;</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from existing products or new products that may emerge;</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developments or disputes concerning patents or other proprietary rights;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technological innovations or new commercial products by us or our competitors;</w:t>
      </w:r>
    </w:p>
    <w:p>
      <w:pPr>
        <w:spacing w:after="0" w:line="247" w:lineRule="exact"/>
        <w:rPr>
          <w:rFonts w:ascii="Times New Roman" w:cs="Times New Roman" w:eastAsia="Times New Roman" w:hAnsi="Times New Roman"/>
          <w:sz w:val="17"/>
          <w:szCs w:val="17"/>
          <w:color w:val="auto"/>
        </w:rPr>
      </w:pPr>
    </w:p>
    <w:p>
      <w:pPr>
        <w:ind w:left="780" w:right="140" w:hanging="307"/>
        <w:spacing w:after="0" w:line="294" w:lineRule="auto"/>
        <w:tabs>
          <w:tab w:leader="none" w:pos="77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our collaborators or our competitors of significant acquisitions, strategic partnerships, joint ventures, collaborations or capital commitments;</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estimates or recommendations by securities analysts, if any cover our common stock;</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valuation of companies perceived by investors to be comparable to us;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public concern over our product candidates or any future approved products;</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916" w:right="359" w:bottom="1440" w:gutter="0" w:footer="0" w:header="0"/>
        </w:sectPr>
      </w:pPr>
    </w:p>
    <w:bookmarkStart w:id="56" w:name="page57"/>
    <w:bookmarkEnd w:id="56"/>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threatened or actual litigation;</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future or anticipated sales of our common stock;</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 price and volume fluctuations attributable to inconsistent trading volume levels of our shares;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additions or departures of key personnel;</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structure of health care payment systems in the United States or overseas;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of any of our product candidates, if approved, to achieve commercial success;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and other external factors or other disasters or crises;</w:t>
      </w:r>
    </w:p>
    <w:p>
      <w:pPr>
        <w:spacing w:after="0" w:line="247" w:lineRule="exact"/>
        <w:rPr>
          <w:rFonts w:ascii="Times New Roman" w:cs="Times New Roman" w:eastAsia="Times New Roman" w:hAnsi="Times New Roman"/>
          <w:sz w:val="17"/>
          <w:szCs w:val="17"/>
          <w:color w:val="auto"/>
        </w:rPr>
      </w:pPr>
    </w:p>
    <w:p>
      <w:pPr>
        <w:ind w:left="780" w:right="220" w:hanging="307"/>
        <w:spacing w:after="0" w:line="294" w:lineRule="auto"/>
        <w:tabs>
          <w:tab w:leader="none" w:pos="776"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period-to-period fluctuations in our financial condition and results of operations, including the timing of receipt of any milestone or other payments under commercialization or licensing agreements;</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market conditions and market conditions for biopharmaceutical stocks; and</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fluctuations in U.S. equity markets.</w:t>
      </w:r>
    </w:p>
    <w:p>
      <w:pPr>
        <w:spacing w:after="0" w:line="247" w:lineRule="exact"/>
        <w:rPr>
          <w:sz w:val="20"/>
          <w:szCs w:val="20"/>
          <w:color w:val="auto"/>
        </w:rPr>
      </w:pPr>
    </w:p>
    <w:p>
      <w:pPr>
        <w:ind w:right="120" w:firstLine="625"/>
        <w:spacing w:after="0" w:line="268" w:lineRule="auto"/>
        <w:rPr>
          <w:sz w:val="20"/>
          <w:szCs w:val="20"/>
          <w:color w:val="auto"/>
        </w:rPr>
      </w:pPr>
      <w:r>
        <w:rPr>
          <w:rFonts w:ascii="Times New Roman" w:cs="Times New Roman" w:eastAsia="Times New Roman" w:hAnsi="Times New Roman"/>
          <w:sz w:val="17"/>
          <w:szCs w:val="17"/>
          <w:color w:val="auto"/>
        </w:rPr>
        <w:t>In addition, in the past, when the market price of a stock has been volatile, holders of that stock have sometimes instituted securities class action litigation against the company that issued the stock. For example, we recently had one such securities class action lawsuit brought against us that was later voluntarily dismissed by the plaintiffs, as discussed above, and two related state derivative lawsuits that are pending. We could incur substantial costs defending these similar lawsuits, as well as diversion of the time and attention of our management, any or all of which could seriously harm our business.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Provisions of our charter, bylaws, third-party agreements and Delaware law may make an acquisition of us or a change in our management more difficult.</w:t>
      </w:r>
    </w:p>
    <w:p>
      <w:pPr>
        <w:spacing w:after="0" w:line="25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Certain provisions of our restated certificate of incorporation and amended and restated bylaws could discourage, delay, or prevent a merger, acquisition, or other change in control that stockholders may consider favorable, including transactions in which you might otherwise receive a premium for your shares. These provisions also could limit the price that investors might be willing to pay in the future for shares of our common stock, thereby depressing the market price of our common stock. Stockholders who wish to participate in these transactions may not have the opportunity to do so. Furthermore, since our board of directors is responsible for appointing the members of our management team, these provisions could prevent or frustrate attempts by our stockholders to replace or remove our management by making it more difficult for stockholders to replace members of our board of directors. These provisions:</w:t>
      </w:r>
    </w:p>
    <w:p>
      <w:pPr>
        <w:spacing w:after="0" w:line="199" w:lineRule="exact"/>
        <w:rPr>
          <w:sz w:val="20"/>
          <w:szCs w:val="20"/>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allow the authorized number of directors to be changed only by resolution of our board of directors;</w:t>
      </w:r>
    </w:p>
    <w:p>
      <w:pPr>
        <w:spacing w:after="0" w:line="247"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 classified board of directors, providing that not all members of the board of directors be elected at one time;</w:t>
      </w:r>
    </w:p>
    <w:p>
      <w:pPr>
        <w:spacing w:after="0" w:line="247" w:lineRule="exact"/>
        <w:rPr>
          <w:rFonts w:ascii="Times New Roman" w:cs="Times New Roman" w:eastAsia="Times New Roman" w:hAnsi="Times New Roman"/>
          <w:sz w:val="17"/>
          <w:szCs w:val="17"/>
          <w:color w:val="auto"/>
        </w:rPr>
      </w:pPr>
    </w:p>
    <w:p>
      <w:pPr>
        <w:ind w:left="780" w:right="240" w:hanging="307"/>
        <w:spacing w:after="0" w:line="294" w:lineRule="auto"/>
        <w:tabs>
          <w:tab w:leader="none" w:pos="77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our board of directors to issue without stockholder approval blank check preferred stock that, if issued, could operate as a "poison pill" to dilute the stock ownership of a potential hostile acquirer to prevent an acquisition that is not approved by our board of directors;</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that stockholder actions must be effected at a duly called stockholder meeting and prohibit stockholder action by written consent;</w:t>
      </w:r>
    </w:p>
    <w:p>
      <w:pPr>
        <w:spacing w:after="0" w:line="247" w:lineRule="exact"/>
        <w:rPr>
          <w:rFonts w:ascii="Times New Roman" w:cs="Times New Roman" w:eastAsia="Times New Roman" w:hAnsi="Times New Roman"/>
          <w:sz w:val="17"/>
          <w:szCs w:val="17"/>
          <w:color w:val="auto"/>
        </w:rPr>
      </w:pPr>
    </w:p>
    <w:p>
      <w:pPr>
        <w:ind w:left="780" w:right="500" w:hanging="307"/>
        <w:spacing w:after="0" w:line="294" w:lineRule="auto"/>
        <w:tabs>
          <w:tab w:leader="none" w:pos="77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stockholder nominations to our board of directors or for stockholder proposals that can be acted on at stockholder meetings;</w:t>
      </w:r>
    </w:p>
    <w:p>
      <w:pPr>
        <w:spacing w:after="0" w:line="172" w:lineRule="exact"/>
        <w:rPr>
          <w:rFonts w:ascii="Times New Roman" w:cs="Times New Roman" w:eastAsia="Times New Roman" w:hAnsi="Times New Roman"/>
          <w:sz w:val="17"/>
          <w:szCs w:val="17"/>
          <w:color w:val="auto"/>
        </w:rPr>
      </w:pPr>
    </w:p>
    <w:p>
      <w:pPr>
        <w:ind w:left="780" w:hanging="307"/>
        <w:spacing w:after="0"/>
        <w:tabs>
          <w:tab w:leader="none" w:pos="780"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 who may call stockholder meetings; and</w:t>
      </w:r>
    </w:p>
    <w:p>
      <w:pPr>
        <w:spacing w:after="0" w:line="247" w:lineRule="exact"/>
        <w:rPr>
          <w:rFonts w:ascii="Times New Roman" w:cs="Times New Roman" w:eastAsia="Times New Roman" w:hAnsi="Times New Roman"/>
          <w:sz w:val="17"/>
          <w:szCs w:val="17"/>
          <w:color w:val="auto"/>
        </w:rPr>
      </w:pPr>
    </w:p>
    <w:p>
      <w:pPr>
        <w:ind w:left="780" w:right="260" w:hanging="307"/>
        <w:spacing w:after="0" w:line="294" w:lineRule="auto"/>
        <w:tabs>
          <w:tab w:leader="none" w:pos="77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the approval of the holders of 75% of the outstanding shares of our capital stock entitled to vote in order to amend certain provisions of our restated certificate of incorporation and restated bylaws.</w:t>
      </w: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57" w:name="page58"/>
    <w:bookmarkEnd w:id="57"/>
    <w:p>
      <w:pPr>
        <w:ind w:right="320" w:firstLine="625"/>
        <w:spacing w:after="0" w:line="265" w:lineRule="auto"/>
        <w:rPr>
          <w:sz w:val="20"/>
          <w:szCs w:val="20"/>
          <w:color w:val="auto"/>
        </w:rPr>
      </w:pPr>
      <w:r>
        <w:rPr>
          <w:rFonts w:ascii="Times New Roman" w:cs="Times New Roman" w:eastAsia="Times New Roman" w:hAnsi="Times New Roman"/>
          <w:sz w:val="17"/>
          <w:szCs w:val="17"/>
          <w:color w:val="auto"/>
        </w:rPr>
        <w:t>Furthermore, in the ordinary course of our business, from time to time we discuss and enter into collaborations, licenses and other transactions with various third parties, including other pharmaceutical companies and biotechnology companies. When we deem it appropriate, our agreements with such third parties may include standstill provisions. These standstill provisions, several of which may be in force from time-to-time, typically prohibit such parties from acquiring our securities for a period of time, which may discourage such parties from acquiring MacroGenics even if doing so would be beneficial to our stockholders.</w:t>
      </w:r>
    </w:p>
    <w:p>
      <w:pPr>
        <w:spacing w:after="0" w:line="197"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In addition, because we are incorporated in Delaware, we are governed by the provisions of Section 203 of the Delaware General Corporation Law, which may, unless certain criteria are met, prohibit large stockholders, in particular those owning 15% or more of our outstanding voting stock, from merging or combining with us for a prescribed period of time. This provision could have the effect of delaying or preventing a change of control, whether or not it is desired by or beneficial to our stockholders.</w:t>
      </w:r>
    </w:p>
    <w:p>
      <w:pPr>
        <w:spacing w:after="0" w:line="167"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1B.</w:t>
        <w:tab/>
        <w:t>UNRESOLVED STAFF COMMENTS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1C. CYBERSECURITY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Risk Management and Strategy</w:t>
      </w:r>
    </w:p>
    <w:p>
      <w:pPr>
        <w:spacing w:after="0" w:line="171" w:lineRule="exact"/>
        <w:rPr>
          <w:sz w:val="20"/>
          <w:szCs w:val="20"/>
          <w:color w:val="auto"/>
        </w:rPr>
      </w:pPr>
    </w:p>
    <w:p>
      <w:pPr>
        <w:ind w:right="220" w:firstLine="625"/>
        <w:spacing w:after="0" w:line="274" w:lineRule="auto"/>
        <w:rPr>
          <w:sz w:val="20"/>
          <w:szCs w:val="20"/>
          <w:color w:val="auto"/>
        </w:rPr>
      </w:pPr>
      <w:r>
        <w:rPr>
          <w:rFonts w:ascii="Times New Roman" w:cs="Times New Roman" w:eastAsia="Times New Roman" w:hAnsi="Times New Roman"/>
          <w:sz w:val="17"/>
          <w:szCs w:val="17"/>
          <w:color w:val="auto"/>
        </w:rPr>
        <w:t>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clinical trial data (Information Systems and Data).</w:t>
      </w:r>
    </w:p>
    <w:p>
      <w:pPr>
        <w:spacing w:after="0" w:line="112" w:lineRule="exact"/>
        <w:rPr>
          <w:sz w:val="20"/>
          <w:szCs w:val="20"/>
          <w:color w:val="auto"/>
        </w:rPr>
      </w:pPr>
    </w:p>
    <w:p>
      <w:pPr>
        <w:ind w:right="120" w:firstLine="625"/>
        <w:spacing w:after="0" w:line="265" w:lineRule="auto"/>
        <w:rPr>
          <w:sz w:val="20"/>
          <w:szCs w:val="20"/>
          <w:color w:val="auto"/>
        </w:rPr>
      </w:pPr>
      <w:r>
        <w:rPr>
          <w:rFonts w:ascii="Times New Roman" w:cs="Times New Roman" w:eastAsia="Times New Roman" w:hAnsi="Times New Roman"/>
          <w:sz w:val="17"/>
          <w:szCs w:val="17"/>
          <w:color w:val="auto"/>
        </w:rPr>
        <w:t>Our information security function is led by our Executive Director of Information Technology and supported by the Senior Information Security Manager, our legal team, a management-level Technology Steering Committee, and the Audit Committee of the Board of Directors. This function is responsible for identifying, assessing, and managing the Company’s cybersecurity threats and risks. We employ various methods to monitor and evaluate the threat environment, including automated tools, subscriptions to cybersecurity threat reports and services, analysis of threats reported to us, evaluations of our and our industry’s risk profile, threat actor analyses, audits, vulnerability assessments, and tabletop incident response exercises.</w:t>
      </w:r>
    </w:p>
    <w:p>
      <w:pPr>
        <w:spacing w:after="0" w:line="119"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Depending on the environment and system, we implement and maintain various technical, physical, and organizational measures, processes, and policies designed to manage and mitigate material risks from cybersecurity threats to our Information Systems and Data. These include: an incident response plan and procedures, incident detection and response playbook, business continuity plans, encryption of certain data, network security controls, identity management and access controls, physical security controls, 24/7 systems monitoring, vendor risk management processes, employee cybersecurity and privacy training, penetration testing, cybersecurity insurance, and dedicated cybersecurity staff.</w:t>
      </w:r>
    </w:p>
    <w:p>
      <w:pPr>
        <w:spacing w:after="0" w:line="119"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Our assessment and management of material risks from cybersecurity threats are integrated into our overall risk management processes. Specifically, (1) cybersecurity risk is addressed as a component of our enterprise risk management program and identified in our risk register; (2) the information security function works with management to prioritize our risk management processes and mitigate cybersecurity threats that are more likely to lead to a material impact to our business; (3) our Technology Steering Committee evaluates material risks from cybersecurity threats against our overall business objectives and reports to the Audit Committee of the board of directors, which evaluates our overall enterprise risk.</w:t>
      </w:r>
    </w:p>
    <w:p>
      <w:pPr>
        <w:spacing w:after="0" w:line="119"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We engage third-party service providers, including professional services firms, cybersecurity consultants, cybersecurity software providers, managed cybersecurity service providers, penetration testing firms, and dark web monitoring services, to assist in identifying, assessing, and managing material risks from cybersecurity threats.</w:t>
      </w:r>
    </w:p>
    <w:p>
      <w:pPr>
        <w:spacing w:after="0" w:line="112"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In addition, we use third-party service providers to perform a variety of functions throughout our business, such as application providers, hosting companies, CROs, distributors, and supply chain management resources. We have vendor management processes to manage cybersecurity risks associated with our use of certain of these providers, such as reviewing security questionnaires, reviewing the vendor’s written security program, conducting risk assessments for certain vendors, arranging security assessment calls with the vendor’s security personnel, reviewing security assessments, or imposing contractual obligations on the vendor. Depending on the nature of the services provided, the sensitivity of the Information</w:t>
      </w: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98" w:right="339" w:bottom="1440" w:gutter="0" w:footer="0" w:header="0"/>
        </w:sectPr>
      </w:pPr>
    </w:p>
    <w:bookmarkStart w:id="58" w:name="page59"/>
    <w:bookmarkEnd w:id="58"/>
    <w:p>
      <w:pPr>
        <w:ind w:right="100"/>
        <w:spacing w:after="0" w:line="294" w:lineRule="auto"/>
        <w:rPr>
          <w:sz w:val="20"/>
          <w:szCs w:val="20"/>
          <w:color w:val="auto"/>
        </w:rPr>
      </w:pPr>
      <w:r>
        <w:rPr>
          <w:rFonts w:ascii="Times New Roman" w:cs="Times New Roman" w:eastAsia="Times New Roman" w:hAnsi="Times New Roman"/>
          <w:sz w:val="17"/>
          <w:szCs w:val="17"/>
          <w:color w:val="auto"/>
        </w:rPr>
        <w:t>Systems and Data at issue, and the identity of the provider, our vendor management process may involve different levels of assessment designed to help identify and mitigate cybersecurity risks associated with a provider.</w:t>
      </w:r>
    </w:p>
    <w:p>
      <w:pPr>
        <w:spacing w:after="0" w:line="94" w:lineRule="exact"/>
        <w:rPr>
          <w:sz w:val="20"/>
          <w:szCs w:val="20"/>
          <w:color w:val="auto"/>
        </w:rPr>
      </w:pPr>
    </w:p>
    <w:p>
      <w:pPr>
        <w:ind w:right="60" w:firstLine="625"/>
        <w:spacing w:after="0" w:line="294" w:lineRule="auto"/>
        <w:rPr>
          <w:sz w:val="20"/>
          <w:szCs w:val="20"/>
          <w:color w:val="auto"/>
        </w:rPr>
      </w:pPr>
      <w:r>
        <w:rPr>
          <w:rFonts w:ascii="Times New Roman" w:cs="Times New Roman" w:eastAsia="Times New Roman" w:hAnsi="Times New Roman"/>
          <w:sz w:val="17"/>
          <w:szCs w:val="17"/>
          <w:color w:val="auto"/>
        </w:rPr>
        <w:t>For a description of the risks from cybersecurity threats that may materially affect the Company and how they may do so, see our risk factors under Part 1. Item 1A. Risk Factors in this Annual Report on Form 10-K.</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Governance</w:t>
      </w:r>
    </w:p>
    <w:p>
      <w:pPr>
        <w:spacing w:after="0" w:line="171" w:lineRule="exact"/>
        <w:rPr>
          <w:sz w:val="20"/>
          <w:szCs w:val="20"/>
          <w:color w:val="auto"/>
        </w:rPr>
      </w:pPr>
    </w:p>
    <w:p>
      <w:pPr>
        <w:ind w:right="160" w:firstLine="625"/>
        <w:spacing w:after="0" w:line="274" w:lineRule="auto"/>
        <w:rPr>
          <w:sz w:val="20"/>
          <w:szCs w:val="20"/>
          <w:color w:val="auto"/>
        </w:rPr>
      </w:pPr>
      <w:r>
        <w:rPr>
          <w:rFonts w:ascii="Times New Roman" w:cs="Times New Roman" w:eastAsia="Times New Roman" w:hAnsi="Times New Roman"/>
          <w:sz w:val="17"/>
          <w:szCs w:val="17"/>
          <w:color w:val="auto"/>
        </w:rPr>
        <w:t>Our board of directors addresses the Company’s cybersecurity risk management as part of its general oversight function. The board of directors’ Audit Committee and management’s Technology Steering Committee are responsible for overseeing the Company’s cybersecurity risk management processes, including oversight and mitigation of risks from cybersecurity threats.</w:t>
      </w:r>
    </w:p>
    <w:p>
      <w:pPr>
        <w:spacing w:after="0" w:line="112" w:lineRule="exact"/>
        <w:rPr>
          <w:sz w:val="20"/>
          <w:szCs w:val="20"/>
          <w:color w:val="auto"/>
        </w:rPr>
      </w:pPr>
    </w:p>
    <w:p>
      <w:pPr>
        <w:ind w:right="140" w:firstLine="625"/>
        <w:spacing w:after="0" w:line="268" w:lineRule="auto"/>
        <w:rPr>
          <w:sz w:val="20"/>
          <w:szCs w:val="20"/>
          <w:color w:val="auto"/>
        </w:rPr>
      </w:pPr>
      <w:r>
        <w:rPr>
          <w:rFonts w:ascii="Times New Roman" w:cs="Times New Roman" w:eastAsia="Times New Roman" w:hAnsi="Times New Roman"/>
          <w:sz w:val="17"/>
          <w:szCs w:val="17"/>
          <w:color w:val="auto"/>
        </w:rPr>
        <w:t>Our cybersecurity risk assessment and management processes are implemented and maintained by certain Company management, including our Executive Director, Information Technology, who has fourteen years of information security experience and holds a Certified Information Systems Security Professional (CISSP) certification. Our Senior Information Security Manager holds CISSP certification, an MSc. in Information Security, and has over 20 years government and industry cybersecurity experience.</w:t>
      </w:r>
    </w:p>
    <w:p>
      <w:pPr>
        <w:spacing w:after="0" w:line="117"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Company management is responsible for hiring appropriate personnel, helping to integrate cybersecurity risk considerations into the Company’s overall risk management strategy, and communicating key priorities to relevant personnel. Company management is also responsible for approving budgets, helping prepare for cybersecurity incidents, approving cybersecurity processes, and reviewing security assessments and other security-related reports.</w:t>
      </w:r>
    </w:p>
    <w:p>
      <w:pPr>
        <w:spacing w:after="0" w:line="112"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Our cybersecurity incident response processes are designed to escalate certain cybersecurity incidents to members of management depending on the circumstances and incident severity, including our Executive Director Information Technology who works with the Company’s incident response team to help the Company mitigate and remediate cybersecurity incidents. In addition, the Company’s incident response process includes reporting to the audit and technology steering committees of the board of directors for certain cybersecurity incidents.</w:t>
      </w:r>
    </w:p>
    <w:p>
      <w:pPr>
        <w:spacing w:after="0" w:line="117" w:lineRule="exact"/>
        <w:rPr>
          <w:sz w:val="20"/>
          <w:szCs w:val="20"/>
          <w:color w:val="auto"/>
        </w:rPr>
      </w:pPr>
    </w:p>
    <w:p>
      <w:pPr>
        <w:ind w:right="160" w:firstLine="625"/>
        <w:spacing w:after="0" w:line="274" w:lineRule="auto"/>
        <w:rPr>
          <w:sz w:val="20"/>
          <w:szCs w:val="20"/>
          <w:color w:val="auto"/>
        </w:rPr>
      </w:pPr>
      <w:r>
        <w:rPr>
          <w:rFonts w:ascii="Times New Roman" w:cs="Times New Roman" w:eastAsia="Times New Roman" w:hAnsi="Times New Roman"/>
          <w:sz w:val="17"/>
          <w:szCs w:val="17"/>
          <w:color w:val="auto"/>
        </w:rPr>
        <w:t>The board of directors’ Audit Committee receives periodic reports from our Vice President Information Technology concerning the Company’s significant cybersecurity threats and risk and the processes the Company has implemented to address them. The board of directors also receives regular reports, summaries or presentations related to cybersecurity threats, risk, and mitigation.</w:t>
      </w:r>
    </w:p>
    <w:p>
      <w:pPr>
        <w:spacing w:after="0" w:line="200" w:lineRule="exact"/>
        <w:rPr>
          <w:sz w:val="20"/>
          <w:szCs w:val="20"/>
          <w:color w:val="auto"/>
        </w:rPr>
      </w:pPr>
    </w:p>
    <w:p>
      <w:pPr>
        <w:spacing w:after="0" w:line="301"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2.</w:t>
        <w:tab/>
        <w:t>PROPERTIES</w:t>
      </w:r>
    </w:p>
    <w:p>
      <w:pPr>
        <w:spacing w:after="0" w:line="171"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We lease a total of approximately 190,000 square feet of manufacturing, office, laboratory and warehouse space in Maryland. Our headquarters building in Rockville, Maryland currently houses laboratory, office and manufacturing operations to support clinical and commercial quantities and scale. This location is occupied under a lease that expires in 2035. Our leases each have one or more five-year options to renew. We believe that our properties are generally in good condition, well maintained, suitable and adequate to carry on our business. We believe our capital resources are sufficient to lease any additional facilities required to meet our expected growth needs.</w:t>
      </w:r>
    </w:p>
    <w:p>
      <w:pPr>
        <w:spacing w:after="0" w:line="200" w:lineRule="exact"/>
        <w:rPr>
          <w:sz w:val="20"/>
          <w:szCs w:val="20"/>
          <w:color w:val="auto"/>
        </w:rPr>
      </w:pPr>
    </w:p>
    <w:p>
      <w:pPr>
        <w:spacing w:after="0" w:line="203"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3.</w:t>
        <w:tab/>
        <w:t>LEGAL PROCEEDINGS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Securities Litigation</w:t>
      </w:r>
    </w:p>
    <w:p>
      <w:pPr>
        <w:spacing w:after="0" w:line="249" w:lineRule="exact"/>
        <w:rPr>
          <w:sz w:val="20"/>
          <w:szCs w:val="20"/>
          <w:color w:val="auto"/>
        </w:rPr>
      </w:pPr>
    </w:p>
    <w:p>
      <w:pPr>
        <w:ind w:right="120" w:firstLine="625"/>
        <w:spacing w:after="0" w:line="264" w:lineRule="auto"/>
        <w:rPr>
          <w:sz w:val="20"/>
          <w:szCs w:val="20"/>
          <w:color w:val="auto"/>
        </w:rPr>
      </w:pPr>
      <w:r>
        <w:rPr>
          <w:rFonts w:ascii="Times New Roman" w:cs="Times New Roman" w:eastAsia="Times New Roman" w:hAnsi="Times New Roman"/>
          <w:sz w:val="17"/>
          <w:szCs w:val="17"/>
          <w:color w:val="auto"/>
        </w:rPr>
        <w:t>In July 2024, a putative securities class action suit, entitled Crain v. MacroGenics, Inc. (Case No. 24-cv-02184), was filed in the U.S. District Court for the District of Maryland against the Company and Scott Koenig, M.D., Ph.D., the Company’s President, Chief Executive Officer and a member of the Company’s Board of Directors, alleging violations of securities laws during 2024. The suit asserted certain claims under Section 10 and Rule 10b-5 of the Securities and Exchange Act of 1934 based on alleged misstatements or omissions concerning the Company's TAMARACK Phase 2 study of vobramitamab duocarmazine in patients with metastatic castration-resistant prostate cancer. On December 20, 2024, the District Court issued an Order dismissing the case, without prejudice.</w:t>
      </w:r>
    </w:p>
    <w:p>
      <w:pPr>
        <w:spacing w:after="0" w:line="200" w:lineRule="exact"/>
        <w:rPr>
          <w:sz w:val="20"/>
          <w:szCs w:val="20"/>
          <w:color w:val="auto"/>
        </w:rPr>
      </w:pPr>
    </w:p>
    <w:p>
      <w:pPr>
        <w:spacing w:after="0" w:line="210" w:lineRule="exact"/>
        <w:rPr>
          <w:sz w:val="20"/>
          <w:szCs w:val="20"/>
          <w:color w:val="auto"/>
        </w:rPr>
      </w:pPr>
    </w:p>
    <w:p>
      <w:pPr>
        <w:ind w:right="240" w:firstLine="625"/>
        <w:spacing w:after="0" w:line="294" w:lineRule="auto"/>
        <w:rPr>
          <w:sz w:val="20"/>
          <w:szCs w:val="20"/>
          <w:color w:val="auto"/>
        </w:rPr>
      </w:pPr>
      <w:r>
        <w:rPr>
          <w:rFonts w:ascii="Times New Roman" w:cs="Times New Roman" w:eastAsia="Times New Roman" w:hAnsi="Times New Roman"/>
          <w:sz w:val="17"/>
          <w:szCs w:val="17"/>
          <w:color w:val="auto"/>
        </w:rPr>
        <w:t>On December 9, 2024, a shareholder derivative suit, entitled Gregora v. Heiden et al. (Case No. 24-cv-03546), was filed in the U.S. District Court for the District of Maryland against certain of the Company’s officers and directors and naming</w:t>
      </w: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020" w:right="339" w:bottom="1440" w:gutter="0" w:footer="0" w:header="0"/>
        </w:sectPr>
      </w:pPr>
    </w:p>
    <w:bookmarkStart w:id="59" w:name="page60"/>
    <w:bookmarkEnd w:id="59"/>
    <w:p>
      <w:pPr>
        <w:ind w:right="140"/>
        <w:spacing w:after="0" w:line="274" w:lineRule="auto"/>
        <w:rPr>
          <w:sz w:val="20"/>
          <w:szCs w:val="20"/>
          <w:color w:val="auto"/>
        </w:rPr>
      </w:pPr>
      <w:r>
        <w:rPr>
          <w:rFonts w:ascii="Times New Roman" w:cs="Times New Roman" w:eastAsia="Times New Roman" w:hAnsi="Times New Roman"/>
          <w:sz w:val="17"/>
          <w:szCs w:val="17"/>
          <w:color w:val="auto"/>
        </w:rPr>
        <w:t>the Company as a nominal defendant. The suit asserts certain claims under Section 10(b) and Rule 10b-5 of the Securities and Exchange Act of 1934 and for breach of fiduciary duty, aiding and abetting breach of fiduciary duty, unjust enrichment, and waste of corporate assets based on the same facts as the Securities Class Action. On March 10, 2025, the plaintiff filed a notice of voluntary dismissal.</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On December 11, 2024, a shareholder derivative suit, entitled Cottle v. MacroGenics, Inc., et al. (Case No. 8:24-cv-03578), was filed in the U.S. District</w:t>
      </w:r>
    </w:p>
    <w:p>
      <w:pPr>
        <w:spacing w:after="0" w:line="52"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color w:val="auto"/>
        </w:rPr>
        <w:t>Court for the District of Maryland against the same defendants and alleging similar claims as the Gregora derivative action. On March 20, 2025, the parties filed a stipulation of dismissal without prejudice.</w:t>
      </w:r>
    </w:p>
    <w:p>
      <w:pPr>
        <w:spacing w:after="0" w:line="172"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In the ordinary course of business, we are or may be involved in various legal or regulatory proceedings, claims or class actions related to alleged patent infringements and other intellectual property rights, or alleged violation of commercial, corporate, securities, labor and employment, and other matters incidental to our business. We do not, however, expect such legal proceedings to have a material adverse effect on our business, financial condition or results of operations. However, depending on the nature and timing of a given dispute, an eventual unfavorable resolution could materially affect our current or future results of operations or cash flows.</w:t>
      </w:r>
    </w:p>
    <w:p>
      <w:pPr>
        <w:spacing w:after="0" w:line="200" w:lineRule="exact"/>
        <w:rPr>
          <w:sz w:val="20"/>
          <w:szCs w:val="20"/>
          <w:color w:val="auto"/>
        </w:rPr>
      </w:pPr>
    </w:p>
    <w:p>
      <w:pPr>
        <w:spacing w:after="0" w:line="282" w:lineRule="exact"/>
        <w:rPr>
          <w:sz w:val="20"/>
          <w:szCs w:val="20"/>
          <w:color w:val="auto"/>
        </w:rPr>
      </w:pPr>
    </w:p>
    <w:p>
      <w:pPr>
        <w:spacing w:after="0"/>
        <w:tabs>
          <w:tab w:leader="none" w:pos="840" w:val="left"/>
        </w:tabs>
        <w:rPr>
          <w:sz w:val="20"/>
          <w:szCs w:val="20"/>
          <w:color w:val="auto"/>
        </w:rPr>
      </w:pPr>
      <w:r>
        <w:rPr>
          <w:rFonts w:ascii="Times New Roman" w:cs="Times New Roman" w:eastAsia="Times New Roman" w:hAnsi="Times New Roman"/>
          <w:sz w:val="17"/>
          <w:szCs w:val="17"/>
          <w:b w:val="1"/>
          <w:bCs w:val="1"/>
          <w:color w:val="auto"/>
        </w:rPr>
        <w:t>ITEM 4.</w:t>
        <w:tab/>
        <w:t>MINE SAFETY DISCLOSURES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60" w:name="page61"/>
    <w:bookmarkEnd w:id="60"/>
    <w:p>
      <w:pPr>
        <w:ind w:left="5620"/>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21" w:lineRule="exact"/>
        <w:rPr>
          <w:sz w:val="20"/>
          <w:szCs w:val="20"/>
          <w:color w:val="auto"/>
        </w:rPr>
      </w:pPr>
    </w:p>
    <w:p>
      <w:pPr>
        <w:ind w:left="860" w:right="580" w:hanging="1249"/>
        <w:spacing w:after="0" w:line="296" w:lineRule="auto"/>
        <w:tabs>
          <w:tab w:leader="none" w:pos="840" w:val="left"/>
        </w:tabs>
        <w:rPr>
          <w:sz w:val="20"/>
          <w:szCs w:val="20"/>
          <w:color w:val="auto"/>
        </w:rPr>
      </w:pPr>
      <w:r>
        <w:rPr>
          <w:rFonts w:ascii="Times New Roman" w:cs="Times New Roman" w:eastAsia="Times New Roman" w:hAnsi="Times New Roman"/>
          <w:sz w:val="17"/>
          <w:szCs w:val="17"/>
          <w:b w:val="1"/>
          <w:bCs w:val="1"/>
          <w:color w:val="auto"/>
        </w:rPr>
        <w:t>ITEM 5.</w:t>
        <w:tab/>
        <w:t>MARKET FOR REGISTRANT'S COMMON EQUITY, RELATED STOCKHOLDER MATTERS AND ISSUER PURCHASES OF EQUITY SECURITIES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71"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Our common stock is listed on the Nasdaq Global Select Market under the symbol "MGNX". As of March 14, 2025, we had 63,090,323 shares of common stock outstanding held by approximately 52 holders of record, which include shares held by a broker, bank or other nominee. We have never declared or paid any cash dividends. We do not anticipate declaring or paying cash dividends for the foreseeable future. Instead, we will retain our earnings, if any, for the future operation and expansion of our business.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Performance Graph</w:t>
      </w:r>
    </w:p>
    <w:p>
      <w:pPr>
        <w:spacing w:after="0" w:line="171" w:lineRule="exact"/>
        <w:rPr>
          <w:sz w:val="20"/>
          <w:szCs w:val="20"/>
          <w:color w:val="auto"/>
        </w:rPr>
      </w:pPr>
    </w:p>
    <w:p>
      <w:pPr>
        <w:ind w:right="200" w:firstLine="625"/>
        <w:spacing w:after="0" w:line="268" w:lineRule="auto"/>
        <w:rPr>
          <w:sz w:val="20"/>
          <w:szCs w:val="20"/>
          <w:color w:val="auto"/>
        </w:rPr>
      </w:pPr>
      <w:r>
        <w:rPr>
          <w:rFonts w:ascii="Times New Roman" w:cs="Times New Roman" w:eastAsia="Times New Roman" w:hAnsi="Times New Roman"/>
          <w:sz w:val="17"/>
          <w:szCs w:val="17"/>
          <w:color w:val="auto"/>
        </w:rPr>
        <w:t>The following graph compares the five-year cumulative total return of our common stock with the Nasdaq Composite Index (U.S.) and the Nasdaq Biotechnology Index. The comparison assumes a $100 investment on December 31, 2019 in our common stock, the stocks comprising the Nasdaq Composite Index, and the stocks comprising the Nasdaq Biotechnology Index, and assumes reinvestment of the full amount of all dividends, if any. Historical stockholder return is not necessarily indicative of the performance to be expected for any future periods.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887730</wp:posOffset>
            </wp:positionH>
            <wp:positionV relativeFrom="paragraph">
              <wp:posOffset>85725</wp:posOffset>
            </wp:positionV>
            <wp:extent cx="5375910" cy="3142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375910" cy="3142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The information set forth under the heading "Performance Graph" shall not be deemed to be "soliciting material" or to be "filed" with the SEC or subject to liabilities of Section 18 of the Exchange Act, except to the extent that we specifically request that such information be treated as soliciting material or specifically be incorporated by reference into a filing under the Securities Act of 1933, as amended, or the Exchange Act.</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6.</w:t>
        <w:tab/>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61" w:name="page62"/>
    <w:bookmarkEnd w:id="61"/>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7.</w:t>
        <w:tab/>
        <w:t>MANAGEMENT'S DISCUSSION AND ANALYSIS OF FINANCIAL CONDITION AND RESULTS OF OPERATIONS</w:t>
      </w:r>
    </w:p>
    <w:p>
      <w:pPr>
        <w:spacing w:after="0" w:line="169" w:lineRule="exact"/>
        <w:rPr>
          <w:sz w:val="20"/>
          <w:szCs w:val="20"/>
          <w:color w:val="auto"/>
        </w:rPr>
      </w:pPr>
    </w:p>
    <w:p>
      <w:pPr>
        <w:ind w:right="500"/>
        <w:spacing w:after="0" w:line="269" w:lineRule="auto"/>
        <w:rPr>
          <w:sz w:val="20"/>
          <w:szCs w:val="20"/>
          <w:color w:val="auto"/>
        </w:rPr>
      </w:pPr>
      <w:r>
        <w:rPr>
          <w:rFonts w:ascii="Times New Roman" w:cs="Times New Roman" w:eastAsia="Times New Roman" w:hAnsi="Times New Roman"/>
          <w:sz w:val="17"/>
          <w:szCs w:val="17"/>
          <w:i w:val="1"/>
          <w:iCs w:val="1"/>
          <w:color w:val="auto"/>
        </w:rPr>
        <w:t>The following discussion of our financial condition and results of operations should be read together with our selected consolidated financial data and the consolidated financial statements and related notes included elsewhere herein. This discussion contains forward-looking statements that involve risks and uncertainties. As a result of many factors including, but not limited to, those set forth under the sections entitled "Risk Factors" and "Forward-Looking Statements", our actual results may differ materially from those anticipated in such forward-looking statements.</w:t>
      </w:r>
    </w:p>
    <w:p>
      <w:pPr>
        <w:spacing w:after="0" w:line="115" w:lineRule="exact"/>
        <w:rPr>
          <w:sz w:val="20"/>
          <w:szCs w:val="20"/>
          <w:color w:val="auto"/>
        </w:rPr>
      </w:pPr>
    </w:p>
    <w:p>
      <w:pPr>
        <w:ind w:right="100" w:firstLine="625"/>
        <w:spacing w:after="0" w:line="274" w:lineRule="auto"/>
        <w:rPr>
          <w:sz w:val="20"/>
          <w:szCs w:val="20"/>
          <w:color w:val="auto"/>
        </w:rPr>
      </w:pPr>
      <w:r>
        <w:rPr>
          <w:rFonts w:ascii="Times New Roman" w:cs="Times New Roman" w:eastAsia="Times New Roman" w:hAnsi="Times New Roman"/>
          <w:sz w:val="17"/>
          <w:szCs w:val="17"/>
          <w:color w:val="auto"/>
        </w:rPr>
        <w:t>For the discussion of our financial condition and results of operations for the year ended December 31, 2023 compared to the year ended December 31, 2022, please refer to Part II, Item 7, "Management's Discussion and Analysis of Financial Condition and Results of Operations" in our Annual Report on Form 10-K for the year ended December 31, 2023 filed with the SEC on March 7, 2024.</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71"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We are a clinical-stage biopharmaceutical company focused on discovering, developing, manufacturing and commercializing innovative antibody-based therapeutics for the treatment of cancer. We generate our pipeline of product candidates from our proprietary suite of antibody technology platforms. We are currently developing therapeutics utilizing multiple modalities, including antibody-drug conjugates (ADCs) and multi-specific antibodies (which we refer to as DART and TRIDENT molecules). The combination of our technology platforms and antibody engineering expertise has allowed us to generate promising product candidates – three of which have received marketing approval by the U.S. Food and Drug Administration (FDA) – and to enter into several strategic collaborations with global biopharmaceutical companies. These collaborations have provided us with over $1.4 billion of non-dilutive funding since our inception in 2000, and have enabled us to leverage the additional expertise of our collaborators to advance the development of multiple partnered product candidates. In addition, we operate a 5 × 2,000 liter commercial-scale cGMP antibody manufacturing facility in our Maryland headquarters to support our clinical programs. We also provide outsourced contract development and manufacturing services to our collaborators and other third parties for commercial and clinical products to offset a portion of the operating costs of this facility.</w:t>
      </w:r>
    </w:p>
    <w:p>
      <w:pPr>
        <w:spacing w:after="0" w:line="20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We are currently advancing three proprietary product candidates in clinical development: lorigerlimab, a bispecific DART molecule that targets checkpoint inhibitors PD-1 and CTLA-4; MGC026, an ADC that targets B7-H3 and delivers a novel topoisomerase I inhibitor (TOP1i)-based linker-payload, and MGC028, an ADC that targets ADAM9 and delivers a novel TOP1i-based linker-payload. We are also actively developing multiple preclinical-stage ADC and next generation T-cell engager programs.</w:t>
      </w:r>
    </w:p>
    <w:p>
      <w:pPr>
        <w:spacing w:after="0" w:line="195" w:lineRule="exact"/>
        <w:rPr>
          <w:sz w:val="20"/>
          <w:szCs w:val="20"/>
          <w:color w:val="auto"/>
        </w:rPr>
      </w:pPr>
    </w:p>
    <w:p>
      <w:pPr>
        <w:ind w:right="100" w:firstLine="625"/>
        <w:spacing w:after="0" w:line="232" w:lineRule="auto"/>
        <w:rPr>
          <w:sz w:val="20"/>
          <w:szCs w:val="20"/>
          <w:color w:val="auto"/>
        </w:rPr>
      </w:pPr>
      <w:r>
        <w:rPr>
          <w:rFonts w:ascii="Times New Roman" w:cs="Times New Roman" w:eastAsia="Times New Roman" w:hAnsi="Times New Roman"/>
          <w:sz w:val="17"/>
          <w:szCs w:val="17"/>
          <w:color w:val="auto"/>
        </w:rPr>
        <w:t>We and our partners are developing or commercializing product candidates for which we retain certain economic rights. These include three products approved by the FDA: MARGENZA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(margetuximab-cmkb), an anti-HER2 monoclonal antibody (mAb) that we recently sold to a partner, ZYNYZ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(retifanlimab-dlwr), an anti-PD-1 mAb that we out-licensed; and TZIELD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(teplizumab-mzwv), an anti-CD3 mAb that we sold to a partner. We are also collaborating with Gilead Sciences, Inc. (Gilead) on the development of MGD024, a bispecific DART antibody targeting CD123 and CD3 that utilizes our next-generation T-cell engager technology, as well as two additional undisclosed pre-clinical DART development programs.</w:t>
      </w:r>
    </w:p>
    <w:p>
      <w:pPr>
        <w:spacing w:after="0" w:line="220" w:lineRule="exact"/>
        <w:rPr>
          <w:sz w:val="20"/>
          <w:szCs w:val="20"/>
          <w:color w:val="auto"/>
        </w:rPr>
      </w:pPr>
    </w:p>
    <w:p>
      <w:pPr>
        <w:ind w:right="80" w:firstLine="625"/>
        <w:spacing w:after="0" w:line="262" w:lineRule="auto"/>
        <w:rPr>
          <w:sz w:val="20"/>
          <w:szCs w:val="20"/>
          <w:color w:val="auto"/>
        </w:rPr>
      </w:pPr>
      <w:r>
        <w:rPr>
          <w:rFonts w:ascii="Times New Roman" w:cs="Times New Roman" w:eastAsia="Times New Roman" w:hAnsi="Times New Roman"/>
          <w:sz w:val="17"/>
          <w:szCs w:val="17"/>
          <w:color w:val="auto"/>
        </w:rPr>
        <w:t>Our operations to date have concentrated on developing our technology platforms, identifying potential product candidates, undertaking preclinical studies, conducting clinical trials, developing collaborations, operating manufacturing facilities, business planning and raising capital. We only began generating revenues from the sale of products in 2021. We have financed our operations primarily through the public and private offerings of our securities, and collaborations with other biopharmaceutical companies. Although it is difficult to predict our funding requirements, we anticipate that our cash, cash equivalents and marketable securities as of December 31, 2024, combined with anticipated and potential collaboration payments, contract manufacturing revenue, and royalties, should enable us to fund our operations into the second half of 2026. Our expected funding requirements reflect anticipated expenditures related to the ongoing Phase 2 LORIKEET study of lorigerlimab in mCRPC as well as our other clinical and preclinical studies currently ongoing.</w:t>
      </w:r>
    </w:p>
    <w:p>
      <w:pPr>
        <w:spacing w:after="0" w:line="121" w:lineRule="exact"/>
        <w:rPr>
          <w:sz w:val="20"/>
          <w:szCs w:val="20"/>
          <w:color w:val="auto"/>
        </w:rPr>
      </w:pPr>
    </w:p>
    <w:p>
      <w:pPr>
        <w:ind w:right="240" w:firstLine="625"/>
        <w:spacing w:after="0" w:line="294" w:lineRule="auto"/>
        <w:rPr>
          <w:sz w:val="20"/>
          <w:szCs w:val="20"/>
          <w:color w:val="auto"/>
        </w:rPr>
      </w:pPr>
      <w:r>
        <w:rPr>
          <w:rFonts w:ascii="Times New Roman" w:cs="Times New Roman" w:eastAsia="Times New Roman" w:hAnsi="Times New Roman"/>
          <w:sz w:val="17"/>
          <w:szCs w:val="17"/>
          <w:color w:val="auto"/>
        </w:rPr>
        <w:t>Through December 31, 2024, we had an accumulated deficit of $1.2 billion. We expect that over the next several years this deficit will increase as we continue to incur research and development expense in connection with our ongoing activities and several clinical trials.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7"/>
          <w:szCs w:val="17"/>
          <w:b w:val="1"/>
          <w:bCs w:val="1"/>
          <w:color w:val="auto"/>
        </w:rPr>
        <w:t>Macroeconomic Conditions</w:t>
      </w:r>
    </w:p>
    <w:p>
      <w:pPr>
        <w:spacing w:after="0" w:line="171"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The global economy, credit markets and financial markets have and may continue to experience significant volatility as a result of significant worldwide events, including, fluctuating interest rates, and geopolitical upheaval (collectively, the Macroeconomic Conditions). These Macroeconomic Conditions have and may continue to create supply chain disruptions, inventory disruptions, and fluctuations in economic growth, including fluctuations in employment rates, inflation, energy prices and consumer sentiment. It remains difficult to assess or predict the ultimate duration and economic impact of the Macroeconomic Conditions. Prolonged uncertainty with respect to Macroeconomic Conditions could cause further economic slowdown or cause other unpredictable events, each of which could adversely affect our business, results of operations or financial condition.</w:t>
      </w:r>
    </w:p>
    <w:p>
      <w:pPr>
        <w:spacing w:after="0" w:line="3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Collaborations</w:t>
      </w:r>
    </w:p>
    <w:p>
      <w:pPr>
        <w:spacing w:after="0" w:line="17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We pursue a balanced approach between product candidates that we develop ourselves and those that we develop with our collaborators. Under our strategic collaborations to date, we have received significant non-dilutive funding and continue to have rights to additional funding upon completion of certain research, achievement of key product development milestones and royalties and other payments upon the commercial sale of products. Our current collaborations include the following:</w:t>
      </w:r>
    </w:p>
    <w:p>
      <w:pPr>
        <w:spacing w:after="0" w:line="115" w:lineRule="exact"/>
        <w:rPr>
          <w:sz w:val="20"/>
          <w:szCs w:val="20"/>
          <w:color w:val="auto"/>
        </w:rPr>
      </w:pPr>
    </w:p>
    <w:p>
      <w:pPr>
        <w:ind w:left="940" w:right="100" w:hanging="311"/>
        <w:spacing w:after="0" w:line="256" w:lineRule="auto"/>
        <w:tabs>
          <w:tab w:leader="none" w:pos="933" w:val="left"/>
        </w:tabs>
        <w:numPr>
          <w:ilvl w:val="0"/>
          <w:numId w:val="36"/>
        </w:numPr>
        <w:rPr>
          <w:rFonts w:ascii="Calibri" w:cs="Calibri" w:eastAsia="Calibri" w:hAnsi="Calibri"/>
          <w:sz w:val="19"/>
          <w:szCs w:val="19"/>
          <w:color w:val="252525"/>
        </w:rPr>
      </w:pPr>
      <w:r>
        <w:rPr>
          <w:rFonts w:ascii="Times New Roman" w:cs="Times New Roman" w:eastAsia="Times New Roman" w:hAnsi="Times New Roman"/>
          <w:sz w:val="17"/>
          <w:szCs w:val="17"/>
          <w:i w:val="1"/>
          <w:iCs w:val="1"/>
          <w:color w:val="auto"/>
        </w:rPr>
        <w:t xml:space="preserve">Incyte Corporation (Incyte). </w:t>
      </w:r>
      <w:r>
        <w:rPr>
          <w:rFonts w:ascii="Times New Roman" w:cs="Times New Roman" w:eastAsia="Times New Roman" w:hAnsi="Times New Roman"/>
          <w:sz w:val="17"/>
          <w:szCs w:val="17"/>
          <w:color w:val="auto"/>
        </w:rPr>
        <w:t>We have an exclusive global collaboration and license agreement with Incyte for retifanlimab, an investigational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monoclonal antibody that inhibits PD-1 (Incyte License Agreement). Under this agreement, as amended, Incyte has obtained exclusive worldwide rights for the development and commercialization of retifanlimab in all indications, while we retain the right to develop our pipeline assets in combination with retifanlimab. We received an upfront payment of $150.0 million and milestone payments totaling $215.0 million from Incyte through December 31, 2024, including $100.0 million received in August 2024</w:t>
      </w:r>
      <w:r>
        <w:rPr>
          <w:rFonts w:ascii="Calibri" w:cs="Calibri" w:eastAsia="Calibri" w:hAnsi="Calibri"/>
          <w:sz w:val="20"/>
          <w:szCs w:val="20"/>
          <w:color w:val="008080"/>
        </w:rPr>
        <w:t>.</w:t>
      </w:r>
      <w:r>
        <w:rPr>
          <w:rFonts w:ascii="Times New Roman" w:cs="Times New Roman" w:eastAsia="Times New Roman" w:hAnsi="Times New Roman"/>
          <w:sz w:val="17"/>
          <w:szCs w:val="17"/>
          <w:color w:val="auto"/>
        </w:rPr>
        <w:t xml:space="preserve"> We are eligible to receive up to an additional $210.0 million in development and regulatory milestones and $330.0 million in commercial milestones. We receive tiered royalties of 15% to 24% on any global net sales and we have the option to co-promote retifanlimab with Incyte. We retain the right to develop our pipeline assets in combination with retifanlimab, with Incyte commercializing retifanlimab and us commercializing our asset(s), if any such potential combinations are approved. We also have an agreement with Incyte under which we performed development and manufacturing services for Incyte's clinical needs of retifanlimab (Incyte Clinical Supply Agreement) and another agreement under which we are entitled to manufacture a portion of Incyte’s global commercial supply of retifanlimab (Incyte Commercial Supply Agreement).</w:t>
      </w:r>
    </w:p>
    <w:p>
      <w:pPr>
        <w:spacing w:after="0" w:line="77" w:lineRule="exact"/>
        <w:rPr>
          <w:rFonts w:ascii="Calibri" w:cs="Calibri" w:eastAsia="Calibri" w:hAnsi="Calibri"/>
          <w:sz w:val="19"/>
          <w:szCs w:val="19"/>
          <w:color w:val="252525"/>
        </w:rPr>
      </w:pPr>
    </w:p>
    <w:p>
      <w:pPr>
        <w:ind w:left="940" w:right="100" w:hanging="311"/>
        <w:spacing w:after="0" w:line="255" w:lineRule="auto"/>
        <w:tabs>
          <w:tab w:leader="none" w:pos="933" w:val="left"/>
        </w:tabs>
        <w:numPr>
          <w:ilvl w:val="0"/>
          <w:numId w:val="36"/>
        </w:numPr>
        <w:rPr>
          <w:rFonts w:ascii="Calibri" w:cs="Calibri" w:eastAsia="Calibri" w:hAnsi="Calibri"/>
          <w:sz w:val="19"/>
          <w:szCs w:val="19"/>
          <w:color w:val="auto"/>
        </w:rPr>
      </w:pPr>
      <w:r>
        <w:rPr>
          <w:rFonts w:ascii="Times New Roman" w:cs="Times New Roman" w:eastAsia="Times New Roman" w:hAnsi="Times New Roman"/>
          <w:sz w:val="17"/>
          <w:szCs w:val="17"/>
          <w:i w:val="1"/>
          <w:iCs w:val="1"/>
          <w:color w:val="auto"/>
        </w:rPr>
        <w:t>Gilead</w:t>
      </w:r>
      <w:r>
        <w:rPr>
          <w:rFonts w:ascii="Times New Roman" w:cs="Times New Roman" w:eastAsia="Times New Roman" w:hAnsi="Times New Roman"/>
          <w:sz w:val="17"/>
          <w:szCs w:val="17"/>
          <w:color w:val="auto"/>
        </w:rPr>
        <w:t>. In October 2022, we and Gilead entered into an exclusive option and collaboration agreement (Gilead Agreement) to develop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commercialize MGD024 and create bispecific cancer antibodies using our DART platform and undertake their early development under a maximum of two separate bispecific cancer target research programs. Under the Gilead Agreement, we will continue the ongoing phase 1 trial for MGD024 according to a development plan, during which Gilead will have the right to exercise an option granted to Gilead to obtain an exclusive license to develop and commercialize MGD024 and other bispecific antibodies of ours that bind CD123 and CD3 (CD123 Option). The agreement also granted Gilead the right, within its first two years, to nominate a bispecific cancer target set for up to two research programs conducted by us and to exercise separate options to obtain an exclusive license for the development, commercialization and exploitation of molecules created under each research program (Research Program Option). As part of the Gilead Agreement, Gilead paid us a non-refundable upfront payment of</w:t>
      </w:r>
    </w:p>
    <w:p>
      <w:pPr>
        <w:ind w:left="940" w:right="100"/>
        <w:spacing w:after="0" w:line="262" w:lineRule="auto"/>
        <w:rPr>
          <w:rFonts w:ascii="Calibri" w:cs="Calibri" w:eastAsia="Calibri" w:hAnsi="Calibri"/>
          <w:sz w:val="19"/>
          <w:szCs w:val="19"/>
          <w:color w:val="auto"/>
        </w:rPr>
      </w:pPr>
      <w:r>
        <w:rPr>
          <w:rFonts w:ascii="Times New Roman" w:cs="Times New Roman" w:eastAsia="Times New Roman" w:hAnsi="Times New Roman"/>
          <w:sz w:val="17"/>
          <w:szCs w:val="17"/>
          <w:color w:val="auto"/>
        </w:rPr>
        <w:t>$60.0 million and we will be eligible to receive up to $1.7 billion in target nomination, option fees, and development, regulatory and commercial milestones, assuming Gilead exercises the CD123 Option and Research Program Option, successfully develops and commercializes MGD024 or other CD123 products developed under the agreement, and products result from the two additional research programs. Assuming exercise of the CD123 Option, we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 In 2023, Gilead nominated the first of the two research programs contemplated in the Gilead Agreement</w:t>
      </w:r>
    </w:p>
    <w:p>
      <w:pPr>
        <w:spacing w:after="0" w:line="3" w:lineRule="exact"/>
        <w:rPr>
          <w:rFonts w:ascii="Calibri" w:cs="Calibri" w:eastAsia="Calibri" w:hAnsi="Calibri"/>
          <w:sz w:val="19"/>
          <w:szCs w:val="19"/>
          <w:color w:val="auto"/>
        </w:rPr>
      </w:pPr>
    </w:p>
    <w:p>
      <w:pPr>
        <w:ind w:left="940" w:right="300"/>
        <w:spacing w:after="0" w:line="274" w:lineRule="auto"/>
        <w:rPr>
          <w:rFonts w:ascii="Calibri" w:cs="Calibri" w:eastAsia="Calibri" w:hAnsi="Calibri"/>
          <w:sz w:val="19"/>
          <w:szCs w:val="19"/>
          <w:color w:val="auto"/>
        </w:rPr>
      </w:pPr>
      <w:r>
        <w:rPr>
          <w:rFonts w:ascii="Times New Roman" w:cs="Times New Roman" w:eastAsia="Times New Roman" w:hAnsi="Times New Roman"/>
          <w:sz w:val="17"/>
          <w:szCs w:val="17"/>
          <w:color w:val="auto"/>
        </w:rPr>
        <w:t>(First Research Program) and paid us a $15.7 million nomination fee. We granted Gilead a research license, and the parties agreed on a research plan for the First Research Program under which we will provide research and development services. In January 2024, the parties amended the Gilead Agreement to revise certain matters related to intellectual property in the performance of the research plans under the agreement. In</w:t>
      </w: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63" w:name="page64"/>
    <w:bookmarkEnd w:id="63"/>
    <w:p>
      <w:pPr>
        <w:ind w:left="940" w:right="20"/>
        <w:spacing w:after="0" w:line="274" w:lineRule="auto"/>
        <w:rPr>
          <w:sz w:val="20"/>
          <w:szCs w:val="20"/>
          <w:color w:val="auto"/>
        </w:rPr>
      </w:pPr>
      <w:r>
        <w:rPr>
          <w:rFonts w:ascii="Times New Roman" w:cs="Times New Roman" w:eastAsia="Times New Roman" w:hAnsi="Times New Roman"/>
          <w:sz w:val="17"/>
          <w:szCs w:val="17"/>
          <w:color w:val="auto"/>
        </w:rPr>
        <w:t>June 2024, Gilead paid us variable consideration totaling $3.3 million upon achievement of a research plan milestone. On August 30, 2024, the parties entered into a second letter agreement under which Gilead will pay us to conduct certain research and which extends the period for Gilead to select its second research target combination.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Financial Operations Overview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Our revenue consists of the following:</w:t>
      </w:r>
    </w:p>
    <w:p>
      <w:pPr>
        <w:spacing w:after="0" w:line="169" w:lineRule="exact"/>
        <w:rPr>
          <w:sz w:val="20"/>
          <w:szCs w:val="20"/>
          <w:color w:val="auto"/>
        </w:rPr>
      </w:pPr>
    </w:p>
    <w:p>
      <w:pPr>
        <w:ind w:left="940" w:right="180" w:hanging="311"/>
        <w:spacing w:after="0" w:line="274" w:lineRule="auto"/>
        <w:tabs>
          <w:tab w:leader="none" w:pos="9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revenue from collaborative and other agreements which includes amounts recognized relating to upfront nonrefundable payments for licenses or options to obtain future licenses, amounts earned by performing development and manufacturing services, research and development funding and milestone payments earned under our collaboration and license agreements with our strategic collaborators;</w:t>
      </w:r>
    </w:p>
    <w:p>
      <w:pPr>
        <w:spacing w:after="0" w:line="111" w:lineRule="exact"/>
        <w:rPr>
          <w:rFonts w:ascii="Times New Roman" w:cs="Times New Roman" w:eastAsia="Times New Roman" w:hAnsi="Times New Roman"/>
          <w:sz w:val="17"/>
          <w:szCs w:val="17"/>
          <w:color w:val="auto"/>
        </w:rPr>
      </w:pPr>
    </w:p>
    <w:p>
      <w:pPr>
        <w:ind w:left="940" w:right="360" w:hanging="311"/>
        <w:spacing w:after="0" w:line="274" w:lineRule="auto"/>
        <w:tabs>
          <w:tab w:leader="none" w:pos="9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product sales, net which reflects sales of MARGENZA which was launched in 2021. Product revenue is recorded net of applicable reserves for variable consideration, including discounts and other allowances. In November 2024, we sold global rights to MARGENZA to TerSera Therapeutics, LLC (TerSera) for an upfront payment of $40.0 million;</w:t>
      </w:r>
    </w:p>
    <w:p>
      <w:pPr>
        <w:spacing w:after="0" w:line="111" w:lineRule="exact"/>
        <w:rPr>
          <w:rFonts w:ascii="Times New Roman" w:cs="Times New Roman" w:eastAsia="Times New Roman" w:hAnsi="Times New Roman"/>
          <w:sz w:val="17"/>
          <w:szCs w:val="17"/>
          <w:color w:val="auto"/>
        </w:rPr>
      </w:pPr>
    </w:p>
    <w:p>
      <w:pPr>
        <w:ind w:left="940" w:right="200" w:hanging="311"/>
        <w:spacing w:after="0" w:line="294" w:lineRule="auto"/>
        <w:tabs>
          <w:tab w:leader="none" w:pos="9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 manufacturing revenue which is earned from providing development and manufacturing services to third parties and manufacturing their drug substance; and</w:t>
      </w:r>
    </w:p>
    <w:p>
      <w:pPr>
        <w:spacing w:after="0" w:line="94" w:lineRule="exact"/>
        <w:rPr>
          <w:rFonts w:ascii="Times New Roman" w:cs="Times New Roman" w:eastAsia="Times New Roman" w:hAnsi="Times New Roman"/>
          <w:sz w:val="17"/>
          <w:szCs w:val="17"/>
          <w:color w:val="auto"/>
        </w:rPr>
      </w:pPr>
    </w:p>
    <w:p>
      <w:pPr>
        <w:ind w:left="940" w:right="300" w:hanging="311"/>
        <w:spacing w:after="0" w:line="274" w:lineRule="auto"/>
        <w:tabs>
          <w:tab w:leader="none" w:pos="935"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government agreements revenue which reflects amounts earned through grants and/or contracts with the U.S. government and other research institutions on behalf of the U.S. government, primarily with respect to research and development activities related to infectious disease product candidates.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Product Sales</w:t>
      </w:r>
    </w:p>
    <w:p>
      <w:pPr>
        <w:spacing w:after="0" w:line="173" w:lineRule="exact"/>
        <w:rPr>
          <w:sz w:val="20"/>
          <w:szCs w:val="20"/>
          <w:color w:val="auto"/>
        </w:rPr>
      </w:pPr>
    </w:p>
    <w:p>
      <w:pPr>
        <w:ind w:right="180" w:firstLine="625"/>
        <w:spacing w:after="0" w:line="268" w:lineRule="auto"/>
        <w:rPr>
          <w:sz w:val="20"/>
          <w:szCs w:val="20"/>
          <w:color w:val="auto"/>
        </w:rPr>
      </w:pPr>
      <w:r>
        <w:rPr>
          <w:rFonts w:ascii="Times New Roman" w:cs="Times New Roman" w:eastAsia="Times New Roman" w:hAnsi="Times New Roman"/>
          <w:sz w:val="17"/>
          <w:szCs w:val="17"/>
          <w:color w:val="auto"/>
        </w:rPr>
        <w:t>Cost of product sales relates to sales of MARGENZA. These costs include materials and manufacturing costs, as well as royalties payable on net sales of MARGENZA and inventory reserves. All product costs incurred prior to FDA approval of MARGENZA in December 2020 were expensed as research and development expense. As a result, cost of product sales was positively impacted as we sold through inventory that was expensed prior to FDA approval of MARGENZA. In November 2024, we sold global rights to MARGENZA to TerSera.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Manufacturing Services</w:t>
      </w:r>
    </w:p>
    <w:p>
      <w:pPr>
        <w:spacing w:after="0" w:line="173" w:lineRule="exact"/>
        <w:rPr>
          <w:sz w:val="20"/>
          <w:szCs w:val="20"/>
          <w:color w:val="auto"/>
        </w:rPr>
      </w:pPr>
    </w:p>
    <w:p>
      <w:pPr>
        <w:ind w:right="100" w:firstLine="625"/>
        <w:spacing w:after="0" w:line="294" w:lineRule="auto"/>
        <w:rPr>
          <w:sz w:val="20"/>
          <w:szCs w:val="20"/>
          <w:color w:val="auto"/>
        </w:rPr>
      </w:pPr>
      <w:r>
        <w:rPr>
          <w:rFonts w:ascii="Times New Roman" w:cs="Times New Roman" w:eastAsia="Times New Roman" w:hAnsi="Times New Roman"/>
          <w:sz w:val="17"/>
          <w:szCs w:val="17"/>
          <w:color w:val="auto"/>
        </w:rPr>
        <w:t>Cost of manufacturing services consists of the costs to provide manufacturing services to produce certain bulk drug substance under manufacturing and clinical supply agreements with third parties, including salaries and benefits and related stock-based compensation, materials, overhead and other related costs.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w:t>
      </w:r>
    </w:p>
    <w:p>
      <w:pPr>
        <w:spacing w:after="0" w:line="173"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Research and development expense consists of expenses incurred in performing research and development activities. These expenses include conducting preclinical experiments and studies, clinical trials, manufacturing efforts and regulatory filings for all product candidates, and other indirect expenses in support of our research and development activities. We capture research and development expense on a program-by-program basis for our product candidates and recognize these expenses as they are incurred. The following are items we include in research and development expense:</w:t>
      </w:r>
    </w:p>
    <w:p>
      <w:pPr>
        <w:spacing w:after="0" w:line="117" w:lineRule="exact"/>
        <w:rPr>
          <w:sz w:val="20"/>
          <w:szCs w:val="20"/>
          <w:color w:val="auto"/>
        </w:rPr>
      </w:pPr>
    </w:p>
    <w:p>
      <w:pPr>
        <w:ind w:left="940" w:hanging="311"/>
        <w:spacing w:after="0"/>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expenses, such as salaries and benefits;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employee-related overhead expenses, such as facilities and other allocated items;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stock-based compensation expense to employees engaged in research and development activities;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depreciation of laboratory and manufacturing equipment, computers and leasehold improvements;</w:t>
      </w:r>
    </w:p>
    <w:p>
      <w:pPr>
        <w:spacing w:after="0" w:line="169" w:lineRule="exact"/>
        <w:rPr>
          <w:rFonts w:ascii="Times New Roman" w:cs="Times New Roman" w:eastAsia="Times New Roman" w:hAnsi="Times New Roman"/>
          <w:sz w:val="17"/>
          <w:szCs w:val="17"/>
          <w:color w:val="auto"/>
        </w:rPr>
      </w:pPr>
    </w:p>
    <w:p>
      <w:pPr>
        <w:ind w:left="940" w:right="520" w:hanging="311"/>
        <w:spacing w:after="0" w:line="274" w:lineRule="auto"/>
        <w:tabs>
          <w:tab w:leader="none" w:pos="93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fees paid to consultants, subcontractors, clinical research organizations (CROs) and other third party vendors for work performed under our preclinical and clinical trials including, but not limited to, investigator grants, laboratory work and analysis, database management, statistical analysis, and other items;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4" w:name="page65"/>
    <w:bookmarkEnd w:id="64"/>
    <w:p>
      <w:pPr>
        <w:ind w:left="940" w:hanging="311"/>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amounts paid to vendors and suppliers for laboratory supplies;</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internal and third party costs related to manufacturing clinical trial materials, including vialing, packaging and testing;</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license fees and other third party vendor payments related to in-licensed product candidates and technology; and</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compliance with regulatory requirements.</w:t>
      </w:r>
    </w:p>
    <w:p>
      <w:pPr>
        <w:spacing w:after="0" w:line="169"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color w:val="auto"/>
        </w:rPr>
        <w:t>It is difficult to determine with certainty the duration and completion costs of our current or future preclinical programs and clinical trials of our product candidates, or if, when or to what extent we will generate revenues from the commercialization and sale of any of our product candidates that obtain regulatory approval. The duration, costs and timing of clinical trials and development of our product candidates will depend on a variety of factors, including the uncertainties of future clinical trials and preclinical studies, uncertainties in clinical trial enrollment rates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w:t>
      </w:r>
    </w:p>
    <w:p>
      <w:pPr>
        <w:spacing w:after="0" w:line="173"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Selling, general and administrative expense consists of salaries and related benefit costs for employees in our executive, finance, legal and intellectual property, business development, human resources, information technology and other support functions. Selling, general and administrative expense also includes costs incurred under the arrangement with our commercialization partner, Eversana Life Science Services, LLC, and other legal and professional fees.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Sale of MARGENZA</w:t>
      </w:r>
    </w:p>
    <w:p>
      <w:pPr>
        <w:spacing w:after="0" w:line="173"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On October 17, 2024, we entered into an Asset Purchase and Sale Agreement (ASA) with TerSera, which closed in November 2024. Under the terms of the ASA, we sold the global rights to MARGENZA, inclusive of our business of researching, developing, commercializing, manufacturing, packaging, distributing, promoting, marketing and selling the MARGENZA product, as well as using and licensing the intellectual property relating to MARGENZA. In addition to MARGENZA’s intellectual property, TerSera also acquired all existing MARGENZA inventory. We recognized a gain of $36.3 million related to the ASA with TerSera during the year ended December 31, 2024.</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Accounting Estimates</w:t>
      </w:r>
    </w:p>
    <w:p>
      <w:pPr>
        <w:spacing w:after="0" w:line="171"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Our management's discussion and analysis of financial conditions and results of operations is based on our consolidated financial statements, which have been prepared in accordance with accounting principles generally accepted in the United States of America (GAAP). The preparation of these consolidated financial statements requires us to make estimates, judgments and assumptions that affect the reported amounts of assets and liabilities and disclosure of contingent assets and liabilities as of the date of the balance sheets and the reported amount of the revenue and expenses recorded during the reporting period. We base our estimates on historical experience and on various other assumptions that we believe to be reasonable. We review and evaluate these estimates on an on-going basis. These assumptions and estimates form the basis for making judgments about the carrying values of assets and liabilities and amounts that have been recorded as revenues and expenses. Actual results and experiences may differ from these estimates. We did not make any material changes to these assumptions during the year ended December 31, 2024, and do not expect any material changes in the near term to the underlying assumptions. If we were to adjust our assumptions, the results of any material revisions would be reflected in the consolidated financial statements prospectively from the date of the change in estimate. Management considers an accounting estimate to be critical if:</w:t>
      </w:r>
    </w:p>
    <w:p>
      <w:pPr>
        <w:spacing w:after="0" w:line="122" w:lineRule="exact"/>
        <w:rPr>
          <w:sz w:val="20"/>
          <w:szCs w:val="20"/>
          <w:color w:val="auto"/>
        </w:rPr>
      </w:pPr>
    </w:p>
    <w:p>
      <w:pPr>
        <w:ind w:left="940" w:hanging="311"/>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requires a significant level of estimation uncertainty; and</w:t>
      </w:r>
    </w:p>
    <w:p>
      <w:pPr>
        <w:spacing w:after="0" w:line="64"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estimate are reasonably likely to have a material effect on our financial condition or results of operations.</w:t>
      </w:r>
    </w:p>
    <w:p>
      <w:pPr>
        <w:spacing w:after="0" w:line="169"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While a summary of significant accounting policies is described fully in Note 2 in our consolidated financial statements, we believe that the following accounting policies are the most critical to assist you in fully understanding and evaluating our financial results and the effect of the estimates and judgments we used in preparing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71" w:lineRule="exact"/>
        <w:rPr>
          <w:sz w:val="20"/>
          <w:szCs w:val="20"/>
          <w:color w:val="auto"/>
        </w:rPr>
      </w:pPr>
    </w:p>
    <w:p>
      <w:pPr>
        <w:ind w:right="40" w:firstLine="625"/>
        <w:spacing w:after="0" w:line="264" w:lineRule="auto"/>
        <w:rPr>
          <w:sz w:val="20"/>
          <w:szCs w:val="20"/>
          <w:color w:val="auto"/>
        </w:rPr>
      </w:pPr>
      <w:r>
        <w:rPr>
          <w:rFonts w:ascii="Times New Roman" w:cs="Times New Roman" w:eastAsia="Times New Roman" w:hAnsi="Times New Roman"/>
          <w:sz w:val="17"/>
          <w:szCs w:val="17"/>
          <w:color w:val="auto"/>
        </w:rPr>
        <w:t xml:space="preserve">We recognize revenue under Accounting Standards Codification (ASC) Topic 606, </w:t>
      </w:r>
      <w:r>
        <w:rPr>
          <w:rFonts w:ascii="Times New Roman" w:cs="Times New Roman" w:eastAsia="Times New Roman" w:hAnsi="Times New Roman"/>
          <w:sz w:val="17"/>
          <w:szCs w:val="17"/>
          <w:i w:val="1"/>
          <w:iCs w:val="1"/>
          <w:color w:val="auto"/>
        </w:rPr>
        <w:t>Revenue from Contracts with Customer</w:t>
      </w:r>
      <w:r>
        <w:rPr>
          <w:rFonts w:ascii="Times New Roman" w:cs="Times New Roman" w:eastAsia="Times New Roman" w:hAnsi="Times New Roman"/>
          <w:sz w:val="17"/>
          <w:szCs w:val="17"/>
          <w:color w:val="auto"/>
        </w:rPr>
        <w:t>s, (ASC 606) when our customer obtains control of promised goods or services, in an amount that reflects the consideration which we expect to receive in exchange for those goods or services. To determine revenue recognition for arrangements that we determine are within the scope of ASC 606, management performs the following five steps:</w:t>
      </w:r>
    </w:p>
    <w:p>
      <w:pPr>
        <w:ind w:right="300" w:firstLine="4"/>
        <w:spacing w:after="0" w:line="263" w:lineRule="auto"/>
        <w:tabs>
          <w:tab w:leader="none" w:pos="207"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identify the contract(s) with a customer; (ii) identify the performance obligations in the contract; (iii) determine the transaction price; (iv) allocate the transaction price to the performance obligations in the contract; and (v) recognize revenue when (or as) we satisfy a performance obligation. We recognize as revenue the amount of the transaction price that is allocated to the respective performance obligation when (or as) the performance obligation is satisfied.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Collaborative and Other Agreements</w:t>
      </w:r>
    </w:p>
    <w:p>
      <w:pPr>
        <w:spacing w:after="0" w:line="171" w:lineRule="exact"/>
        <w:rPr>
          <w:sz w:val="20"/>
          <w:szCs w:val="20"/>
          <w:color w:val="auto"/>
        </w:rPr>
      </w:pPr>
    </w:p>
    <w:p>
      <w:pPr>
        <w:ind w:right="300" w:firstLine="625"/>
        <w:spacing w:after="0" w:line="268" w:lineRule="auto"/>
        <w:rPr>
          <w:sz w:val="20"/>
          <w:szCs w:val="20"/>
          <w:color w:val="auto"/>
        </w:rPr>
      </w:pPr>
      <w:r>
        <w:rPr>
          <w:rFonts w:ascii="Times New Roman" w:cs="Times New Roman" w:eastAsia="Times New Roman" w:hAnsi="Times New Roman"/>
          <w:sz w:val="17"/>
          <w:szCs w:val="17"/>
          <w:color w:val="auto"/>
        </w:rPr>
        <w:t>We enter into licensing agreements that are within the scope of ASC 606, under which we may license rights to research, develop, manufacture and commercialize our product candidates to third parties. The terms of these arrangements typically include payment to us of one or more of the following: non-refundable, upfront license fees; reimbursement of certain costs; customer option exercise fees; development, regulatory and commercial milestone payments; and royalties on net sales of licensed products. We may also enter into development and manufacturing service agreements with our collaborators.</w:t>
      </w:r>
    </w:p>
    <w:p>
      <w:pPr>
        <w:spacing w:after="0" w:line="117" w:lineRule="exact"/>
        <w:rPr>
          <w:sz w:val="20"/>
          <w:szCs w:val="20"/>
          <w:color w:val="auto"/>
        </w:rPr>
      </w:pPr>
    </w:p>
    <w:p>
      <w:pPr>
        <w:ind w:right="160" w:firstLine="625"/>
        <w:spacing w:after="0" w:line="262" w:lineRule="auto"/>
        <w:rPr>
          <w:sz w:val="20"/>
          <w:szCs w:val="20"/>
          <w:color w:val="auto"/>
        </w:rPr>
      </w:pPr>
      <w:r>
        <w:rPr>
          <w:rFonts w:ascii="Times New Roman" w:cs="Times New Roman" w:eastAsia="Times New Roman" w:hAnsi="Times New Roman"/>
          <w:sz w:val="17"/>
          <w:szCs w:val="17"/>
          <w:color w:val="auto"/>
        </w:rPr>
        <w:t>For each arrangement that results in revenues, we identify all performance obligations, which may include a license to intellectual property and know-how, research and development activities, transition activities and/or manufacturing services. In order to determine the transaction price, in addition to any upfront payment, management estimates the amount of variable consideration at the outset of the contract either utilizing the expected value or most likely amount method, depending on the facts and circumstances relative to the contract. We constrain (reduce) the estimates of variable consideration such that it is probable that a significant reversal of previously recognized revenue will not occur. When determining if variable consideration should be constrained, management considers whether there are factors outside our control that could result in a significant reversal of revenue. In making these assessments, management considers the likelihood and magnitude of a potential reversal of revenue. These estimates are re-assessed each reporting period as required.</w:t>
      </w:r>
    </w:p>
    <w:p>
      <w:pPr>
        <w:spacing w:after="0" w:line="121" w:lineRule="exact"/>
        <w:rPr>
          <w:sz w:val="20"/>
          <w:szCs w:val="20"/>
          <w:color w:val="auto"/>
        </w:rPr>
      </w:pPr>
    </w:p>
    <w:p>
      <w:pPr>
        <w:ind w:right="20" w:firstLine="625"/>
        <w:spacing w:after="0" w:line="262" w:lineRule="auto"/>
        <w:rPr>
          <w:sz w:val="20"/>
          <w:szCs w:val="20"/>
          <w:color w:val="auto"/>
        </w:rPr>
      </w:pPr>
      <w:r>
        <w:rPr>
          <w:rFonts w:ascii="Times New Roman" w:cs="Times New Roman" w:eastAsia="Times New Roman" w:hAnsi="Times New Roman"/>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We must develop assumptions that require judgment to determine the standalone selling price in order to account for these agreements. To determine the standalone selling price, management’s assumptions may include (i) the probability of obtaining marketing approval for the product candidate, (ii) estimates regarding the timing and the expected costs to develop and commercialize the product candidate, and (iii) estimates of future cash flows from potential product sales with respect to the product candidate. Standalone selling prices used to perform the initial allocation are not updated after contract inception. We do not include a financing component to its estimated transaction price at contract inception unless we estimate that certain performance obligations will not be satisfied within one year.</w:t>
      </w:r>
    </w:p>
    <w:p>
      <w:pPr>
        <w:spacing w:after="0" w:line="121" w:lineRule="exact"/>
        <w:rPr>
          <w:sz w:val="20"/>
          <w:szCs w:val="20"/>
          <w:color w:val="auto"/>
        </w:rPr>
      </w:pPr>
    </w:p>
    <w:p>
      <w:pPr>
        <w:jc w:val="both"/>
        <w:ind w:right="80" w:firstLine="625"/>
        <w:spacing w:after="0" w:line="274" w:lineRule="auto"/>
        <w:rPr>
          <w:sz w:val="20"/>
          <w:szCs w:val="20"/>
          <w:color w:val="auto"/>
        </w:rPr>
      </w:pPr>
      <w:r>
        <w:rPr>
          <w:rFonts w:ascii="Times New Roman" w:cs="Times New Roman" w:eastAsia="Times New Roman" w:hAnsi="Times New Roman"/>
          <w:sz w:val="17"/>
          <w:szCs w:val="17"/>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62"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Licenses. </w:t>
      </w:r>
      <w:r>
        <w:rPr>
          <w:rFonts w:ascii="Times New Roman" w:cs="Times New Roman" w:eastAsia="Times New Roman" w:hAnsi="Times New Roman"/>
          <w:sz w:val="17"/>
          <w:szCs w:val="17"/>
          <w:color w:val="252525"/>
        </w:rPr>
        <w:t>When we grant a license to our intellectual property, we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 whether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252525"/>
        </w:rPr>
        <w:t>nature of the intellectual property to which the customer will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252525"/>
        </w:rPr>
        <w:t xml:space="preserve">have rights is functional intellectual property (functional IP), which has significant standalone functionality, or symbolic intellectual property (symbolic IP) which does not have significant standalone functionality. Revenue from functional IP is recognized at the point in time when control of the distinct license is transferred to the customer. Revenue from symbolic IP is recognized over the access period to our intellectual property. </w:t>
      </w:r>
      <w:r>
        <w:rPr>
          <w:rFonts w:ascii="Times New Roman" w:cs="Times New Roman" w:eastAsia="Times New Roman" w:hAnsi="Times New Roman"/>
          <w:sz w:val="17"/>
          <w:szCs w:val="17"/>
          <w:color w:val="000000"/>
        </w:rPr>
        <w:t>If the license to our intellectual property</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is determined to be distinct from the other promises or performance obligations identified in the arrangement, we recognize revenue from non-refundable, upfront fees allocated to the license when the license is transferred to the customer and when (or as) the customer is able to use and benefit from the license. In assessing whether a promise or performance obligation is distinct from the other promises, we consider factors such as the research, development, manufacturing and commercialization capabilities of the licensee and the availability of the associated expertise in the general marketplace. In addition, we consider whether the licensee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management utilizes judgment to assess the nature of the combined performance obligation to determine whether the combined performance obligation is satisfied over time or at a point in time and, if over time, the appropriate method of measuring progress for purposes of recognizing revenue. We evaluate the measure</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47" w:right="359" w:bottom="1440" w:gutter="0" w:footer="0" w:header="0"/>
        </w:sectPr>
      </w:pPr>
    </w:p>
    <w:bookmarkStart w:id="66" w:name="page67"/>
    <w:bookmarkEnd w:id="66"/>
    <w:p>
      <w:pPr>
        <w:ind w:right="80"/>
        <w:spacing w:after="0" w:line="274" w:lineRule="auto"/>
        <w:rPr>
          <w:sz w:val="20"/>
          <w:szCs w:val="20"/>
          <w:color w:val="auto"/>
        </w:rPr>
      </w:pPr>
      <w:r>
        <w:rPr>
          <w:rFonts w:ascii="Times New Roman" w:cs="Times New Roman" w:eastAsia="Times New Roman" w:hAnsi="Times New Roman"/>
          <w:sz w:val="17"/>
          <w:szCs w:val="17"/>
          <w:color w:val="auto"/>
        </w:rPr>
        <w:t>of progress each reporting period and, if necessary, adjust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we record in future periods.</w:t>
      </w:r>
    </w:p>
    <w:p>
      <w:pPr>
        <w:spacing w:after="0" w:line="110"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Research, Development and/or Manufacturing Services. </w:t>
      </w:r>
      <w:r>
        <w:rPr>
          <w:rFonts w:ascii="Times New Roman" w:cs="Times New Roman" w:eastAsia="Times New Roman" w:hAnsi="Times New Roman"/>
          <w:sz w:val="17"/>
          <w:szCs w:val="17"/>
          <w:color w:val="auto"/>
        </w:rPr>
        <w:t>The promises under our agreements may include research and development or manufacturing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to be performed by us on behalf of the counterparty. If these services are determined to be distinct from the other promises or performance obligations identified in the arrangement, we recognize the transaction price allocated to these services as revenue over time based on an appropriate measure of progress when the performance by us does not create an asset with an alternative use and we have an enforceable right to payment for the performance completed to date. If these services are determined not to be distinct from the other promises or performance obligations identified in the arrangement, we recognize the transaction price allocated to the combined performance obligation as the related performance obligations are satisfied.</w:t>
      </w:r>
    </w:p>
    <w:p>
      <w:pPr>
        <w:spacing w:after="0" w:line="173" w:lineRule="exact"/>
        <w:rPr>
          <w:sz w:val="20"/>
          <w:szCs w:val="20"/>
          <w:color w:val="auto"/>
        </w:rPr>
      </w:pPr>
    </w:p>
    <w:p>
      <w:pPr>
        <w:ind w:right="60" w:firstLine="62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Customer Options. </w:t>
      </w:r>
      <w:r>
        <w:rPr>
          <w:rFonts w:ascii="Times New Roman" w:cs="Times New Roman" w:eastAsia="Times New Roman" w:hAnsi="Times New Roman"/>
          <w:sz w:val="17"/>
          <w:szCs w:val="17"/>
          <w:color w:val="auto"/>
        </w:rPr>
        <w:t>If an arrangement contains customer options, we evaluate whether the options are material rights because they allow the customer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acquire additional goods or services for free or at a discount. If the customer options are determined to represent a material right, the material right is recognized as a separate performance obligation at the outset of the arrangement. We allocate the transaction price to material rights based on the relative standalone selling price, which is determined using assumptions regarding estimated costs, discount rates, post-option development timeline, the probability of technical and regulatory success and the probability that the customer will exercise the option. Amounts allocated to a material right are not recognized as revenue until, at the earliest, the option is exercised or expires. If the options are deemed not to be a material right, they are excluded as performance obligations at the outset of the arrangement.</w:t>
      </w:r>
    </w:p>
    <w:p>
      <w:pPr>
        <w:spacing w:after="0" w:line="382" w:lineRule="exact"/>
        <w:rPr>
          <w:sz w:val="20"/>
          <w:szCs w:val="20"/>
          <w:color w:val="auto"/>
        </w:rPr>
      </w:pPr>
    </w:p>
    <w:p>
      <w:pPr>
        <w:ind w:right="100" w:firstLine="625"/>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Milestone Payments. </w:t>
      </w:r>
      <w:r>
        <w:rPr>
          <w:rFonts w:ascii="Times New Roman" w:cs="Times New Roman" w:eastAsia="Times New Roman" w:hAnsi="Times New Roman"/>
          <w:sz w:val="17"/>
          <w:szCs w:val="17"/>
          <w:color w:val="auto"/>
        </w:rPr>
        <w:t>At the inception of each arrangement that includes development milestone payments, management evaluates whether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our control or the licensee's control, such as regulatory approvals, are not considered probable of being achieved until those approvals are received. We evaluate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 period, management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383" w:lineRule="exact"/>
        <w:rPr>
          <w:sz w:val="20"/>
          <w:szCs w:val="20"/>
          <w:color w:val="auto"/>
        </w:rPr>
      </w:pPr>
    </w:p>
    <w:p>
      <w:pPr>
        <w:ind w:firstLine="625"/>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Royalties. </w:t>
      </w:r>
      <w:r>
        <w:rPr>
          <w:rFonts w:ascii="Times New Roman" w:cs="Times New Roman" w:eastAsia="Times New Roman" w:hAnsi="Times New Roman"/>
          <w:sz w:val="17"/>
          <w:szCs w:val="17"/>
          <w:color w:val="auto"/>
        </w:rPr>
        <w:t>For arrangements that include sales-based royalties which are the result of a customer-vendor relationship and for which the license is deemed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the predominant item to which the royalties relate, we recognize revenue at the later of (i) when the related sales occur, or (ii) when the performance obligation to which some or all of the royalty has been allocated has been satisfied or partially satisfied.</w:t>
      </w:r>
    </w:p>
    <w:p>
      <w:pPr>
        <w:spacing w:after="0" w:line="161" w:lineRule="exact"/>
        <w:rPr>
          <w:sz w:val="20"/>
          <w:szCs w:val="20"/>
          <w:color w:val="auto"/>
        </w:rPr>
      </w:pPr>
    </w:p>
    <w:p>
      <w:pPr>
        <w:ind w:right="40" w:firstLine="625"/>
        <w:spacing w:after="0" w:line="260" w:lineRule="auto"/>
        <w:rPr>
          <w:sz w:val="20"/>
          <w:szCs w:val="20"/>
          <w:color w:val="auto"/>
        </w:rPr>
      </w:pPr>
      <w:r>
        <w:rPr>
          <w:rFonts w:ascii="Times New Roman" w:cs="Times New Roman" w:eastAsia="Times New Roman" w:hAnsi="Times New Roman"/>
          <w:sz w:val="17"/>
          <w:szCs w:val="17"/>
          <w:color w:val="auto"/>
        </w:rPr>
        <w:t xml:space="preserve">We analyze our collaboration arrangements to assess whether such arrangements involve joint operating activities performed by parties who are both active participants in the activities and are both exposed to significant risks and rewards dependent on the commercial success of such activities. Such arrangements generally are within the scope of ASC 808,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xml:space="preserve"> (ASC 808). While ASC 808 defines collaborative arrangements and provides guidance on income statement presentation, classification, and disclosures related to such arrangements, it does not address recognition and measurement matters, such as (1) determining the appropriate unit of accounting or (2) when the recognition criteria are met. Therefore, the accounting for these arrangements is either based on an analogy to other accounting literature or an accounting policy election by management. We account for certain components of the collaboration agreement that are reflective of a vendor-customer relationship (e.g., licensing arrangement) based on ASC 606. We account for other components based on a reasonable, rational and consistently applied accounting policy election. Reimbursements from the counter-party that are the result of a collaborative relationship with the counter-party, instead of a customer relationship, such as co-development activities, are recorded as a reduction to research and development expense as the services are performed.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Sales, Net</w:t>
      </w:r>
    </w:p>
    <w:p>
      <w:pPr>
        <w:spacing w:after="0" w:line="171"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Prior to the sale of MARGENZA to TerSera in November 2024, we entered into a limited number of arrangements with specialty distributors in the United States to distribute MARGENZA. The delivery of our product represents a single performance obligation for these transactions and we record net product revenue when control is transferred to the customer, generally upon receipt by the customer. The transaction price for net product revenue represents the amount we expect to</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7" w:name="page68"/>
    <w:bookmarkEnd w:id="67"/>
    <w:p>
      <w:pPr>
        <w:spacing w:after="0" w:line="263" w:lineRule="auto"/>
        <w:rPr>
          <w:sz w:val="20"/>
          <w:szCs w:val="20"/>
          <w:color w:val="auto"/>
        </w:rPr>
      </w:pPr>
      <w:r>
        <w:rPr>
          <w:rFonts w:ascii="Times New Roman" w:cs="Times New Roman" w:eastAsia="Times New Roman" w:hAnsi="Times New Roman"/>
          <w:sz w:val="17"/>
          <w:szCs w:val="17"/>
          <w:color w:val="auto"/>
        </w:rPr>
        <w:t>receive, which is net of estimated government-mandated rebates and chargebacks, distribution fees, estimated product returns, and other deductions. Accruals are established for these deductions, and actual amounts incurred are offset against applicable accruals. Customer discounts are recorded as reductions of accounts receivable on the consolidated balance sheets. Allowance for product returns, provider chargebacks, government and other rebates and service fees are recorded as a component of accrued expenses and other current liabilities on the consolidated balance sheets. Sales deductions are based on management's estimates that consider payor mix in target markets and experience to-date. These estimates involve a substantial degree of judgment, in particular, for government-mandated rebates and chargebacks, such as for the Medicaid and 340B programs.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Manufacturing Revenue</w:t>
      </w:r>
    </w:p>
    <w:p>
      <w:pPr>
        <w:spacing w:after="0" w:line="171" w:lineRule="exact"/>
        <w:rPr>
          <w:sz w:val="20"/>
          <w:szCs w:val="20"/>
          <w:color w:val="auto"/>
        </w:rPr>
      </w:pPr>
    </w:p>
    <w:p>
      <w:pPr>
        <w:ind w:right="40" w:firstLine="625"/>
        <w:spacing w:after="0" w:line="279" w:lineRule="auto"/>
        <w:rPr>
          <w:sz w:val="20"/>
          <w:szCs w:val="20"/>
          <w:color w:val="auto"/>
        </w:rPr>
      </w:pPr>
      <w:r>
        <w:rPr>
          <w:rFonts w:ascii="Times New Roman" w:cs="Times New Roman" w:eastAsia="Times New Roman" w:hAnsi="Times New Roman"/>
          <w:sz w:val="17"/>
          <w:szCs w:val="17"/>
          <w:color w:val="auto"/>
        </w:rPr>
        <w:t>We enter into agreements with third parties to manufacture their drug substance at our Good Manufacturing Practice (GMP) facility. The terms of these arrangements can include an upfront payment to us to reserve manufacturing capacity, scheduled payments during the manufacturing process and reimbursement</w:t>
      </w:r>
    </w:p>
    <w:p>
      <w:pPr>
        <w:spacing w:after="0" w:line="1" w:lineRule="exact"/>
        <w:rPr>
          <w:sz w:val="20"/>
          <w:szCs w:val="20"/>
          <w:color w:val="auto"/>
        </w:rPr>
      </w:pPr>
    </w:p>
    <w:p>
      <w:pPr>
        <w:jc w:val="both"/>
        <w:ind w:right="220"/>
        <w:spacing w:after="0" w:line="268" w:lineRule="auto"/>
        <w:rPr>
          <w:sz w:val="20"/>
          <w:szCs w:val="20"/>
          <w:color w:val="auto"/>
        </w:rPr>
      </w:pPr>
      <w:r>
        <w:rPr>
          <w:rFonts w:ascii="Times New Roman" w:cs="Times New Roman" w:eastAsia="Times New Roman" w:hAnsi="Times New Roman"/>
          <w:sz w:val="17"/>
          <w:szCs w:val="17"/>
          <w:color w:val="auto"/>
        </w:rPr>
        <w:t>for materials used to manufacture product. We recognize revenue over time on a straight-line basis as the manufacturing services are performed, as we believe that our efforts in providing the manufacturing services are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are allocated to the related manufacturing activities and are recognized as revenue as those activities occur.</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 Including Clinical Trial Accruals/Expenses</w:t>
      </w:r>
    </w:p>
    <w:p>
      <w:pPr>
        <w:spacing w:after="0" w:line="173"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Research and development expense consists of costs we incur for our own research and development activities and costs incurred by our collaborators under cost sharing arrangements. Research and development costs consist of salaries and benefits, including related stock-based compensation, laboratory supplies and facility costs, as well as fees paid to other entities that conduct certain research and development activities on our behalf, such as CROs, and the cost of acquiring and manufacturing clinical trial materials, including costs incurred under agreements with contract manufacturing organizations (CMOs). Research and development costs are expensed as incurred. We receive estimates from our collaborators when we are sharing development expenses, and use these estimates to record an increase or decrease in research and development expense, depending on how much we have each spent during the period.</w:t>
      </w:r>
    </w:p>
    <w:p>
      <w:pPr>
        <w:spacing w:after="0" w:line="121" w:lineRule="exact"/>
        <w:rPr>
          <w:sz w:val="20"/>
          <w:szCs w:val="20"/>
          <w:color w:val="auto"/>
        </w:rPr>
      </w:pPr>
    </w:p>
    <w:p>
      <w:pPr>
        <w:ind w:right="80" w:firstLine="625"/>
        <w:spacing w:after="0" w:line="259" w:lineRule="auto"/>
        <w:rPr>
          <w:sz w:val="20"/>
          <w:szCs w:val="20"/>
          <w:color w:val="auto"/>
        </w:rPr>
      </w:pPr>
      <w:r>
        <w:rPr>
          <w:rFonts w:ascii="Times New Roman" w:cs="Times New Roman" w:eastAsia="Times New Roman" w:hAnsi="Times New Roman"/>
          <w:sz w:val="17"/>
          <w:szCs w:val="17"/>
          <w:color w:val="auto"/>
        </w:rPr>
        <w:t>Clinical trial expenses are a significant component of research and development expense, and we outsource a significant portion of these costs to third parties. Third party clinical trial expenses include investigator fees, site and patient costs, CRO costs, costs for central laboratory testing, data management and CMO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consolidated balance sheets as a prepaid asset or accrued expenses. These third-party agreements are generally cancelable, and related costs are recorded as research and development expense as incurred.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we analyze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73"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See Note 2, Summary of Significant Accounting Policies, to the consolidated financial statements for information under the caption "Recent Accounting Pronouncements."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3" w:right="3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represents a comparison of our revenue for the years ended December 31, 2024 and 2023 (dollars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25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4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040" w:type="dxa"/>
            <w:vAlign w:val="bottom"/>
            <w:tcBorders>
              <w:bottom w:val="single" w:sz="8" w:color="auto"/>
            </w:tcBorders>
            <w:gridSpan w:val="3"/>
          </w:tcPr>
          <w:p>
            <w:pPr>
              <w:ind w:left="400"/>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680" w:type="dxa"/>
            <w:vAlign w:val="bottom"/>
            <w:tcBorders>
              <w:bottom w:val="single" w:sz="8" w:color="auto"/>
            </w:tcBorders>
          </w:tcPr>
          <w:p>
            <w:pPr>
              <w:spacing w:after="0"/>
              <w:rPr>
                <w:sz w:val="19"/>
                <w:szCs w:val="19"/>
                <w:color w:val="auto"/>
              </w:rPr>
            </w:pPr>
          </w:p>
        </w:tc>
      </w:tr>
      <w:tr>
        <w:trPr>
          <w:trHeight w:val="214"/>
        </w:trPr>
        <w:tc>
          <w:tcPr>
            <w:tcW w:w="4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940" w:type="dxa"/>
            <w:vAlign w:val="bottom"/>
            <w:tcBorders>
              <w:bottom w:val="single" w:sz="8" w:color="CCEEFF"/>
            </w:tcBorders>
          </w:tcPr>
          <w:p>
            <w:pPr>
              <w:spacing w:after="0"/>
              <w:rPr>
                <w:sz w:val="18"/>
                <w:szCs w:val="18"/>
                <w:color w:val="auto"/>
              </w:rPr>
            </w:pPr>
          </w:p>
        </w:tc>
        <w:tc>
          <w:tcPr>
            <w:tcW w:w="680" w:type="dxa"/>
            <w:vAlign w:val="bottom"/>
            <w:tcBorders>
              <w:bottom w:val="single" w:sz="8" w:color="CCEEFF"/>
            </w:tcBorders>
          </w:tcPr>
          <w:p>
            <w:pPr>
              <w:spacing w:after="0"/>
              <w:rPr>
                <w:sz w:val="18"/>
                <w:szCs w:val="18"/>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Collaborative and other agreements</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118.9</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89.5</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304 %</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sales, net</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r>
      <w:tr>
        <w:trPr>
          <w:trHeight w:val="22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Contract manufacturing</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1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34 %</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Government agreements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40" w:type="dxa"/>
            <w:vAlign w:val="bottom"/>
            <w:gridSpan w:val="3"/>
          </w:tcPr>
          <w:p>
            <w:pPr>
              <w:jc w:val="right"/>
              <w:ind w:right="11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 %</w:t>
            </w:r>
          </w:p>
        </w:tc>
      </w:tr>
      <w:tr>
        <w:trPr>
          <w:trHeight w:val="239"/>
        </w:trPr>
        <w:tc>
          <w:tcPr>
            <w:tcW w:w="4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w:t>
            </w:r>
          </w:p>
        </w:tc>
        <w:tc>
          <w:tcPr>
            <w:tcW w:w="940" w:type="dxa"/>
            <w:vAlign w:val="bottom"/>
            <w:tcBorders>
              <w:top w:val="single" w:sz="8" w:color="auto"/>
              <w:bottom w:val="single" w:sz="8" w:color="auto"/>
            </w:tcBorders>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auto"/>
            </w:tcBorders>
            <w:shd w:val="clear" w:color="auto" w:fill="CCEEFF"/>
          </w:tcPr>
          <w:p>
            <w:pPr>
              <w:jc w:val="right"/>
              <w:ind w:right="81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auto"/>
              <w:bottom w:val="single" w:sz="8" w:color="auto"/>
            </w:tcBorders>
            <w:shd w:val="clear" w:color="auto" w:fill="CCEEFF"/>
          </w:tcPr>
          <w:p>
            <w:pPr>
              <w:spacing w:after="0"/>
              <w:rPr>
                <w:sz w:val="20"/>
                <w:szCs w:val="20"/>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156 %</w:t>
            </w: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bl>
    <w:p>
      <w:pPr>
        <w:spacing w:after="0" w:line="177" w:lineRule="exact"/>
        <w:rPr>
          <w:sz w:val="20"/>
          <w:szCs w:val="20"/>
          <w:color w:val="auto"/>
        </w:rPr>
      </w:pPr>
    </w:p>
    <w:p>
      <w:pPr>
        <w:jc w:val="both"/>
        <w:ind w:right="220" w:firstLine="625"/>
        <w:spacing w:after="0" w:line="294" w:lineRule="auto"/>
        <w:rPr>
          <w:sz w:val="20"/>
          <w:szCs w:val="20"/>
          <w:color w:val="auto"/>
        </w:rPr>
      </w:pPr>
      <w:r>
        <w:rPr>
          <w:rFonts w:ascii="Times New Roman" w:cs="Times New Roman" w:eastAsia="Times New Roman" w:hAnsi="Times New Roman"/>
          <w:sz w:val="17"/>
          <w:szCs w:val="17"/>
          <w:color w:val="auto"/>
        </w:rPr>
        <w:t>The increase of $89.5 million in revenue from collaborative and other agreements for the year ended December 31, 2024 compared to the year ended December 31, 2023 was primarily due to a net increase of $85.0 million in revenue recognized from milestones achieved under the Incyte License Agreement.</w:t>
      </w:r>
    </w:p>
    <w:p>
      <w:pPr>
        <w:spacing w:after="0" w:line="94" w:lineRule="exact"/>
        <w:rPr>
          <w:sz w:val="20"/>
          <w:szCs w:val="20"/>
          <w:color w:val="auto"/>
        </w:rPr>
      </w:pPr>
    </w:p>
    <w:p>
      <w:pPr>
        <w:jc w:val="both"/>
        <w:ind w:right="260" w:firstLine="625"/>
        <w:spacing w:after="0" w:line="294" w:lineRule="auto"/>
        <w:rPr>
          <w:sz w:val="20"/>
          <w:szCs w:val="20"/>
          <w:color w:val="auto"/>
        </w:rPr>
      </w:pPr>
      <w:r>
        <w:rPr>
          <w:rFonts w:ascii="Times New Roman" w:cs="Times New Roman" w:eastAsia="Times New Roman" w:hAnsi="Times New Roman"/>
          <w:sz w:val="17"/>
          <w:szCs w:val="17"/>
          <w:color w:val="auto"/>
        </w:rPr>
        <w:t>Revenue from collaborative and other agreements may vary substantially from period to period depending on the progress made by our collaborators with their product candidates and the timing of milestones achieved under current agreements, and whether we enter into additional collaboration agreements.</w:t>
      </w:r>
    </w:p>
    <w:p>
      <w:pPr>
        <w:spacing w:after="0" w:line="94" w:lineRule="exact"/>
        <w:rPr>
          <w:sz w:val="20"/>
          <w:szCs w:val="20"/>
          <w:color w:val="auto"/>
        </w:rPr>
      </w:pPr>
    </w:p>
    <w:p>
      <w:pPr>
        <w:jc w:val="both"/>
        <w:ind w:right="60" w:firstLine="625"/>
        <w:spacing w:after="0" w:line="274" w:lineRule="auto"/>
        <w:rPr>
          <w:sz w:val="20"/>
          <w:szCs w:val="20"/>
          <w:color w:val="auto"/>
        </w:rPr>
      </w:pPr>
      <w:r>
        <w:rPr>
          <w:rFonts w:ascii="Times New Roman" w:cs="Times New Roman" w:eastAsia="Times New Roman" w:hAnsi="Times New Roman"/>
          <w:sz w:val="17"/>
          <w:szCs w:val="17"/>
          <w:color w:val="auto"/>
        </w:rPr>
        <w:t>The decrease in product sales, net is due to the fact that we sold the global rights to MARGENZA to TerSera in November 2024. Revenue from product sales is recorded net of applicable provisions for rebates, chargebacks and discounts, distribution-related fees and other sales-related deductions. The table below includes a reconciliation of the accounts associated with these deductions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580" w:type="dxa"/>
            <w:vAlign w:val="bottom"/>
          </w:tcPr>
          <w:p>
            <w:pPr>
              <w:spacing w:after="0"/>
              <w:rPr>
                <w:sz w:val="17"/>
                <w:szCs w:val="17"/>
                <w:color w:val="auto"/>
              </w:rPr>
            </w:pPr>
          </w:p>
        </w:tc>
        <w:tc>
          <w:tcPr>
            <w:tcW w:w="232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b w:val="1"/>
                <w:bCs w:val="1"/>
                <w:color w:val="auto"/>
              </w:rPr>
              <w:t>Rebates and chargebacks</w:t>
            </w:r>
          </w:p>
        </w:tc>
        <w:tc>
          <w:tcPr>
            <w:tcW w:w="2320" w:type="dxa"/>
            <w:vAlign w:val="bottom"/>
            <w:gridSpan w:val="3"/>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Distribution fees, product</w:t>
            </w:r>
          </w:p>
        </w:tc>
        <w:tc>
          <w:tcPr>
            <w:tcW w:w="480" w:type="dxa"/>
            <w:vAlign w:val="bottom"/>
          </w:tcPr>
          <w:p>
            <w:pPr>
              <w:spacing w:after="0"/>
              <w:rPr>
                <w:sz w:val="17"/>
                <w:szCs w:val="17"/>
                <w:color w:val="auto"/>
              </w:rPr>
            </w:pPr>
          </w:p>
        </w:tc>
        <w:tc>
          <w:tcPr>
            <w:tcW w:w="15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b w:val="1"/>
                <w:bCs w:val="1"/>
                <w:color w:val="auto"/>
              </w:rPr>
              <w:t>Total</w:t>
            </w: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320" w:type="dxa"/>
            <w:vAlign w:val="bottom"/>
            <w:gridSpan w:val="3"/>
            <w:vMerge w:val="continue"/>
          </w:tcPr>
          <w:p>
            <w:pPr>
              <w:spacing w:after="0"/>
              <w:rPr>
                <w:sz w:val="20"/>
                <w:szCs w:val="20"/>
                <w:color w:val="auto"/>
              </w:rPr>
            </w:pPr>
          </w:p>
        </w:tc>
        <w:tc>
          <w:tcPr>
            <w:tcW w:w="240" w:type="dxa"/>
            <w:vAlign w:val="bottom"/>
          </w:tcPr>
          <w:p>
            <w:pPr>
              <w:spacing w:after="0"/>
              <w:rPr>
                <w:sz w:val="20"/>
                <w:szCs w:val="20"/>
                <w:color w:val="auto"/>
              </w:rPr>
            </w:pPr>
          </w:p>
        </w:tc>
        <w:tc>
          <w:tcPr>
            <w:tcW w:w="208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rPr>
              <w:t>returns and other</w:t>
            </w:r>
          </w:p>
        </w:tc>
        <w:tc>
          <w:tcPr>
            <w:tcW w:w="480" w:type="dxa"/>
            <w:vAlign w:val="bottom"/>
          </w:tcPr>
          <w:p>
            <w:pPr>
              <w:spacing w:after="0"/>
              <w:rPr>
                <w:sz w:val="20"/>
                <w:szCs w:val="20"/>
                <w:color w:val="auto"/>
              </w:rPr>
            </w:pPr>
          </w:p>
        </w:tc>
        <w:tc>
          <w:tcPr>
            <w:tcW w:w="15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45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2022</w:t>
            </w:r>
          </w:p>
        </w:tc>
        <w:tc>
          <w:tcPr>
            <w:tcW w:w="900" w:type="dxa"/>
            <w:vAlign w:val="bottom"/>
            <w:tcBorders>
              <w:top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top w:val="single" w:sz="8" w:color="auto"/>
            </w:tcBorders>
            <w:shd w:val="clear" w:color="auto" w:fill="CCEEFF"/>
          </w:tcPr>
          <w:p>
            <w:pPr>
              <w:jc w:val="center"/>
              <w:ind w:left="693"/>
              <w:spacing w:after="0"/>
              <w:rPr>
                <w:sz w:val="20"/>
                <w:szCs w:val="20"/>
                <w:color w:val="auto"/>
              </w:rPr>
            </w:pPr>
            <w:r>
              <w:rPr>
                <w:rFonts w:ascii="Times New Roman" w:cs="Times New Roman" w:eastAsia="Times New Roman" w:hAnsi="Times New Roman"/>
                <w:sz w:val="17"/>
                <w:szCs w:val="17"/>
                <w:color w:val="auto"/>
              </w:rPr>
              <w:t>0.4</w:t>
            </w:r>
          </w:p>
        </w:tc>
        <w:tc>
          <w:tcPr>
            <w:tcW w:w="3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top w:val="single" w:sz="8" w:color="auto"/>
            </w:tcBorders>
            <w:shd w:val="clear" w:color="auto" w:fill="CCEEFF"/>
          </w:tcPr>
          <w:p>
            <w:pPr>
              <w:jc w:val="center"/>
              <w:ind w:left="1353"/>
              <w:spacing w:after="0"/>
              <w:rPr>
                <w:sz w:val="20"/>
                <w:szCs w:val="20"/>
                <w:color w:val="auto"/>
              </w:rPr>
            </w:pPr>
            <w:r>
              <w:rPr>
                <w:rFonts w:ascii="Times New Roman" w:cs="Times New Roman" w:eastAsia="Times New Roman" w:hAnsi="Times New Roman"/>
                <w:sz w:val="17"/>
                <w:szCs w:val="17"/>
                <w:color w:val="auto"/>
              </w:rPr>
              <w:t>1.3</w:t>
            </w:r>
          </w:p>
        </w:tc>
        <w:tc>
          <w:tcPr>
            <w:tcW w:w="30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top w:val="single" w:sz="8" w:color="auto"/>
            </w:tcBorders>
            <w:shd w:val="clear" w:color="auto" w:fill="CCEEFF"/>
          </w:tcPr>
          <w:p>
            <w:pPr>
              <w:jc w:val="center"/>
              <w:ind w:left="1113"/>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21"/>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Provisions</w:t>
            </w:r>
          </w:p>
        </w:tc>
        <w:tc>
          <w:tcPr>
            <w:tcW w:w="900" w:type="dxa"/>
            <w:vAlign w:val="bottom"/>
          </w:tcPr>
          <w:p>
            <w:pPr>
              <w:spacing w:after="0"/>
              <w:rPr>
                <w:sz w:val="19"/>
                <w:szCs w:val="19"/>
                <w:color w:val="auto"/>
              </w:rPr>
            </w:pPr>
          </w:p>
        </w:tc>
        <w:tc>
          <w:tcPr>
            <w:tcW w:w="1120" w:type="dxa"/>
            <w:vAlign w:val="bottom"/>
          </w:tcPr>
          <w:p>
            <w:pPr>
              <w:jc w:val="center"/>
              <w:ind w:left="693"/>
              <w:spacing w:after="0"/>
              <w:rPr>
                <w:sz w:val="20"/>
                <w:szCs w:val="20"/>
                <w:color w:val="auto"/>
              </w:rPr>
            </w:pPr>
            <w:r>
              <w:rPr>
                <w:rFonts w:ascii="Times New Roman" w:cs="Times New Roman" w:eastAsia="Times New Roman" w:hAnsi="Times New Roman"/>
                <w:sz w:val="17"/>
                <w:szCs w:val="17"/>
                <w:color w:val="auto"/>
              </w:rPr>
              <w:t>2.8</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center"/>
              <w:ind w:left="1353"/>
              <w:spacing w:after="0"/>
              <w:rPr>
                <w:sz w:val="20"/>
                <w:szCs w:val="20"/>
                <w:color w:val="auto"/>
              </w:rPr>
            </w:pPr>
            <w:r>
              <w:rPr>
                <w:rFonts w:ascii="Times New Roman" w:cs="Times New Roman" w:eastAsia="Times New Roman" w:hAnsi="Times New Roman"/>
                <w:sz w:val="17"/>
                <w:szCs w:val="17"/>
                <w:color w:val="auto"/>
              </w:rPr>
              <w:t>1.2</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center"/>
              <w:ind w:left="1113"/>
              <w:spacing w:after="0"/>
              <w:rPr>
                <w:sz w:val="20"/>
                <w:szCs w:val="20"/>
                <w:color w:val="auto"/>
              </w:rPr>
            </w:pPr>
            <w:r>
              <w:rPr>
                <w:rFonts w:ascii="Times New Roman" w:cs="Times New Roman" w:eastAsia="Times New Roman" w:hAnsi="Times New Roman"/>
                <w:sz w:val="17"/>
                <w:szCs w:val="17"/>
                <w:color w:val="auto"/>
              </w:rPr>
              <w:t>4.0</w:t>
            </w:r>
          </w:p>
        </w:tc>
        <w:tc>
          <w:tcPr>
            <w:tcW w:w="0" w:type="dxa"/>
            <w:vAlign w:val="bottom"/>
          </w:tcPr>
          <w:p>
            <w:pPr>
              <w:spacing w:after="0"/>
              <w:rPr>
                <w:sz w:val="1"/>
                <w:szCs w:val="1"/>
                <w:color w:val="auto"/>
              </w:rPr>
            </w:pPr>
          </w:p>
        </w:tc>
      </w:tr>
      <w:tr>
        <w:trPr>
          <w:trHeight w:val="22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related to prior year sales</w:t>
            </w: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53"/>
              <w:spacing w:after="0"/>
              <w:rPr>
                <w:sz w:val="20"/>
                <w:szCs w:val="20"/>
                <w:color w:val="auto"/>
              </w:rPr>
            </w:pPr>
            <w:r>
              <w:rPr>
                <w:rFonts w:ascii="Times New Roman" w:cs="Times New Roman" w:eastAsia="Times New Roman" w:hAnsi="Times New Roman"/>
                <w:sz w:val="17"/>
                <w:szCs w:val="17"/>
                <w:color w:val="auto"/>
              </w:rPr>
              <w:t>(0.1)</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313"/>
              <w:spacing w:after="0"/>
              <w:rPr>
                <w:sz w:val="20"/>
                <w:szCs w:val="20"/>
                <w:color w:val="auto"/>
              </w:rPr>
            </w:pPr>
            <w:r>
              <w:rPr>
                <w:rFonts w:ascii="Times New Roman" w:cs="Times New Roman" w:eastAsia="Times New Roman" w:hAnsi="Times New Roman"/>
                <w:sz w:val="17"/>
                <w:szCs w:val="17"/>
                <w:color w:val="auto"/>
              </w:rPr>
              <w:t>(0.7)</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073"/>
              <w:spacing w:after="0"/>
              <w:rPr>
                <w:sz w:val="20"/>
                <w:szCs w:val="20"/>
                <w:color w:val="auto"/>
              </w:rPr>
            </w:pPr>
            <w:r>
              <w:rPr>
                <w:rFonts w:ascii="Times New Roman" w:cs="Times New Roman" w:eastAsia="Times New Roman" w:hAnsi="Times New Roman"/>
                <w:sz w:val="17"/>
                <w:szCs w:val="17"/>
                <w:color w:val="auto"/>
              </w:rPr>
              <w:t>(0.8)</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Payments/credits</w:t>
            </w: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53"/>
              <w:spacing w:after="0"/>
              <w:rPr>
                <w:sz w:val="20"/>
                <w:szCs w:val="20"/>
                <w:color w:val="auto"/>
              </w:rPr>
            </w:pPr>
            <w:r>
              <w:rPr>
                <w:rFonts w:ascii="Times New Roman" w:cs="Times New Roman" w:eastAsia="Times New Roman" w:hAnsi="Times New Roman"/>
                <w:sz w:val="17"/>
                <w:szCs w:val="17"/>
                <w:color w:val="auto"/>
              </w:rPr>
              <w:t>(2.9)</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313"/>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1073"/>
              <w:spacing w:after="0"/>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214"/>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2023</w:t>
            </w:r>
          </w:p>
        </w:tc>
        <w:tc>
          <w:tcPr>
            <w:tcW w:w="900" w:type="dxa"/>
            <w:vAlign w:val="bottom"/>
            <w:shd w:val="clear" w:color="auto" w:fill="CCEEFF"/>
          </w:tcPr>
          <w:p>
            <w:pPr>
              <w:spacing w:after="0"/>
              <w:rPr>
                <w:sz w:val="18"/>
                <w:szCs w:val="18"/>
                <w:color w:val="auto"/>
              </w:rPr>
            </w:pPr>
          </w:p>
        </w:tc>
        <w:tc>
          <w:tcPr>
            <w:tcW w:w="1120" w:type="dxa"/>
            <w:vAlign w:val="bottom"/>
            <w:shd w:val="clear" w:color="auto" w:fill="CCEEFF"/>
          </w:tcPr>
          <w:p>
            <w:pPr>
              <w:jc w:val="center"/>
              <w:ind w:left="693"/>
              <w:spacing w:after="0"/>
              <w:rPr>
                <w:sz w:val="20"/>
                <w:szCs w:val="20"/>
                <w:color w:val="auto"/>
              </w:rPr>
            </w:pPr>
            <w:r>
              <w:rPr>
                <w:rFonts w:ascii="Times New Roman" w:cs="Times New Roman" w:eastAsia="Times New Roman" w:hAnsi="Times New Roman"/>
                <w:sz w:val="17"/>
                <w:szCs w:val="17"/>
                <w:color w:val="auto"/>
              </w:rPr>
              <w:t>0.2</w:t>
            </w:r>
          </w:p>
        </w:tc>
        <w:tc>
          <w:tcPr>
            <w:tcW w:w="3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780" w:type="dxa"/>
            <w:vAlign w:val="bottom"/>
            <w:shd w:val="clear" w:color="auto" w:fill="CCEEFF"/>
          </w:tcPr>
          <w:p>
            <w:pPr>
              <w:jc w:val="center"/>
              <w:ind w:left="1353"/>
              <w:spacing w:after="0"/>
              <w:rPr>
                <w:sz w:val="20"/>
                <w:szCs w:val="20"/>
                <w:color w:val="auto"/>
              </w:rPr>
            </w:pPr>
            <w:r>
              <w:rPr>
                <w:rFonts w:ascii="Times New Roman" w:cs="Times New Roman" w:eastAsia="Times New Roman" w:hAnsi="Times New Roman"/>
                <w:sz w:val="17"/>
                <w:szCs w:val="17"/>
                <w:color w:val="auto"/>
              </w:rPr>
              <w:t>0.8</w:t>
            </w:r>
          </w:p>
        </w:tc>
        <w:tc>
          <w:tcPr>
            <w:tcW w:w="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jc w:val="center"/>
              <w:ind w:left="1113"/>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1"/>
        </w:trPr>
        <w:tc>
          <w:tcPr>
            <w:tcW w:w="45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Provisions</w:t>
            </w:r>
          </w:p>
        </w:tc>
        <w:tc>
          <w:tcPr>
            <w:tcW w:w="900" w:type="dxa"/>
            <w:vAlign w:val="bottom"/>
          </w:tcPr>
          <w:p>
            <w:pPr>
              <w:spacing w:after="0"/>
              <w:rPr>
                <w:sz w:val="19"/>
                <w:szCs w:val="19"/>
                <w:color w:val="auto"/>
              </w:rPr>
            </w:pPr>
          </w:p>
        </w:tc>
        <w:tc>
          <w:tcPr>
            <w:tcW w:w="1120" w:type="dxa"/>
            <w:vAlign w:val="bottom"/>
          </w:tcPr>
          <w:p>
            <w:pPr>
              <w:jc w:val="center"/>
              <w:ind w:left="693"/>
              <w:spacing w:after="0"/>
              <w:rPr>
                <w:sz w:val="20"/>
                <w:szCs w:val="20"/>
                <w:color w:val="auto"/>
              </w:rPr>
            </w:pPr>
            <w:r>
              <w:rPr>
                <w:rFonts w:ascii="Times New Roman" w:cs="Times New Roman" w:eastAsia="Times New Roman" w:hAnsi="Times New Roman"/>
                <w:sz w:val="17"/>
                <w:szCs w:val="17"/>
                <w:color w:val="auto"/>
              </w:rPr>
              <w:t>2.3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80" w:type="dxa"/>
            <w:vAlign w:val="bottom"/>
          </w:tcPr>
          <w:p>
            <w:pPr>
              <w:jc w:val="center"/>
              <w:ind w:left="1353"/>
              <w:spacing w:after="0"/>
              <w:rPr>
                <w:sz w:val="20"/>
                <w:szCs w:val="20"/>
                <w:color w:val="auto"/>
              </w:rPr>
            </w:pPr>
            <w:r>
              <w:rPr>
                <w:rFonts w:ascii="Times New Roman" w:cs="Times New Roman" w:eastAsia="Times New Roman" w:hAnsi="Times New Roman"/>
                <w:sz w:val="17"/>
                <w:szCs w:val="17"/>
                <w:color w:val="auto"/>
              </w:rPr>
              <w:t>1.0</w:t>
            </w:r>
          </w:p>
        </w:tc>
        <w:tc>
          <w:tcPr>
            <w:tcW w:w="3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center"/>
              <w:ind w:left="1113"/>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221"/>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related to prior year sales</w:t>
            </w:r>
          </w:p>
        </w:tc>
        <w:tc>
          <w:tcPr>
            <w:tcW w:w="900" w:type="dxa"/>
            <w:vAlign w:val="bottom"/>
            <w:shd w:val="clear" w:color="auto" w:fill="CCEEFF"/>
          </w:tcPr>
          <w:p>
            <w:pPr>
              <w:spacing w:after="0"/>
              <w:rPr>
                <w:sz w:val="19"/>
                <w:szCs w:val="19"/>
                <w:color w:val="auto"/>
              </w:rPr>
            </w:pPr>
          </w:p>
        </w:tc>
        <w:tc>
          <w:tcPr>
            <w:tcW w:w="1120" w:type="dxa"/>
            <w:vAlign w:val="bottom"/>
            <w:shd w:val="clear" w:color="auto" w:fill="CCEEFF"/>
          </w:tcPr>
          <w:p>
            <w:pPr>
              <w:jc w:val="center"/>
              <w:ind w:left="693"/>
              <w:spacing w:after="0"/>
              <w:rPr>
                <w:sz w:val="20"/>
                <w:szCs w:val="20"/>
                <w:color w:val="auto"/>
              </w:rPr>
            </w:pPr>
            <w:r>
              <w:rPr>
                <w:rFonts w:ascii="Times New Roman" w:cs="Times New Roman" w:eastAsia="Times New Roman" w:hAnsi="Times New Roman"/>
                <w:sz w:val="17"/>
                <w:szCs w:val="17"/>
                <w:color w:val="auto"/>
              </w:rPr>
              <w:t>0.4</w:t>
            </w:r>
          </w:p>
        </w:tc>
        <w:tc>
          <w:tcPr>
            <w:tcW w:w="3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80" w:type="dxa"/>
            <w:vAlign w:val="bottom"/>
            <w:shd w:val="clear" w:color="auto" w:fill="CCEEFF"/>
          </w:tcPr>
          <w:p>
            <w:pPr>
              <w:jc w:val="center"/>
              <w:ind w:left="1313"/>
              <w:spacing w:after="0"/>
              <w:rPr>
                <w:sz w:val="20"/>
                <w:szCs w:val="20"/>
                <w:color w:val="auto"/>
              </w:rPr>
            </w:pPr>
            <w:r>
              <w:rPr>
                <w:rFonts w:ascii="Times New Roman" w:cs="Times New Roman" w:eastAsia="Times New Roman" w:hAnsi="Times New Roman"/>
                <w:sz w:val="17"/>
                <w:szCs w:val="17"/>
                <w:color w:val="auto"/>
              </w:rPr>
              <w:t>(0.8)</w:t>
            </w:r>
          </w:p>
        </w:tc>
        <w:tc>
          <w:tcPr>
            <w:tcW w:w="3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center"/>
              <w:ind w:left="1073"/>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21"/>
        </w:trPr>
        <w:tc>
          <w:tcPr>
            <w:tcW w:w="4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Payments/credits</w:t>
            </w:r>
          </w:p>
        </w:tc>
        <w:tc>
          <w:tcPr>
            <w:tcW w:w="9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left="653"/>
              <w:spacing w:after="0"/>
              <w:rPr>
                <w:sz w:val="20"/>
                <w:szCs w:val="20"/>
                <w:color w:val="auto"/>
              </w:rPr>
            </w:pPr>
            <w:r>
              <w:rPr>
                <w:rFonts w:ascii="Times New Roman" w:cs="Times New Roman" w:eastAsia="Times New Roman" w:hAnsi="Times New Roman"/>
                <w:sz w:val="17"/>
                <w:szCs w:val="17"/>
                <w:color w:val="auto"/>
              </w:rPr>
              <w:t>(2.7)</w:t>
            </w:r>
          </w:p>
        </w:tc>
        <w:tc>
          <w:tcPr>
            <w:tcW w:w="3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center"/>
              <w:ind w:left="1313"/>
              <w:spacing w:after="0"/>
              <w:rPr>
                <w:sz w:val="20"/>
                <w:szCs w:val="20"/>
                <w:color w:val="auto"/>
              </w:rPr>
            </w:pPr>
            <w:r>
              <w:rPr>
                <w:rFonts w:ascii="Times New Roman" w:cs="Times New Roman" w:eastAsia="Times New Roman" w:hAnsi="Times New Roman"/>
                <w:sz w:val="17"/>
                <w:szCs w:val="17"/>
                <w:color w:val="auto"/>
              </w:rPr>
              <w:t>(0.9)</w:t>
            </w:r>
          </w:p>
        </w:tc>
        <w:tc>
          <w:tcPr>
            <w:tcW w:w="3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center"/>
              <w:ind w:left="1073"/>
              <w:spacing w:after="0"/>
              <w:rPr>
                <w:sz w:val="20"/>
                <w:szCs w:val="20"/>
                <w:color w:val="auto"/>
              </w:rPr>
            </w:pPr>
            <w:r>
              <w:rPr>
                <w:rFonts w:ascii="Times New Roman" w:cs="Times New Roman" w:eastAsia="Times New Roman" w:hAnsi="Times New Roman"/>
                <w:sz w:val="17"/>
                <w:szCs w:val="17"/>
                <w:color w:val="auto"/>
              </w:rPr>
              <w:t>(3.6)</w:t>
            </w:r>
          </w:p>
        </w:tc>
        <w:tc>
          <w:tcPr>
            <w:tcW w:w="0" w:type="dxa"/>
            <w:vAlign w:val="bottom"/>
          </w:tcPr>
          <w:p>
            <w:pPr>
              <w:spacing w:after="0"/>
              <w:rPr>
                <w:sz w:val="1"/>
                <w:szCs w:val="1"/>
                <w:color w:val="auto"/>
              </w:rPr>
            </w:pPr>
          </w:p>
        </w:tc>
      </w:tr>
      <w:tr>
        <w:trPr>
          <w:trHeight w:val="239"/>
        </w:trPr>
        <w:tc>
          <w:tcPr>
            <w:tcW w:w="4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as of December 31, 2024</w:t>
            </w:r>
          </w:p>
        </w:tc>
        <w:tc>
          <w:tcPr>
            <w:tcW w:w="90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auto"/>
            </w:tcBorders>
            <w:shd w:val="clear" w:color="auto" w:fill="CCEEFF"/>
          </w:tcPr>
          <w:p>
            <w:pPr>
              <w:jc w:val="center"/>
              <w:ind w:left="693"/>
              <w:spacing w:after="0"/>
              <w:rPr>
                <w:sz w:val="20"/>
                <w:szCs w:val="20"/>
                <w:color w:val="auto"/>
              </w:rPr>
            </w:pPr>
            <w:r>
              <w:rPr>
                <w:rFonts w:ascii="Times New Roman" w:cs="Times New Roman" w:eastAsia="Times New Roman" w:hAnsi="Times New Roman"/>
                <w:sz w:val="17"/>
                <w:szCs w:val="17"/>
                <w:color w:val="auto"/>
              </w:rPr>
              <w:t>0.2</w:t>
            </w:r>
          </w:p>
        </w:tc>
        <w:tc>
          <w:tcPr>
            <w:tcW w:w="3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780" w:type="dxa"/>
            <w:vAlign w:val="bottom"/>
            <w:tcBorders>
              <w:bottom w:val="single" w:sz="8" w:color="auto"/>
            </w:tcBorders>
            <w:shd w:val="clear" w:color="auto" w:fill="CCEEFF"/>
          </w:tcPr>
          <w:p>
            <w:pPr>
              <w:jc w:val="center"/>
              <w:ind w:left="1353"/>
              <w:spacing w:after="0"/>
              <w:rPr>
                <w:sz w:val="20"/>
                <w:szCs w:val="20"/>
                <w:color w:val="auto"/>
              </w:rPr>
            </w:pPr>
            <w:r>
              <w:rPr>
                <w:rFonts w:ascii="Times New Roman" w:cs="Times New Roman" w:eastAsia="Times New Roman" w:hAnsi="Times New Roman"/>
                <w:sz w:val="17"/>
                <w:szCs w:val="17"/>
                <w:color w:val="auto"/>
              </w:rPr>
              <w:t>0.1</w:t>
            </w:r>
          </w:p>
        </w:tc>
        <w:tc>
          <w:tcPr>
            <w:tcW w:w="3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93"/>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center"/>
              <w:ind w:left="1113"/>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0"/>
        </w:trPr>
        <w:tc>
          <w:tcPr>
            <w:tcW w:w="45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252525"/>
        </w:rPr>
        <w:t xml:space="preserve">Contract manufacturing revenue increased by $3.3 million </w:t>
      </w:r>
      <w:r>
        <w:rPr>
          <w:rFonts w:ascii="Times New Roman" w:cs="Times New Roman" w:eastAsia="Times New Roman" w:hAnsi="Times New Roman"/>
          <w:sz w:val="17"/>
          <w:szCs w:val="17"/>
          <w:color w:val="000000"/>
        </w:rPr>
        <w:t>for the year ended December 31, 2024 compared to the year ended December 31, 2023 due to</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increased manufacturing under the Incyte Manufacturing and Clinical Supply Agreement and the revenue recognized under the Emergent BioSolutions Manufacturing and Clinical Supply Agreements executed in the second half of 2023.</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Product Sales</w:t>
      </w:r>
    </w:p>
    <w:p>
      <w:pPr>
        <w:spacing w:after="0" w:line="173" w:lineRule="exact"/>
        <w:rPr>
          <w:sz w:val="20"/>
          <w:szCs w:val="20"/>
          <w:color w:val="auto"/>
        </w:rPr>
      </w:pPr>
    </w:p>
    <w:p>
      <w:pPr>
        <w:ind w:right="160" w:firstLine="625"/>
        <w:spacing w:after="0" w:line="268" w:lineRule="auto"/>
        <w:rPr>
          <w:sz w:val="20"/>
          <w:szCs w:val="20"/>
          <w:color w:val="auto"/>
        </w:rPr>
      </w:pPr>
      <w:r>
        <w:rPr>
          <w:rFonts w:ascii="Times New Roman" w:cs="Times New Roman" w:eastAsia="Times New Roman" w:hAnsi="Times New Roman"/>
          <w:sz w:val="17"/>
          <w:szCs w:val="17"/>
          <w:color w:val="auto"/>
        </w:rPr>
        <w:t>Cost of product sales was $0.8 million and $0.6 million for the years ended December 31, 2024 and 2023, respectively. Cost of product sales includes product royalties and fill finish costs for both years, and cost of product sales for 2023 also includes reserves for unsaleable inventory. Product sold during both periods consisted of drug product that was previously charged to research and development expense prior to FDA approval of MARGENZA, which favorably impacted our gross margin.</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66" w:right="3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Manufacturing Services</w:t>
      </w:r>
    </w:p>
    <w:p>
      <w:pPr>
        <w:spacing w:after="0" w:line="173" w:lineRule="exact"/>
        <w:rPr>
          <w:sz w:val="20"/>
          <w:szCs w:val="20"/>
          <w:color w:val="auto"/>
        </w:rPr>
      </w:pPr>
    </w:p>
    <w:p>
      <w:pPr>
        <w:ind w:right="160" w:firstLine="625"/>
        <w:spacing w:after="0" w:line="265" w:lineRule="auto"/>
        <w:rPr>
          <w:sz w:val="20"/>
          <w:szCs w:val="20"/>
          <w:color w:val="auto"/>
        </w:rPr>
      </w:pPr>
      <w:r>
        <w:rPr>
          <w:rFonts w:ascii="Times New Roman" w:cs="Times New Roman" w:eastAsia="Times New Roman" w:hAnsi="Times New Roman"/>
          <w:sz w:val="17"/>
          <w:szCs w:val="17"/>
          <w:color w:val="auto"/>
        </w:rPr>
        <w:t>Cost of manufacturing services was $11.5 million and $7.6 million for the years ended December 31, 2024 and 2023, respectively. Cost of manufacturing services includes the costs to provide manufacturing services to produce certain Incyte bulk drug substance under the Incyte Manufacturing and Clinical Supply Agreement for both years. Cost of manufacturing services for the year ended December 31, 2024 also includes costs to provide manufacturing services under the Emergent BioSolutions Manufacturing and Clinical Supply Agreement. We expect cost of manufacturing services to vary from period to period based on the agreed-upon manufacturing schedule.</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represents a comparison of our research and development expense for the years ended December 31, 2024 and 2023 (dollars in millions):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25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50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3"/>
          </w:tcPr>
          <w:p>
            <w:pPr>
              <w:ind w:left="340"/>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620" w:type="dxa"/>
            <w:vAlign w:val="bottom"/>
            <w:tcBorders>
              <w:bottom w:val="single" w:sz="8" w:color="auto"/>
            </w:tcBorders>
          </w:tcPr>
          <w:p>
            <w:pPr>
              <w:spacing w:after="0"/>
              <w:rPr>
                <w:sz w:val="19"/>
                <w:szCs w:val="19"/>
                <w:color w:val="auto"/>
              </w:rPr>
            </w:pPr>
          </w:p>
        </w:tc>
      </w:tr>
      <w:tr>
        <w:trPr>
          <w:trHeight w:val="214"/>
        </w:trPr>
        <w:tc>
          <w:tcPr>
            <w:tcW w:w="4840" w:type="dxa"/>
            <w:vAlign w:val="bottom"/>
            <w:tcBorders>
              <w:bottom w:val="single" w:sz="8" w:color="CCEEFF"/>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2023</w:t>
            </w:r>
          </w:p>
        </w:tc>
        <w:tc>
          <w:tcPr>
            <w:tcW w:w="50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44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74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r>
      <w:tr>
        <w:trPr>
          <w:trHeight w:val="214"/>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Vobramitamab duocarmazine</w:t>
            </w:r>
          </w:p>
        </w:tc>
        <w:tc>
          <w:tcPr>
            <w:tcW w:w="940" w:type="dxa"/>
            <w:vAlign w:val="bottom"/>
            <w:shd w:val="clear" w:color="auto" w:fill="CCEEFF"/>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8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2 %</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Lorigerlimab</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33 %</w:t>
            </w:r>
          </w:p>
        </w:tc>
      </w:tr>
      <w:tr>
        <w:trPr>
          <w:trHeight w:val="22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MGC028</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67 %</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Preclinical antibody-drug conjugates (ADCs)</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62 %</w:t>
            </w:r>
          </w:p>
        </w:tc>
      </w:tr>
      <w:tr>
        <w:trPr>
          <w:trHeight w:val="22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MGC026</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4 %</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Margetuximab</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w:t>
            </w:r>
          </w:p>
        </w:tc>
      </w:tr>
      <w:tr>
        <w:trPr>
          <w:trHeight w:val="22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MGD024</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39 %</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Next-generation T-cell engagers (a)</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r>
      <w:tr>
        <w:trPr>
          <w:trHeight w:val="22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Retifanlimab</w:t>
            </w:r>
          </w:p>
        </w:tc>
        <w:tc>
          <w:tcPr>
            <w:tcW w:w="94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w:t>
            </w:r>
          </w:p>
        </w:tc>
      </w:tr>
      <w:tr>
        <w:trPr>
          <w:trHeight w:val="221"/>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Enoblituzumab</w:t>
            </w:r>
          </w:p>
        </w:tc>
        <w:tc>
          <w:tcPr>
            <w:tcW w:w="9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w:t>
            </w:r>
          </w:p>
        </w:tc>
      </w:tr>
      <w:tr>
        <w:trPr>
          <w:trHeight w:val="221"/>
        </w:trPr>
        <w:tc>
          <w:tcPr>
            <w:tcW w:w="4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programs (a) (b)</w:t>
            </w:r>
          </w:p>
        </w:tc>
        <w:tc>
          <w:tcPr>
            <w:tcW w:w="94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160" w:type="dxa"/>
            <w:vAlign w:val="bottom"/>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18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80" w:type="dxa"/>
            <w:vAlign w:val="bottom"/>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r>
      <w:tr>
        <w:trPr>
          <w:trHeight w:val="214"/>
        </w:trPr>
        <w:tc>
          <w:tcPr>
            <w:tcW w:w="48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 expense</w:t>
            </w:r>
          </w:p>
        </w:tc>
        <w:tc>
          <w:tcPr>
            <w:tcW w:w="940" w:type="dxa"/>
            <w:vAlign w:val="bottom"/>
            <w:tcBorders>
              <w:bottom w:val="single" w:sz="8" w:color="auto"/>
            </w:tcBorders>
          </w:tcPr>
          <w:p>
            <w:pPr>
              <w:jc w:val="right"/>
              <w:ind w:right="753"/>
              <w:spacing w:after="0"/>
              <w:rPr>
                <w:sz w:val="20"/>
                <w:szCs w:val="20"/>
                <w:color w:val="auto"/>
              </w:rPr>
            </w:pPr>
            <w:r>
              <w:rPr>
                <w:rFonts w:ascii="Times New Roman" w:cs="Times New Roman" w:eastAsia="Times New Roman" w:hAnsi="Times New Roman"/>
                <w:sz w:val="17"/>
                <w:szCs w:val="17"/>
                <w:color w:val="auto"/>
                <w:w w:val="93"/>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177.2</w:t>
            </w:r>
          </w:p>
        </w:tc>
        <w:tc>
          <w:tcPr>
            <w:tcW w:w="160" w:type="dxa"/>
            <w:vAlign w:val="bottom"/>
          </w:tcPr>
          <w:p>
            <w:pPr>
              <w:spacing w:after="0"/>
              <w:rPr>
                <w:sz w:val="18"/>
                <w:szCs w:val="18"/>
                <w:color w:val="auto"/>
              </w:rPr>
            </w:pP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166.6</w:t>
            </w:r>
          </w:p>
        </w:tc>
        <w:tc>
          <w:tcPr>
            <w:tcW w:w="180" w:type="dxa"/>
            <w:vAlign w:val="bottom"/>
          </w:tcPr>
          <w:p>
            <w:pPr>
              <w:spacing w:after="0"/>
              <w:rPr>
                <w:sz w:val="18"/>
                <w:szCs w:val="18"/>
                <w:color w:val="auto"/>
              </w:rPr>
            </w:pPr>
          </w:p>
        </w:tc>
        <w:tc>
          <w:tcPr>
            <w:tcW w:w="4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8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6 %</w:t>
            </w:r>
          </w:p>
        </w:tc>
      </w:tr>
      <w:tr>
        <w:trPr>
          <w:trHeight w:val="20"/>
        </w:trPr>
        <w:tc>
          <w:tcPr>
            <w:tcW w:w="48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40" w:hanging="236"/>
        <w:spacing w:after="0"/>
        <w:tabs>
          <w:tab w:leader="none" w:pos="24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research and discovery projects, as well as early preclinical molecules and molecules not advanced to clinical development.</w:t>
      </w:r>
    </w:p>
    <w:p>
      <w:pPr>
        <w:spacing w:after="0" w:line="31" w:lineRule="exact"/>
        <w:rPr>
          <w:rFonts w:ascii="Times New Roman" w:cs="Times New Roman" w:eastAsia="Times New Roman" w:hAnsi="Times New Roman"/>
          <w:sz w:val="17"/>
          <w:szCs w:val="17"/>
          <w:color w:val="auto"/>
        </w:rPr>
      </w:pPr>
    </w:p>
    <w:p>
      <w:pPr>
        <w:ind w:left="260" w:hanging="256"/>
        <w:spacing w:after="0"/>
        <w:tabs>
          <w:tab w:leader="none" w:pos="260"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Includes discontinued projects.</w:t>
      </w:r>
    </w:p>
    <w:p>
      <w:pPr>
        <w:spacing w:after="0" w:line="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Research and development expense for the year ended December 31, 2024 increased by $10.6 million compared to the year ended December 31, 2023.</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increase was primarily attributable to:</w:t>
      </w:r>
    </w:p>
    <w:p>
      <w:pPr>
        <w:spacing w:after="0" w:line="151" w:lineRule="exact"/>
        <w:rPr>
          <w:sz w:val="20"/>
          <w:szCs w:val="20"/>
          <w:color w:val="auto"/>
        </w:rPr>
      </w:pPr>
    </w:p>
    <w:p>
      <w:pPr>
        <w:ind w:left="940" w:hanging="311"/>
        <w:spacing w:after="0"/>
        <w:tabs>
          <w:tab w:leader="none" w:pos="940" w:val="left"/>
        </w:tabs>
        <w:numPr>
          <w:ilvl w:val="0"/>
          <w:numId w:val="43"/>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increased development, manufacturing and IND-enabling costs related to MGC028;</w:t>
      </w:r>
    </w:p>
    <w:p>
      <w:pPr>
        <w:spacing w:after="0" w:line="169" w:lineRule="exact"/>
        <w:rPr>
          <w:rFonts w:ascii="Times New Roman" w:cs="Times New Roman" w:eastAsia="Times New Roman" w:hAnsi="Times New Roman"/>
          <w:sz w:val="17"/>
          <w:szCs w:val="17"/>
          <w:color w:val="252525"/>
        </w:rPr>
      </w:pPr>
    </w:p>
    <w:p>
      <w:pPr>
        <w:ind w:left="940" w:hanging="311"/>
        <w:spacing w:after="0"/>
        <w:tabs>
          <w:tab w:leader="none" w:pos="940" w:val="left"/>
        </w:tabs>
        <w:numPr>
          <w:ilvl w:val="0"/>
          <w:numId w:val="43"/>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increased clinical trial costs related to lorigerlimab</w:t>
      </w:r>
      <w:r>
        <w:rPr>
          <w:rFonts w:ascii="Times New Roman" w:cs="Times New Roman" w:eastAsia="Times New Roman" w:hAnsi="Times New Roman"/>
          <w:sz w:val="17"/>
          <w:szCs w:val="17"/>
          <w:color w:val="000000"/>
        </w:rPr>
        <w:t>;</w:t>
      </w:r>
    </w:p>
    <w:p>
      <w:pPr>
        <w:spacing w:after="0" w:line="169" w:lineRule="exact"/>
        <w:rPr>
          <w:rFonts w:ascii="Times New Roman" w:cs="Times New Roman" w:eastAsia="Times New Roman" w:hAnsi="Times New Roman"/>
          <w:sz w:val="17"/>
          <w:szCs w:val="17"/>
          <w:color w:val="252525"/>
        </w:rPr>
      </w:pPr>
    </w:p>
    <w:p>
      <w:pPr>
        <w:ind w:left="940" w:hanging="311"/>
        <w:spacing w:after="0"/>
        <w:tabs>
          <w:tab w:leader="none" w:pos="9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development costs for preclinical ADCs; and</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clinical costs related to MGD024.</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auto"/>
        </w:rPr>
        <w:t>These increases were partially offset by:</w:t>
      </w:r>
    </w:p>
    <w:p>
      <w:pPr>
        <w:spacing w:after="0" w:line="169" w:lineRule="exact"/>
        <w:rPr>
          <w:sz w:val="20"/>
          <w:szCs w:val="20"/>
          <w:color w:val="auto"/>
        </w:rPr>
      </w:pPr>
    </w:p>
    <w:p>
      <w:pPr>
        <w:ind w:left="940" w:hanging="311"/>
        <w:spacing w:after="0"/>
        <w:tabs>
          <w:tab w:leader="none" w:pos="940" w:val="left"/>
        </w:tabs>
        <w:numPr>
          <w:ilvl w:val="0"/>
          <w:numId w:val="44"/>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decreased development, manufacturing and clinical trial costs related to discontinued projects;</w:t>
      </w:r>
    </w:p>
    <w:p>
      <w:pPr>
        <w:spacing w:after="0" w:line="169" w:lineRule="exact"/>
        <w:rPr>
          <w:rFonts w:ascii="Times New Roman" w:cs="Times New Roman" w:eastAsia="Times New Roman" w:hAnsi="Times New Roman"/>
          <w:sz w:val="17"/>
          <w:szCs w:val="17"/>
          <w:color w:val="252525"/>
        </w:rPr>
      </w:pPr>
    </w:p>
    <w:p>
      <w:pPr>
        <w:ind w:left="940" w:hanging="311"/>
        <w:spacing w:after="0"/>
        <w:tabs>
          <w:tab w:leader="none" w:pos="940" w:val="left"/>
        </w:tabs>
        <w:numPr>
          <w:ilvl w:val="0"/>
          <w:numId w:val="44"/>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decreased development and clinical trial costs related to margetuximab;</w:t>
      </w:r>
    </w:p>
    <w:p>
      <w:pPr>
        <w:spacing w:after="0" w:line="169" w:lineRule="exact"/>
        <w:rPr>
          <w:rFonts w:ascii="Times New Roman" w:cs="Times New Roman" w:eastAsia="Times New Roman" w:hAnsi="Times New Roman"/>
          <w:sz w:val="17"/>
          <w:szCs w:val="17"/>
          <w:color w:val="252525"/>
        </w:rPr>
      </w:pPr>
    </w:p>
    <w:p>
      <w:pPr>
        <w:ind w:left="940" w:hanging="311"/>
        <w:spacing w:after="0"/>
        <w:tabs>
          <w:tab w:leader="none" w:pos="940" w:val="left"/>
        </w:tabs>
        <w:numPr>
          <w:ilvl w:val="0"/>
          <w:numId w:val="44"/>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auto"/>
        </w:rPr>
        <w:t>decreased development and clinical trial costs related to enoblituzumab;</w:t>
      </w:r>
    </w:p>
    <w:p>
      <w:pPr>
        <w:spacing w:after="0" w:line="169" w:lineRule="exact"/>
        <w:rPr>
          <w:rFonts w:ascii="Times New Roman" w:cs="Times New Roman" w:eastAsia="Times New Roman" w:hAnsi="Times New Roman"/>
          <w:sz w:val="17"/>
          <w:szCs w:val="17"/>
          <w:color w:val="252525"/>
        </w:rPr>
      </w:pPr>
    </w:p>
    <w:p>
      <w:pPr>
        <w:ind w:left="940" w:hanging="311"/>
        <w:spacing w:after="0"/>
        <w:tabs>
          <w:tab w:leader="none" w:pos="940"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decreased development costs related to t-cell engagers; and</w:t>
      </w:r>
    </w:p>
    <w:p>
      <w:pPr>
        <w:spacing w:after="0" w:line="169" w:lineRule="exact"/>
        <w:rPr>
          <w:rFonts w:ascii="Times New Roman" w:cs="Times New Roman" w:eastAsia="Times New Roman" w:hAnsi="Times New Roman"/>
          <w:sz w:val="17"/>
          <w:szCs w:val="17"/>
          <w:color w:val="auto"/>
        </w:rPr>
      </w:pPr>
    </w:p>
    <w:p>
      <w:pPr>
        <w:ind w:left="940" w:hanging="311"/>
        <w:spacing w:after="0"/>
        <w:tabs>
          <w:tab w:leader="none" w:pos="940" w:val="left"/>
        </w:tabs>
        <w:numPr>
          <w:ilvl w:val="0"/>
          <w:numId w:val="44"/>
        </w:numPr>
        <w:rPr>
          <w:rFonts w:ascii="Times New Roman" w:cs="Times New Roman" w:eastAsia="Times New Roman" w:hAnsi="Times New Roman"/>
          <w:sz w:val="17"/>
          <w:szCs w:val="17"/>
          <w:color w:val="252525"/>
        </w:rPr>
      </w:pPr>
      <w:r>
        <w:rPr>
          <w:rFonts w:ascii="Times New Roman" w:cs="Times New Roman" w:eastAsia="Times New Roman" w:hAnsi="Times New Roman"/>
          <w:sz w:val="17"/>
          <w:szCs w:val="17"/>
          <w:color w:val="252525"/>
        </w:rPr>
        <w:t>decreased manufacturing costs related to retifanlimab.</w:t>
      </w:r>
    </w:p>
    <w:p>
      <w:pPr>
        <w:spacing w:after="0" w:line="169" w:lineRule="exact"/>
        <w:rPr>
          <w:sz w:val="20"/>
          <w:szCs w:val="20"/>
          <w:color w:val="auto"/>
        </w:rPr>
      </w:pPr>
    </w:p>
    <w:p>
      <w:pPr>
        <w:ind w:right="160" w:firstLine="625"/>
        <w:spacing w:after="0" w:line="294" w:lineRule="auto"/>
        <w:rPr>
          <w:sz w:val="20"/>
          <w:szCs w:val="20"/>
          <w:color w:val="auto"/>
        </w:rPr>
      </w:pPr>
      <w:r>
        <w:rPr>
          <w:rFonts w:ascii="Times New Roman" w:cs="Times New Roman" w:eastAsia="Times New Roman" w:hAnsi="Times New Roman"/>
          <w:sz w:val="17"/>
          <w:szCs w:val="17"/>
          <w:color w:val="auto"/>
        </w:rPr>
        <w:t>There are uncertainties associated with our research and development expenses for future periods which are impacted by multiple variables, including timing of wind down activities for recently closed studies and current and expected expenditures associated with our ongoing clinical studies.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0" w:right="37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7"/>
          <w:szCs w:val="17"/>
          <w:b w:val="1"/>
          <w:bCs w:val="1"/>
          <w:i w:val="1"/>
          <w:iCs w:val="1"/>
          <w:color w:val="auto"/>
        </w:rPr>
        <w:t>Selling, General and Administrative Expense</w:t>
      </w:r>
    </w:p>
    <w:p>
      <w:pPr>
        <w:spacing w:after="0" w:line="173" w:lineRule="exact"/>
        <w:rPr>
          <w:sz w:val="20"/>
          <w:szCs w:val="20"/>
          <w:color w:val="auto"/>
        </w:rPr>
      </w:pPr>
    </w:p>
    <w:p>
      <w:pPr>
        <w:ind w:right="20" w:firstLine="625"/>
        <w:spacing w:after="0" w:line="274" w:lineRule="auto"/>
        <w:rPr>
          <w:sz w:val="20"/>
          <w:szCs w:val="20"/>
          <w:color w:val="auto"/>
        </w:rPr>
      </w:pPr>
      <w:r>
        <w:rPr>
          <w:rFonts w:ascii="Times New Roman" w:cs="Times New Roman" w:eastAsia="Times New Roman" w:hAnsi="Times New Roman"/>
          <w:sz w:val="17"/>
          <w:szCs w:val="17"/>
          <w:color w:val="auto"/>
        </w:rPr>
        <w:t>Selling, general and administrative expenses were $71.0 million and $52.2 million for the years ended December 31, 2024 and 2023, respectively. The increase is primarily due to an amendment fee paid to Eversana pursuant to the sale of MARGENZA in November 2024 and increased stock-based compensation expense and accrued severance related to the separation agreement with our Chief Executive Officer.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Sale of MARGENZA</w:t>
      </w:r>
    </w:p>
    <w:p>
      <w:pPr>
        <w:spacing w:after="0" w:line="173" w:lineRule="exact"/>
        <w:rPr>
          <w:sz w:val="20"/>
          <w:szCs w:val="20"/>
          <w:color w:val="auto"/>
        </w:rPr>
      </w:pPr>
    </w:p>
    <w:p>
      <w:pPr>
        <w:ind w:right="120" w:firstLine="625"/>
        <w:spacing w:after="0" w:line="265" w:lineRule="auto"/>
        <w:rPr>
          <w:sz w:val="20"/>
          <w:szCs w:val="20"/>
          <w:color w:val="auto"/>
        </w:rPr>
      </w:pPr>
      <w:r>
        <w:rPr>
          <w:rFonts w:ascii="Times New Roman" w:cs="Times New Roman" w:eastAsia="Times New Roman" w:hAnsi="Times New Roman"/>
          <w:sz w:val="17"/>
          <w:szCs w:val="17"/>
          <w:color w:val="auto"/>
        </w:rPr>
        <w:t>In October 2024, we entered into an ASA with TerSera which closed in November 2024. Under the terms of the ASA, we sold the global rights to MARGENZA, inclusive of our business of researching, developing, commercializing, manufacturing, packaging, distributing, promoting, marketing and selling the MARGENZA product, as well as using and licensing the intellectual property relating to MARGENZA. In addition to MARGENZA’s intellectual property, TerSera also acquired all existing MARGENZA inventory. We recognized a gain of $36.3 million related to the ASA with TerSera during the year ended December 31, 2024.</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Gain on Royalty Monetization Arrangement</w:t>
      </w:r>
    </w:p>
    <w:p>
      <w:pPr>
        <w:spacing w:after="0" w:line="173"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auto"/>
        </w:rPr>
        <w:t>In April 2023, we entered into the Tripartite Agreement with DRI Healthcare Acquisitions LP (DRI) and Sanofi S.A (Sanofi), whereby we consented to the sale of DRI’s royalty interest in TZIELD and the related milestone payment obligations to Sanofi. The execution of the Tripartite Agreement resulted in a modification to the liability related to future royalties, and we recognized a $100.9 million gain on royalty monetization arrangement. In July 2023, Sanofi reported achievement of the primary endpoint milestone event related to a $50.0 million milestone, which resulted in an additional $50.0 million gain on royalty monetization arrangement. In September 2023, we amended the Provention asset purchase agreement and terminated the Royalty Purchase Agreement with DRI.</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represents a summary of our cash flows for the years ended December 31, 2024 and 2023 (dollars in millions):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720" w:type="dxa"/>
            <w:vAlign w:val="bottom"/>
          </w:tcPr>
          <w:p>
            <w:pPr>
              <w:spacing w:after="0"/>
              <w:rPr>
                <w:sz w:val="19"/>
                <w:szCs w:val="19"/>
                <w:color w:val="auto"/>
              </w:rPr>
            </w:pPr>
          </w:p>
        </w:tc>
        <w:tc>
          <w:tcPr>
            <w:tcW w:w="2820" w:type="dxa"/>
            <w:vAlign w:val="bottom"/>
            <w:gridSpan w:val="6"/>
          </w:tcPr>
          <w:p>
            <w:pPr>
              <w:ind w:left="40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360" w:type="dxa"/>
            <w:vAlign w:val="bottom"/>
          </w:tcPr>
          <w:p>
            <w:pPr>
              <w:spacing w:after="0"/>
              <w:rPr>
                <w:sz w:val="19"/>
                <w:szCs w:val="19"/>
                <w:color w:val="auto"/>
              </w:rPr>
            </w:pPr>
          </w:p>
        </w:tc>
        <w:tc>
          <w:tcPr>
            <w:tcW w:w="1800" w:type="dxa"/>
            <w:vAlign w:val="bottom"/>
            <w:gridSpan w:val="3"/>
          </w:tcPr>
          <w:p>
            <w:pPr>
              <w:ind w:left="260"/>
              <w:spacing w:after="0"/>
              <w:rPr>
                <w:sz w:val="20"/>
                <w:szCs w:val="20"/>
                <w:color w:val="auto"/>
              </w:rPr>
            </w:pPr>
            <w:r>
              <w:rPr>
                <w:rFonts w:ascii="Times New Roman" w:cs="Times New Roman" w:eastAsia="Times New Roman" w:hAnsi="Times New Roman"/>
                <w:sz w:val="17"/>
                <w:szCs w:val="17"/>
                <w:b w:val="1"/>
                <w:bCs w:val="1"/>
                <w:color w:val="auto"/>
              </w:rPr>
              <w:t>Increase/(Decrease)</w:t>
            </w:r>
          </w:p>
        </w:tc>
        <w:tc>
          <w:tcPr>
            <w:tcW w:w="540" w:type="dxa"/>
            <w:vAlign w:val="bottom"/>
          </w:tcPr>
          <w:p>
            <w:pPr>
              <w:spacing w:after="0"/>
              <w:rPr>
                <w:sz w:val="19"/>
                <w:szCs w:val="19"/>
                <w:color w:val="auto"/>
              </w:rPr>
            </w:pPr>
          </w:p>
        </w:tc>
      </w:tr>
      <w:tr>
        <w:trPr>
          <w:trHeight w:val="214"/>
        </w:trPr>
        <w:tc>
          <w:tcPr>
            <w:tcW w:w="5720" w:type="dxa"/>
            <w:vAlign w:val="bottom"/>
            <w:tcBorders>
              <w:bottom w:val="single" w:sz="8" w:color="CCEE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CCEEFF"/>
            </w:tcBorders>
          </w:tcPr>
          <w:p>
            <w:pPr>
              <w:spacing w:after="0"/>
              <w:rPr>
                <w:sz w:val="18"/>
                <w:szCs w:val="18"/>
                <w:color w:val="auto"/>
              </w:rPr>
            </w:pPr>
          </w:p>
        </w:tc>
        <w:tc>
          <w:tcPr>
            <w:tcW w:w="8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CCEEFF"/>
            </w:tcBorders>
          </w:tcPr>
          <w:p>
            <w:pPr>
              <w:spacing w:after="0"/>
              <w:rPr>
                <w:sz w:val="18"/>
                <w:szCs w:val="18"/>
                <w:color w:val="auto"/>
              </w:rPr>
            </w:pPr>
          </w:p>
        </w:tc>
        <w:tc>
          <w:tcPr>
            <w:tcW w:w="780" w:type="dxa"/>
            <w:vAlign w:val="bottom"/>
            <w:tcBorders>
              <w:top w:val="single" w:sz="8" w:color="auto"/>
              <w:bottom w:val="single" w:sz="8" w:color="CCEEFF"/>
            </w:tcBorders>
          </w:tcPr>
          <w:p>
            <w:pPr>
              <w:spacing w:after="0"/>
              <w:rPr>
                <w:sz w:val="18"/>
                <w:szCs w:val="18"/>
                <w:color w:val="auto"/>
              </w:rPr>
            </w:pPr>
          </w:p>
        </w:tc>
        <w:tc>
          <w:tcPr>
            <w:tcW w:w="540" w:type="dxa"/>
            <w:vAlign w:val="bottom"/>
            <w:tcBorders>
              <w:top w:val="single" w:sz="8" w:color="auto"/>
              <w:bottom w:val="single" w:sz="8" w:color="CCEEFF"/>
            </w:tcBorders>
          </w:tcPr>
          <w:p>
            <w:pPr>
              <w:spacing w:after="0"/>
              <w:rPr>
                <w:sz w:val="18"/>
                <w:szCs w:val="18"/>
                <w:color w:val="auto"/>
              </w:rPr>
            </w:pPr>
          </w:p>
        </w:tc>
      </w:tr>
      <w:tr>
        <w:trPr>
          <w:trHeight w:val="20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Net cash provided by (used in):</w:t>
            </w:r>
          </w:p>
        </w:tc>
        <w:tc>
          <w:tcPr>
            <w:tcW w:w="8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r>
      <w:tr>
        <w:trPr>
          <w:trHeight w:val="221"/>
        </w:trPr>
        <w:tc>
          <w:tcPr>
            <w:tcW w:w="57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activities</w:t>
            </w: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(78.2)</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13 %</w:t>
            </w:r>
          </w:p>
        </w:tc>
      </w:tr>
      <w:tr>
        <w:trPr>
          <w:trHeight w:val="221"/>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Investing activities</w:t>
            </w:r>
          </w:p>
        </w:tc>
        <w:tc>
          <w:tcPr>
            <w:tcW w:w="84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149.3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w:t>
            </w: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286 %</w:t>
            </w:r>
          </w:p>
        </w:tc>
      </w:tr>
      <w:tr>
        <w:trPr>
          <w:trHeight w:val="221"/>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Financing activities</w:t>
            </w:r>
          </w:p>
        </w:tc>
        <w:tc>
          <w:tcPr>
            <w:tcW w:w="8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(149.4)</w:t>
            </w:r>
          </w:p>
        </w:tc>
        <w:tc>
          <w:tcPr>
            <w:tcW w:w="22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w:t>
            </w:r>
          </w:p>
        </w:tc>
      </w:tr>
      <w:tr>
        <w:trPr>
          <w:trHeight w:val="239"/>
        </w:trPr>
        <w:tc>
          <w:tcPr>
            <w:tcW w:w="5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increase (decrease) in cash and cash equivalents</w:t>
            </w:r>
          </w:p>
        </w:tc>
        <w:tc>
          <w:tcPr>
            <w:tcW w:w="840" w:type="dxa"/>
            <w:vAlign w:val="bottom"/>
            <w:tcBorders>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2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NM</w:t>
            </w: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NM: Not Meaningful</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Operating Activities</w:t>
      </w:r>
    </w:p>
    <w:p>
      <w:pPr>
        <w:spacing w:after="0" w:line="171" w:lineRule="exact"/>
        <w:rPr>
          <w:sz w:val="20"/>
          <w:szCs w:val="20"/>
          <w:color w:val="auto"/>
        </w:rPr>
      </w:pPr>
    </w:p>
    <w:p>
      <w:pPr>
        <w:ind w:right="100" w:firstLine="625"/>
        <w:spacing w:after="0" w:line="263" w:lineRule="auto"/>
        <w:rPr>
          <w:sz w:val="20"/>
          <w:szCs w:val="20"/>
          <w:color w:val="auto"/>
        </w:rPr>
      </w:pPr>
      <w:r>
        <w:rPr>
          <w:rFonts w:ascii="Times New Roman" w:cs="Times New Roman" w:eastAsia="Times New Roman" w:hAnsi="Times New Roman"/>
          <w:sz w:val="17"/>
          <w:szCs w:val="17"/>
          <w:color w:val="auto"/>
        </w:rPr>
        <w:t>Net cash used in operating activities consists of our net loss adjusted for non-cash items such as depreciation and amortization expense and stock-based compensation, gain on royalty monetization arrangement which is classified as a financing activity, gain on sale of MARGENZA which is classified as an investing activity, and changes in working capital. Net cash used in operating activities for the year ended December 31, 2024 benefited from a $100.0 million milestone payment received from Incyte under the Incyte License Agreement. Net cash used in operating activities for the year ended December 31, 2023 benefited from $45.0 million in milestone payments received from Provention and a $15.0 million milestone payment received from Incyte under the Incyte License Agreement.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Investing Activities</w:t>
      </w:r>
    </w:p>
    <w:p>
      <w:pPr>
        <w:spacing w:after="0" w:line="171" w:lineRule="exact"/>
        <w:rPr>
          <w:sz w:val="20"/>
          <w:szCs w:val="20"/>
          <w:color w:val="auto"/>
        </w:rPr>
      </w:pPr>
    </w:p>
    <w:p>
      <w:pPr>
        <w:ind w:right="500" w:firstLine="625"/>
        <w:spacing w:after="0" w:line="294" w:lineRule="auto"/>
        <w:rPr>
          <w:sz w:val="20"/>
          <w:szCs w:val="20"/>
          <w:color w:val="auto"/>
        </w:rPr>
      </w:pPr>
      <w:r>
        <w:rPr>
          <w:rFonts w:ascii="Times New Roman" w:cs="Times New Roman" w:eastAsia="Times New Roman" w:hAnsi="Times New Roman"/>
          <w:sz w:val="17"/>
          <w:szCs w:val="17"/>
          <w:color w:val="auto"/>
        </w:rPr>
        <w:t>Net cash provided by investing activities during the year ended December 31, 2024 is primarily due to proceeds from the sale of MARGENZA to TerSera and maturities of marketable securities, partially offset by purchases of marketable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0" w:right="339" w:bottom="1440" w:gutter="0" w:footer="0" w:header="0"/>
        </w:sectPr>
      </w:pPr>
    </w:p>
    <w:bookmarkStart w:id="71" w:name="page72"/>
    <w:bookmarkEnd w:id="71"/>
    <w:p>
      <w:pPr>
        <w:ind w:right="200"/>
        <w:spacing w:after="0" w:line="294" w:lineRule="auto"/>
        <w:rPr>
          <w:sz w:val="20"/>
          <w:szCs w:val="20"/>
          <w:color w:val="auto"/>
        </w:rPr>
      </w:pPr>
      <w:r>
        <w:rPr>
          <w:rFonts w:ascii="Times New Roman" w:cs="Times New Roman" w:eastAsia="Times New Roman" w:hAnsi="Times New Roman"/>
          <w:sz w:val="17"/>
          <w:szCs w:val="17"/>
          <w:color w:val="auto"/>
        </w:rPr>
        <w:t>securities. Net cash used in investing activities during the year ended December 31, 2023 is primarily due to purchases of marketable securities, partially offset by maturities of marketable securities.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Financing Activities</w:t>
      </w:r>
    </w:p>
    <w:p>
      <w:pPr>
        <w:spacing w:after="0" w:line="171"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Net cash provided by financing activities for the year ended December 31, 2024 includes proceeds from stock option exercises and ESPP purchases, offset by taxes paid related to net share settlement of equity awards. Net cash provided by financing activities for the year ended December 31, 2023 includes net cash proceeds from our Royalty Purchase Agreement with DRI of $149.7 million.</w:t>
      </w:r>
    </w:p>
    <w:p>
      <w:pPr>
        <w:spacing w:after="0" w:line="112"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Our multiple product candidates currently under development will require significant additional research and development efforts that include extensive preclinical studies and clinical testing, and regulatory approval prior to commercial use. Our future success is dependent on our ability to identify and develop our product candidates, and ultimately upon our ability to attain profitable operations. We have devoted substantially all of our financial resources and efforts to research and development and general and administrative expenses to support such research and development. Net losses and negative cash flows have had, and will continue to have, an adverse effect on our stockholders’ equity and working capital, and accordingly, our ability to execute our future operating plans.</w:t>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As a biotechnology company, we have primarily funded our operations with proceeds from the sale of our common stock in equity offerings and</w:t>
      </w:r>
    </w:p>
    <w:p>
      <w:pPr>
        <w:spacing w:after="0" w:line="5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7"/>
          <w:szCs w:val="17"/>
          <w:color w:val="auto"/>
        </w:rPr>
        <w:t>revenue from our multiple collaboration agreements. Management regularly reviews our available liquidity relative to our operating budget and forecast to monitor the sufficiency of our working capital and anticipates continuing to draw upon available sources of capital, including equity and debt instruments, to support our product development activities. There can be no assurances that new sources of capital will be available to us on commercially acceptable terms, if at all. Also, any future collaborations, strategic alliances and marketing, distribution or licensing arrangements may require us to give up some or all rights to a product or technology at less than its full potential value. If we are unable to enter into new arrangements or to perform under current or future agreements or obtain additional capital, we will assess our capital resources and may be required to delay, reduce the scope of, or eliminate one or more of our product research and development programs or clinical studies, and/or downsize our organization</w:t>
      </w:r>
      <w:r>
        <w:rPr>
          <w:rFonts w:ascii="Times New Roman" w:cs="Times New Roman" w:eastAsia="Times New Roman" w:hAnsi="Times New Roman"/>
          <w:sz w:val="17"/>
          <w:szCs w:val="17"/>
          <w:color w:val="EE2724"/>
        </w:rPr>
        <w:t>.</w:t>
      </w:r>
      <w:r>
        <w:rPr>
          <w:rFonts w:ascii="Times New Roman" w:cs="Times New Roman" w:eastAsia="Times New Roman" w:hAnsi="Times New Roman"/>
          <w:sz w:val="17"/>
          <w:szCs w:val="17"/>
          <w:color w:val="auto"/>
        </w:rPr>
        <w:t xml:space="preserve"> Although it is difficult to predict our funding requirements, we anticipate that our cash, cash equivalents and marketable securities as of December 31, 2024, combined with anticipated and potential collaboration payments, contract manufacturing revenue, and royalties, should enable us to fund our operations into the second half of 2026. Our expected funding requirements reflect anticipated expenditures related to the ongoing Phase 2 LORIKEET study of lorigerlimab in mCRPC as well as our other clinical and preclinical studies currently ongoing.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252525"/>
        </w:rPr>
        <w:t>Material Cash Requirements</w:t>
      </w:r>
    </w:p>
    <w:p>
      <w:pPr>
        <w:spacing w:after="0" w:line="173"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Our short-term and long-term material cash requirements consist of operational and capital expenditures, some of which contain contractual obligations. Our primary uses of cash relate to paying salaries and benefits, administering clinical trials and providing the technology and facilities necessary to support our operations. The most significant contractual obligations are the operating leases at our facilities in Maryland. Our future minimum lease payments as of December 31, 2024 totaled $5.2 million related to short-term lease liabilities, and $65.3 million related to long-term lease liabilities. See Note 6, Commitments and Contingencies, in the Notes to the Financial Statements in this Annual Report on Form 10-K for additional information about our contractual obligations. We expect to fund these requirements with current cash, cash equivalents and marketable securities as well as anticipated and potential collaboration payments.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do not have any off-balance sheet arrangements, as defined under the rules and regulations of the Securities and Exchange Commission.</w:t>
      </w:r>
    </w:p>
    <w:p>
      <w:pPr>
        <w:spacing w:after="0" w:line="200" w:lineRule="exact"/>
        <w:rPr>
          <w:sz w:val="20"/>
          <w:szCs w:val="20"/>
          <w:color w:val="auto"/>
        </w:rPr>
      </w:pPr>
    </w:p>
    <w:p>
      <w:pPr>
        <w:spacing w:after="0" w:line="202"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7A.</w:t>
        <w:tab/>
        <w:t>QUANTITATIVE AND QUALITATIVE DISCLOSURES ABOUT MARKET RISK</w:t>
      </w:r>
    </w:p>
    <w:p>
      <w:pPr>
        <w:spacing w:after="0" w:line="171" w:lineRule="exact"/>
        <w:rPr>
          <w:sz w:val="20"/>
          <w:szCs w:val="20"/>
          <w:color w:val="auto"/>
        </w:rPr>
      </w:pPr>
    </w:p>
    <w:p>
      <w:pPr>
        <w:ind w:right="20" w:firstLine="625"/>
        <w:spacing w:after="0" w:line="262" w:lineRule="auto"/>
        <w:rPr>
          <w:sz w:val="20"/>
          <w:szCs w:val="20"/>
          <w:color w:val="auto"/>
        </w:rPr>
      </w:pPr>
      <w:r>
        <w:rPr>
          <w:rFonts w:ascii="Times New Roman" w:cs="Times New Roman" w:eastAsia="Times New Roman" w:hAnsi="Times New Roman"/>
          <w:sz w:val="17"/>
          <w:szCs w:val="17"/>
          <w:color w:val="auto"/>
        </w:rPr>
        <w:t xml:space="preserve">Our primary objective when considering our investment activities is to preserve capital in order to fund our operations. We also seek to maximize income from our investments without assuming significant risk. Our current investment policy is to invest principally in deposits and securities issued by the U.S. government and its agencies, Government Sponsored Enterprise agency debt obligations, corporate debt obligations and money market instruments. As of December 31, 2024, we had cash, cash equivalents and marketable securities of $201.7 million. Our primary exposure to market risk is related to changes in interest rates. </w:t>
      </w:r>
      <w:r>
        <w:rPr>
          <w:rFonts w:ascii="Times New Roman" w:cs="Times New Roman" w:eastAsia="Times New Roman" w:hAnsi="Times New Roman"/>
          <w:sz w:val="17"/>
          <w:szCs w:val="17"/>
          <w:color w:val="252525"/>
        </w:rPr>
        <w:t>Due to the short-term maturities of our cash equivalents and marketable securities and the low risk profile of our marketable securities, an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immediate 100 basis point change in interest rates would not have a material effect on the fair market value of our cash equivalents and marketable securities. We have the ability to hold our marketable securities</w:t>
      </w: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7"/>
          <w:szCs w:val="17"/>
          <w:color w:val="252525"/>
        </w:rPr>
        <w:t>until maturity, and we therefore do not expect a change in market interest rates to affect our operating results or cash flows to any significant degree.</w:t>
      </w:r>
    </w:p>
    <w:p>
      <w:pPr>
        <w:spacing w:after="0" w:line="29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8.</w:t>
        <w:tab/>
        <w:t>FINANCIAL STATEMENTS AND SUPPLEMENTARY DATA</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information required by this item is set forth beginning on page F-1 in this Annual Report on Form 10-K.</w:t>
      </w:r>
    </w:p>
    <w:p>
      <w:pPr>
        <w:spacing w:after="0" w:line="200" w:lineRule="exact"/>
        <w:rPr>
          <w:sz w:val="20"/>
          <w:szCs w:val="20"/>
          <w:color w:val="auto"/>
        </w:rPr>
      </w:pPr>
    </w:p>
    <w:p>
      <w:pPr>
        <w:spacing w:after="0" w:line="202"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7"/>
          <w:szCs w:val="17"/>
          <w:b w:val="1"/>
          <w:bCs w:val="1"/>
          <w:color w:val="auto"/>
        </w:rPr>
        <w:t>ITEM 9.</w:t>
        <w:tab/>
        <w:t>CHANGES IN AND DISAGREEMENTS WITH ACCOUNTANTS ON ACCOUNTING AND FINANCIAL DISCLOSURE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None.</w:t>
      </w:r>
    </w:p>
    <w:p>
      <w:pPr>
        <w:spacing w:after="0" w:line="245"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9A.</w:t>
        <w:tab/>
        <w:t>CONTROLS AND PROCEDURES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171" w:lineRule="exact"/>
        <w:rPr>
          <w:sz w:val="20"/>
          <w:szCs w:val="20"/>
          <w:color w:val="auto"/>
        </w:rPr>
      </w:pPr>
    </w:p>
    <w:p>
      <w:pPr>
        <w:ind w:right="20" w:firstLine="625"/>
        <w:spacing w:after="0" w:line="263" w:lineRule="auto"/>
        <w:rPr>
          <w:sz w:val="20"/>
          <w:szCs w:val="20"/>
          <w:color w:val="auto"/>
        </w:rPr>
      </w:pPr>
      <w:r>
        <w:rPr>
          <w:rFonts w:ascii="Times New Roman" w:cs="Times New Roman" w:eastAsia="Times New Roman" w:hAnsi="Times New Roman"/>
          <w:sz w:val="17"/>
          <w:szCs w:val="17"/>
          <w:color w:val="auto"/>
        </w:rPr>
        <w:t>Our management, including our principal executive and principal financial officers, has evaluated the effectiveness of our disclosure controls and procedures as of December 31, 2024. Our disclosure controls and procedures are designed to provide reasonable assurance that the information required to be disclosed in this Annual Report on Form 10-K has been appropriately recorded, processed, summarized and reported within the time periods specified in the Securities and Exchange Commission's rules and forms, and that such information is accumulated and communicated to our management, including our principal executive and principal financial officers, to allow timely decisions regarding required disclosure. Based on that evaluation, our principal executive and principal financial officers have concluded that our disclosure controls and procedures are effective at the reasonable assurance level.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Changes in Internal Control</w:t>
      </w:r>
    </w:p>
    <w:p>
      <w:pPr>
        <w:spacing w:after="0" w:line="171" w:lineRule="exact"/>
        <w:rPr>
          <w:sz w:val="20"/>
          <w:szCs w:val="20"/>
          <w:color w:val="auto"/>
        </w:rPr>
      </w:pPr>
    </w:p>
    <w:p>
      <w:pPr>
        <w:ind w:right="360" w:firstLine="625"/>
        <w:spacing w:after="0" w:line="268" w:lineRule="auto"/>
        <w:rPr>
          <w:sz w:val="20"/>
          <w:szCs w:val="20"/>
          <w:color w:val="auto"/>
        </w:rPr>
      </w:pPr>
      <w:r>
        <w:rPr>
          <w:rFonts w:ascii="Times New Roman" w:cs="Times New Roman" w:eastAsia="Times New Roman" w:hAnsi="Times New Roman"/>
          <w:sz w:val="17"/>
          <w:szCs w:val="17"/>
          <w:color w:val="252525"/>
        </w:rPr>
        <w:t xml:space="preserve">Our management, including our principal executive and principal financial officers, has evaluated any changes in our internal control over financial reporting that occurred during the quarterly period ended </w:t>
      </w:r>
      <w:r>
        <w:rPr>
          <w:rFonts w:ascii="Times New Roman" w:cs="Times New Roman" w:eastAsia="Times New Roman" w:hAnsi="Times New Roman"/>
          <w:sz w:val="17"/>
          <w:szCs w:val="17"/>
          <w:color w:val="000000"/>
        </w:rPr>
        <w:t>December 31, 2024</w:t>
      </w:r>
      <w:r>
        <w:rPr>
          <w:rFonts w:ascii="Times New Roman" w:cs="Times New Roman" w:eastAsia="Times New Roman" w:hAnsi="Times New Roman"/>
          <w:sz w:val="17"/>
          <w:szCs w:val="17"/>
          <w:color w:val="252525"/>
        </w:rPr>
        <w:t xml:space="preserve">, and has concluded that there was no change that occurred during the quarterly period ended </w:t>
      </w:r>
      <w:r>
        <w:rPr>
          <w:rFonts w:ascii="Times New Roman" w:cs="Times New Roman" w:eastAsia="Times New Roman" w:hAnsi="Times New Roman"/>
          <w:sz w:val="17"/>
          <w:szCs w:val="17"/>
          <w:color w:val="000000"/>
        </w:rPr>
        <w:t>December 31, 2024 that have materially affected, or are reasonably likely to materially effect, the Company's internal control over financial</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reporting.</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Management's Report on Internal Control over Financial Reporting</w:t>
      </w:r>
    </w:p>
    <w:p>
      <w:pPr>
        <w:spacing w:after="0" w:line="171"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The management of the Company is responsible for establishing and maintaining adequate internal control over financial reporting. Internal control over financial reporting is defined in Rule 13a-15(f) or 15d-15(f) promulgated under the Securities Exchange Act of 1934, as amended, as a process designed by, or under the supervision of, the Company's principal executive and principal financial officers and effected by the Company's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119" w:lineRule="exact"/>
        <w:rPr>
          <w:sz w:val="20"/>
          <w:szCs w:val="20"/>
          <w:color w:val="auto"/>
        </w:rPr>
      </w:pPr>
    </w:p>
    <w:p>
      <w:pPr>
        <w:ind w:left="940" w:right="440" w:hanging="311"/>
        <w:spacing w:after="0" w:line="287" w:lineRule="auto"/>
        <w:tabs>
          <w:tab w:leader="none" w:pos="93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pertain to the management of records that in reasonable detail accurately and fairly reflect the transactions and dispositions of the assets of the Company;</w:t>
      </w:r>
    </w:p>
    <w:p>
      <w:pPr>
        <w:spacing w:after="0" w:line="1" w:lineRule="exact"/>
        <w:rPr>
          <w:rFonts w:ascii="Times New Roman" w:cs="Times New Roman" w:eastAsia="Times New Roman" w:hAnsi="Times New Roman"/>
          <w:sz w:val="17"/>
          <w:szCs w:val="17"/>
          <w:color w:val="auto"/>
        </w:rPr>
      </w:pPr>
    </w:p>
    <w:p>
      <w:pPr>
        <w:ind w:left="940" w:right="120" w:hanging="311"/>
        <w:spacing w:after="0" w:line="274" w:lineRule="auto"/>
        <w:tabs>
          <w:tab w:leader="none" w:pos="93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w:t>
      </w:r>
    </w:p>
    <w:p>
      <w:pPr>
        <w:spacing w:after="0" w:line="7" w:lineRule="exact"/>
        <w:rPr>
          <w:rFonts w:ascii="Times New Roman" w:cs="Times New Roman" w:eastAsia="Times New Roman" w:hAnsi="Times New Roman"/>
          <w:sz w:val="17"/>
          <w:szCs w:val="17"/>
          <w:color w:val="auto"/>
        </w:rPr>
      </w:pPr>
    </w:p>
    <w:p>
      <w:pPr>
        <w:ind w:left="940" w:right="160" w:hanging="311"/>
        <w:spacing w:after="0" w:line="294" w:lineRule="auto"/>
        <w:tabs>
          <w:tab w:leader="none" w:pos="935" w:val="left"/>
        </w:tabs>
        <w:numPr>
          <w:ilvl w:val="0"/>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reasonable assurance regarding prevention or timely detection of unauthorized acquisition, use or disposition of the Company's assets that could have a material effect on the financial statements.</w:t>
      </w:r>
    </w:p>
    <w:p>
      <w:pPr>
        <w:spacing w:after="0" w:line="42" w:lineRule="exact"/>
        <w:rPr>
          <w:sz w:val="20"/>
          <w:szCs w:val="20"/>
          <w:color w:val="auto"/>
        </w:rPr>
      </w:pPr>
    </w:p>
    <w:p>
      <w:pPr>
        <w:ind w:right="260" w:firstLine="625"/>
        <w:spacing w:after="0" w:line="268"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or procedures may deteriorate. All internal control systems, no matter how well designed, have inherent limitations. Therefore, even those systems determined to be effective can provide only reasonable assurance with respect to financial statement preparation and presentation.</w:t>
      </w:r>
    </w:p>
    <w:p>
      <w:pPr>
        <w:spacing w:after="0" w:line="65" w:lineRule="exact"/>
        <w:rPr>
          <w:sz w:val="20"/>
          <w:szCs w:val="20"/>
          <w:color w:val="auto"/>
        </w:rPr>
      </w:pPr>
    </w:p>
    <w:p>
      <w:pPr>
        <w:ind w:right="120" w:firstLine="625"/>
        <w:spacing w:after="0" w:line="274" w:lineRule="auto"/>
        <w:rPr>
          <w:sz w:val="20"/>
          <w:szCs w:val="20"/>
          <w:color w:val="auto"/>
        </w:rPr>
      </w:pPr>
      <w:r>
        <w:rPr>
          <w:rFonts w:ascii="Times New Roman" w:cs="Times New Roman" w:eastAsia="Times New Roman" w:hAnsi="Times New Roman"/>
          <w:sz w:val="17"/>
          <w:szCs w:val="17"/>
          <w:color w:val="auto"/>
        </w:rPr>
        <w:t>The Company's management assessed the effectiveness of the Company's internal control over financial reporting as of December 31, 2024. In making this assessment, the Company's management used the criteria set forth by the Committee of Sponsoring Organizations of the Treadway Commission (2013 framework) (COSO) in Internal Control-Integrated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73" w:name="page74"/>
    <w:bookmarkEnd w:id="73"/>
    <w:p>
      <w:pPr>
        <w:ind w:right="160"/>
        <w:spacing w:after="0" w:line="294" w:lineRule="auto"/>
        <w:rPr>
          <w:sz w:val="20"/>
          <w:szCs w:val="20"/>
          <w:color w:val="auto"/>
        </w:rPr>
      </w:pPr>
      <w:r>
        <w:rPr>
          <w:rFonts w:ascii="Times New Roman" w:cs="Times New Roman" w:eastAsia="Times New Roman" w:hAnsi="Times New Roman"/>
          <w:sz w:val="17"/>
          <w:szCs w:val="17"/>
          <w:color w:val="auto"/>
        </w:rPr>
        <w:t>Framework. Based on our assessment, management believes that, as of December 31, 2024, the Company's internal control over financial reporting is effective based on those criteria.</w:t>
      </w:r>
    </w:p>
    <w:p>
      <w:pPr>
        <w:spacing w:after="0" w:line="94" w:lineRule="exact"/>
        <w:rPr>
          <w:sz w:val="20"/>
          <w:szCs w:val="20"/>
          <w:color w:val="auto"/>
        </w:rPr>
      </w:pPr>
    </w:p>
    <w:p>
      <w:pPr>
        <w:ind w:right="320" w:firstLine="625"/>
        <w:spacing w:after="0" w:line="294" w:lineRule="auto"/>
        <w:rPr>
          <w:sz w:val="20"/>
          <w:szCs w:val="20"/>
          <w:color w:val="auto"/>
        </w:rPr>
      </w:pPr>
      <w:r>
        <w:rPr>
          <w:rFonts w:ascii="Times New Roman" w:cs="Times New Roman" w:eastAsia="Times New Roman" w:hAnsi="Times New Roman"/>
          <w:sz w:val="17"/>
          <w:szCs w:val="17"/>
          <w:color w:val="auto"/>
        </w:rPr>
        <w:t>The effectiveness of our internal control over financial reporting as of December 31, 2024 has been audited by Ernst &amp; Young, LLP, an independent registered public accounting firm, as stated in their report which is included herein on page 70.</w:t>
      </w:r>
    </w:p>
    <w:p>
      <w:pPr>
        <w:spacing w:after="0" w:line="37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9B.</w:t>
        <w:tab/>
        <w:t>OTHER INFORMATION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10b5-1 Trading Plans</w:t>
      </w:r>
    </w:p>
    <w:p>
      <w:pPr>
        <w:spacing w:after="0" w:line="171" w:lineRule="exact"/>
        <w:rPr>
          <w:sz w:val="20"/>
          <w:szCs w:val="20"/>
          <w:color w:val="auto"/>
        </w:rPr>
      </w:pPr>
    </w:p>
    <w:p>
      <w:pPr>
        <w:ind w:right="440" w:firstLine="625"/>
        <w:spacing w:after="0" w:line="294" w:lineRule="auto"/>
        <w:rPr>
          <w:sz w:val="20"/>
          <w:szCs w:val="20"/>
          <w:color w:val="auto"/>
        </w:rPr>
      </w:pPr>
      <w:r>
        <w:rPr>
          <w:rFonts w:ascii="Times New Roman" w:cs="Times New Roman" w:eastAsia="Times New Roman" w:hAnsi="Times New Roman"/>
          <w:sz w:val="17"/>
          <w:szCs w:val="17"/>
          <w:color w:val="auto"/>
        </w:rPr>
        <w:t>During the three months ended December 31, 2024 the following Section 16 officer and directors adopted, modified or terminated a “Rule 10b5-1 trading arrangement” (as defined in Item 408 of Regulation S-K of the Exchange Act):</w:t>
      </w:r>
    </w:p>
    <w:p>
      <w:pPr>
        <w:spacing w:after="0" w:line="276" w:lineRule="exact"/>
        <w:rPr>
          <w:sz w:val="20"/>
          <w:szCs w:val="20"/>
          <w:color w:val="auto"/>
        </w:rPr>
      </w:pPr>
    </w:p>
    <w:p>
      <w:pPr>
        <w:ind w:left="940" w:right="160" w:hanging="311"/>
        <w:spacing w:after="0" w:line="274" w:lineRule="auto"/>
        <w:tabs>
          <w:tab w:leader="none" w:pos="93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James Karrels, Senior Vice President and Chief Financial Officer, adopted a new trading plan on November 21, 2024 (with the first trade possible under the new plan no sooner than April 16, 2025). The trading plan will be effective until April 15, 2026 and covers the potential sale of up to 410,000 shares of common stock.</w:t>
      </w:r>
    </w:p>
    <w:p>
      <w:pPr>
        <w:spacing w:after="0" w:line="59" w:lineRule="exact"/>
        <w:rPr>
          <w:rFonts w:ascii="Times New Roman" w:cs="Times New Roman" w:eastAsia="Times New Roman" w:hAnsi="Times New Roman"/>
          <w:sz w:val="17"/>
          <w:szCs w:val="17"/>
          <w:color w:val="auto"/>
        </w:rPr>
      </w:pPr>
    </w:p>
    <w:p>
      <w:pPr>
        <w:ind w:left="940" w:hanging="311"/>
        <w:spacing w:after="0" w:line="274" w:lineRule="auto"/>
        <w:tabs>
          <w:tab w:leader="none" w:pos="935"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Jeffrey Peters, Senior Vice President and General Counsel, adopted a new trading plan on November 15, 2024 (with the first trade possible under the new plan no sooner than March 21, 2025). The trading plan will be effective until March 20, 2026 and covers the potential sale of up to 448,881 shares of common stock.</w:t>
      </w:r>
    </w:p>
    <w:p>
      <w:pPr>
        <w:spacing w:after="0" w:line="39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9C.</w:t>
        <w:tab/>
        <w:t>DISCLOSURE REGARDING FOREIGN JURISDICTIONS THAT PREVENT INSPECTIONS</w:t>
      </w:r>
    </w:p>
    <w:p>
      <w:pPr>
        <w:spacing w:after="0" w:line="1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74" w:name="page75"/>
    <w:bookmarkEnd w:id="74"/>
    <w:p>
      <w:pPr>
        <w:jc w:val="center"/>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MacroGenics, Inc.</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Internal Control over Financial Reporting</w:t>
      </w:r>
    </w:p>
    <w:p>
      <w:pPr>
        <w:spacing w:after="0" w:line="158"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17"/>
          <w:szCs w:val="17"/>
          <w:color w:val="auto"/>
        </w:rPr>
        <w:t>We have audited MacroGenics, Inc.’s internal control over financial reporting as of December 31, 2024, based on criteria established in Internal Control-Integrated Framework issued by the Committee of Sponsoring Organizations of the Treadway Commission (2013 framework) (the COSO criteria). In our opinion, MacroGenics, Inc. (the Company) maintained, in all material respects, effective internal control over financial reporting as of December 31, 2024, based on the COSO criteria.</w:t>
      </w:r>
    </w:p>
    <w:p>
      <w:pPr>
        <w:spacing w:after="0" w:line="104" w:lineRule="exact"/>
        <w:rPr>
          <w:sz w:val="20"/>
          <w:szCs w:val="20"/>
          <w:color w:val="auto"/>
        </w:rPr>
      </w:pPr>
    </w:p>
    <w:p>
      <w:pPr>
        <w:ind w:right="100"/>
        <w:spacing w:after="0" w:line="268"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consolidated balance sheets of the Company as of December 31, 2024 and 2023, the related consolidated statements of operations and comprehensive loss, stockholders’ equity and cash flows for each of the three years in the period ended December 31, 2024, and the related notes and our report dated March 20, 2025, expressed an unqualified opinion thereon.</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ind w:right="600"/>
        <w:spacing w:after="0" w:line="294"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172"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Definition and Limitations of Internal Control Over Financial Reporting</w:t>
      </w:r>
    </w:p>
    <w:p>
      <w:pPr>
        <w:spacing w:after="0" w:line="14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99"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3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Tysons, Virginia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20,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1148" w:right="339" w:bottom="1440" w:gutter="0" w:footer="0" w:header="0"/>
        </w:sectPr>
      </w:pPr>
    </w:p>
    <w:bookmarkStart w:id="75" w:name="page76"/>
    <w:bookmarkEnd w:id="75"/>
    <w:p>
      <w:pPr>
        <w:ind w:left="5280"/>
        <w:spacing w:after="0"/>
        <w:rPr>
          <w:sz w:val="20"/>
          <w:szCs w:val="20"/>
          <w:color w:val="auto"/>
        </w:rPr>
      </w:pPr>
      <w:r>
        <w:rPr>
          <w:rFonts w:ascii="Times New Roman" w:cs="Times New Roman" w:eastAsia="Times New Roman" w:hAnsi="Times New Roman"/>
          <w:sz w:val="17"/>
          <w:szCs w:val="17"/>
          <w:b w:val="1"/>
          <w:bCs w:val="1"/>
          <w:color w:val="auto"/>
        </w:rPr>
        <w:t>PART III</w:t>
      </w:r>
    </w:p>
    <w:p>
      <w:pPr>
        <w:spacing w:after="0" w:line="16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10.</w:t>
        <w:tab/>
        <w:t>DIRECTORS, EXECUTIVE OFFICERS AND CORPORATE GOVERNANCE</w:t>
      </w:r>
    </w:p>
    <w:p>
      <w:pPr>
        <w:spacing w:after="0" w:line="171" w:lineRule="exact"/>
        <w:rPr>
          <w:sz w:val="20"/>
          <w:szCs w:val="20"/>
          <w:color w:val="auto"/>
        </w:rPr>
      </w:pPr>
    </w:p>
    <w:p>
      <w:pPr>
        <w:jc w:val="both"/>
        <w:ind w:right="240" w:firstLine="625"/>
        <w:spacing w:after="0" w:line="274" w:lineRule="auto"/>
        <w:rPr>
          <w:sz w:val="20"/>
          <w:szCs w:val="20"/>
          <w:color w:val="auto"/>
        </w:rPr>
      </w:pPr>
      <w:r>
        <w:rPr>
          <w:rFonts w:ascii="Times New Roman" w:cs="Times New Roman" w:eastAsia="Times New Roman" w:hAnsi="Times New Roman"/>
          <w:sz w:val="17"/>
          <w:szCs w:val="17"/>
          <w:color w:val="auto"/>
        </w:rPr>
        <w:t>We incorporate herein by reference the relevant information concerning directors, executive officers and corporate governance to be included in our definitive proxy statement for the 2025 annual meeting of stockholders (the 2025 Proxy Statement) under the captions “Directors and Nominees,” “Corporate Governance,” “Executive Officers,” and “Delinquent Section 16(a) Reports”.</w:t>
      </w:r>
    </w:p>
    <w:p>
      <w:pPr>
        <w:spacing w:after="0" w:line="112" w:lineRule="exact"/>
        <w:rPr>
          <w:sz w:val="20"/>
          <w:szCs w:val="20"/>
          <w:color w:val="auto"/>
        </w:rPr>
      </w:pPr>
    </w:p>
    <w:p>
      <w:pPr>
        <w:jc w:val="both"/>
        <w:ind w:right="20" w:firstLine="625"/>
        <w:spacing w:after="0" w:line="274" w:lineRule="auto"/>
        <w:rPr>
          <w:sz w:val="20"/>
          <w:szCs w:val="20"/>
          <w:color w:val="auto"/>
        </w:rPr>
      </w:pPr>
      <w:r>
        <w:rPr>
          <w:rFonts w:ascii="Times New Roman" w:cs="Times New Roman" w:eastAsia="Times New Roman" w:hAnsi="Times New Roman"/>
          <w:sz w:val="17"/>
          <w:szCs w:val="17"/>
          <w:color w:val="auto"/>
        </w:rPr>
        <w:t>We have adopted a Code of Business Conduct and Ethics (the “Code”) that applies to all of our employees, officers and directors. The Code is available under the Corporate Governance section of our website at http://ir.macrogenics.com/governance. We expect that any amendments to the Code, or any waivers of its requirements, will be disclosed on our website.</w:t>
      </w:r>
    </w:p>
    <w:p>
      <w:pPr>
        <w:spacing w:after="0" w:line="99" w:lineRule="exact"/>
        <w:rPr>
          <w:sz w:val="20"/>
          <w:szCs w:val="20"/>
          <w:color w:val="auto"/>
        </w:rPr>
      </w:pPr>
    </w:p>
    <w:p>
      <w:pPr>
        <w:ind w:right="160" w:firstLine="625"/>
        <w:spacing w:after="0" w:line="252" w:lineRule="auto"/>
        <w:rPr>
          <w:sz w:val="20"/>
          <w:szCs w:val="20"/>
          <w:color w:val="auto"/>
        </w:rPr>
      </w:pPr>
      <w:r>
        <w:rPr>
          <w:rFonts w:ascii="Times New Roman" w:cs="Times New Roman" w:eastAsia="Times New Roman" w:hAnsi="Times New Roman"/>
          <w:sz w:val="17"/>
          <w:szCs w:val="17"/>
          <w:color w:val="111111"/>
        </w:rPr>
        <w:t>We have an insider trading policy governing the purchase, sale and other dispositions of our securities that applies to all of our personnel, including directors, officers, employees, and other covered persons. We believe that our insider trading policy is reasonably designed to promote compliance with insider trading laws, rules and regulations, and listing standards applicable to us. A copy of our insider trading policy is filed as Exhibit 19.1 to this Annual Report on Form 10-K.</w:t>
      </w:r>
    </w:p>
    <w:p>
      <w:pPr>
        <w:spacing w:after="0" w:line="258"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11.</w:t>
        <w:tab/>
        <w:t>EXECUTIVE COMPENSATION</w:t>
      </w:r>
    </w:p>
    <w:p>
      <w:pPr>
        <w:spacing w:after="0" w:line="171" w:lineRule="exact"/>
        <w:rPr>
          <w:sz w:val="20"/>
          <w:szCs w:val="20"/>
          <w:color w:val="auto"/>
        </w:rPr>
      </w:pPr>
    </w:p>
    <w:p>
      <w:pPr>
        <w:ind w:right="140" w:firstLine="625"/>
        <w:spacing w:after="0" w:line="294" w:lineRule="auto"/>
        <w:rPr>
          <w:sz w:val="20"/>
          <w:szCs w:val="20"/>
          <w:color w:val="auto"/>
        </w:rPr>
      </w:pPr>
      <w:r>
        <w:rPr>
          <w:rFonts w:ascii="Times New Roman" w:cs="Times New Roman" w:eastAsia="Times New Roman" w:hAnsi="Times New Roman"/>
          <w:sz w:val="17"/>
          <w:szCs w:val="17"/>
          <w:color w:val="auto"/>
        </w:rPr>
        <w:t>We incorporate herein by reference the relevant information concerning executive compensation to be included in the 2025 Proxy Statement under the captions “Executive Compensation Information” and “Director Compensation”.</w:t>
      </w:r>
    </w:p>
    <w:p>
      <w:pPr>
        <w:spacing w:after="0" w:line="200" w:lineRule="exact"/>
        <w:rPr>
          <w:sz w:val="20"/>
          <w:szCs w:val="20"/>
          <w:color w:val="auto"/>
        </w:rPr>
      </w:pPr>
    </w:p>
    <w:p>
      <w:pPr>
        <w:spacing w:after="0" w:line="283" w:lineRule="exact"/>
        <w:rPr>
          <w:sz w:val="20"/>
          <w:szCs w:val="20"/>
          <w:color w:val="auto"/>
        </w:rPr>
      </w:pPr>
    </w:p>
    <w:p>
      <w:pPr>
        <w:ind w:left="900" w:right="760" w:hanging="1249"/>
        <w:spacing w:after="0" w:line="296" w:lineRule="auto"/>
        <w:tabs>
          <w:tab w:leader="none" w:pos="880" w:val="left"/>
        </w:tabs>
        <w:rPr>
          <w:sz w:val="20"/>
          <w:szCs w:val="20"/>
          <w:color w:val="auto"/>
        </w:rPr>
      </w:pPr>
      <w:r>
        <w:rPr>
          <w:rFonts w:ascii="Times New Roman" w:cs="Times New Roman" w:eastAsia="Times New Roman" w:hAnsi="Times New Roman"/>
          <w:sz w:val="17"/>
          <w:szCs w:val="17"/>
          <w:b w:val="1"/>
          <w:bCs w:val="1"/>
          <w:color w:val="auto"/>
        </w:rPr>
        <w:t>ITEM 12.</w:t>
        <w:tab/>
        <w:t>SECURITY OWNERSHIP OF CERTAIN BENEFICIAL OWNERS AND MANAGEMENT AND RELATED STOCKHOLDER MATTERS</w:t>
      </w:r>
    </w:p>
    <w:p>
      <w:pPr>
        <w:spacing w:after="0" w:line="93"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We incorporate herein by reference the relevant information concerning security ownership of certain beneficial owners and management to be included in the 2025 Proxy Statement under the captions “Security Ownership of Certain Beneficial Owners and Management” and “Information About Equity Compensation Plans”.</w:t>
      </w:r>
    </w:p>
    <w:p>
      <w:pPr>
        <w:spacing w:after="0" w:line="200" w:lineRule="exact"/>
        <w:rPr>
          <w:sz w:val="20"/>
          <w:szCs w:val="20"/>
          <w:color w:val="auto"/>
        </w:rPr>
      </w:pPr>
    </w:p>
    <w:p>
      <w:pPr>
        <w:spacing w:after="0" w:line="301"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17"/>
          <w:szCs w:val="17"/>
          <w:b w:val="1"/>
          <w:bCs w:val="1"/>
          <w:color w:val="auto"/>
        </w:rPr>
        <w:t>ITEM 13.</w:t>
        <w:tab/>
        <w:t>CERTAIN RELATIONSHIPS AND RELATED TRANSACTIONS, AND DIRECTOR INDEPENDENCE</w:t>
      </w:r>
    </w:p>
    <w:p>
      <w:pPr>
        <w:spacing w:after="0" w:line="171" w:lineRule="exact"/>
        <w:rPr>
          <w:sz w:val="20"/>
          <w:szCs w:val="20"/>
          <w:color w:val="auto"/>
        </w:rPr>
      </w:pPr>
    </w:p>
    <w:p>
      <w:pPr>
        <w:ind w:right="220" w:firstLine="625"/>
        <w:spacing w:after="0" w:line="294" w:lineRule="auto"/>
        <w:rPr>
          <w:sz w:val="20"/>
          <w:szCs w:val="20"/>
          <w:color w:val="auto"/>
        </w:rPr>
      </w:pPr>
      <w:r>
        <w:rPr>
          <w:rFonts w:ascii="Times New Roman" w:cs="Times New Roman" w:eastAsia="Times New Roman" w:hAnsi="Times New Roman"/>
          <w:sz w:val="17"/>
          <w:szCs w:val="17"/>
          <w:color w:val="auto"/>
        </w:rPr>
        <w:t>We incorporate herein by reference the relevant information concerning certain other relationships and related transactions to be included in the 2025 Proxy Statement under the captions “Corporate Governance” and “Certain Relationships and Related Party Transactions”.</w:t>
      </w:r>
    </w:p>
    <w:p>
      <w:pPr>
        <w:spacing w:after="0" w:line="200" w:lineRule="exact"/>
        <w:rPr>
          <w:sz w:val="20"/>
          <w:szCs w:val="20"/>
          <w:color w:val="auto"/>
        </w:rPr>
      </w:pPr>
    </w:p>
    <w:p>
      <w:pPr>
        <w:spacing w:after="0" w:line="2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14.</w:t>
        <w:tab/>
        <w:t>PRINCIPAL ACCOUNTANT FEES AND SERVICES</w:t>
      </w:r>
    </w:p>
    <w:p>
      <w:pPr>
        <w:spacing w:after="0" w:line="171" w:lineRule="exact"/>
        <w:rPr>
          <w:sz w:val="20"/>
          <w:szCs w:val="20"/>
          <w:color w:val="auto"/>
        </w:rPr>
      </w:pPr>
    </w:p>
    <w:p>
      <w:pPr>
        <w:ind w:right="600" w:firstLine="625"/>
        <w:spacing w:after="0" w:line="294" w:lineRule="auto"/>
        <w:rPr>
          <w:sz w:val="20"/>
          <w:szCs w:val="20"/>
          <w:color w:val="auto"/>
        </w:rPr>
      </w:pPr>
      <w:r>
        <w:rPr>
          <w:rFonts w:ascii="Times New Roman" w:cs="Times New Roman" w:eastAsia="Times New Roman" w:hAnsi="Times New Roman"/>
          <w:sz w:val="17"/>
          <w:szCs w:val="17"/>
          <w:color w:val="auto"/>
        </w:rPr>
        <w:t>We incorporate herein by reference the relevant information concerning principal accountant fees and services to be included in the 2025 Proxy Statement under the caption “Principal Accountant Fees and Services”.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2" w:right="37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29"/>
        </w:trPr>
        <w:tc>
          <w:tcPr>
            <w:tcW w:w="7920" w:type="dxa"/>
            <w:vAlign w:val="bottom"/>
          </w:tcPr>
          <w:p>
            <w:pPr>
              <w:ind w:left="5280"/>
              <w:spacing w:after="0"/>
              <w:rPr>
                <w:sz w:val="20"/>
                <w:szCs w:val="20"/>
                <w:color w:val="auto"/>
              </w:rPr>
            </w:pPr>
            <w:r>
              <w:rPr>
                <w:rFonts w:ascii="Times New Roman" w:cs="Times New Roman" w:eastAsia="Times New Roman" w:hAnsi="Times New Roman"/>
                <w:sz w:val="17"/>
                <w:szCs w:val="17"/>
                <w:b w:val="1"/>
                <w:bCs w:val="1"/>
                <w:color w:val="auto"/>
              </w:rPr>
              <w:t>PART IV</w:t>
            </w:r>
          </w:p>
        </w:tc>
        <w:tc>
          <w:tcPr>
            <w:tcW w:w="2220" w:type="dxa"/>
            <w:vAlign w:val="bottom"/>
          </w:tcPr>
          <w:p>
            <w:pPr>
              <w:spacing w:after="0"/>
              <w:rPr>
                <w:sz w:val="19"/>
                <w:szCs w:val="19"/>
                <w:color w:val="auto"/>
              </w:rPr>
            </w:pPr>
          </w:p>
        </w:tc>
      </w:tr>
      <w:tr>
        <w:trPr>
          <w:trHeight w:val="365"/>
        </w:trPr>
        <w:tc>
          <w:tcPr>
            <w:tcW w:w="79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ITEM 15.   EXHIBITS AND FINANCIAL STATEMENT SCHEDULES</w:t>
            </w:r>
          </w:p>
        </w:tc>
        <w:tc>
          <w:tcPr>
            <w:tcW w:w="2220" w:type="dxa"/>
            <w:vAlign w:val="bottom"/>
          </w:tcPr>
          <w:p>
            <w:pPr>
              <w:spacing w:after="0"/>
              <w:rPr>
                <w:sz w:val="24"/>
                <w:szCs w:val="24"/>
                <w:color w:val="auto"/>
              </w:rPr>
            </w:pPr>
          </w:p>
        </w:tc>
      </w:tr>
      <w:tr>
        <w:trPr>
          <w:trHeight w:val="365"/>
        </w:trPr>
        <w:tc>
          <w:tcPr>
            <w:tcW w:w="7920" w:type="dxa"/>
            <w:vAlign w:val="bottom"/>
          </w:tcPr>
          <w:p>
            <w:pPr>
              <w:spacing w:after="0"/>
              <w:rPr>
                <w:sz w:val="20"/>
                <w:szCs w:val="20"/>
                <w:color w:val="auto"/>
              </w:rPr>
            </w:pPr>
            <w:r>
              <w:rPr>
                <w:rFonts w:ascii="Times New Roman" w:cs="Times New Roman" w:eastAsia="Times New Roman" w:hAnsi="Times New Roman"/>
                <w:sz w:val="17"/>
                <w:szCs w:val="17"/>
                <w:color w:val="auto"/>
              </w:rPr>
              <w:t>(a) The following documents are filed as part of this Annual Report on Form 10-K:</w:t>
            </w:r>
          </w:p>
        </w:tc>
        <w:tc>
          <w:tcPr>
            <w:tcW w:w="2220" w:type="dxa"/>
            <w:vAlign w:val="bottom"/>
          </w:tcPr>
          <w:p>
            <w:pPr>
              <w:spacing w:after="0"/>
              <w:rPr>
                <w:sz w:val="24"/>
                <w:szCs w:val="24"/>
                <w:color w:val="auto"/>
              </w:rPr>
            </w:pPr>
          </w:p>
        </w:tc>
      </w:tr>
      <w:tr>
        <w:trPr>
          <w:trHeight w:val="365"/>
        </w:trPr>
        <w:tc>
          <w:tcPr>
            <w:tcW w:w="7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1.  Consolidated Financial Statements:</w:t>
            </w:r>
          </w:p>
        </w:tc>
        <w:tc>
          <w:tcPr>
            <w:tcW w:w="2220" w:type="dxa"/>
            <w:vAlign w:val="bottom"/>
          </w:tcPr>
          <w:p>
            <w:pPr>
              <w:spacing w:after="0"/>
              <w:rPr>
                <w:sz w:val="24"/>
                <w:szCs w:val="24"/>
                <w:color w:val="auto"/>
              </w:rPr>
            </w:pPr>
          </w:p>
        </w:tc>
      </w:tr>
      <w:tr>
        <w:trPr>
          <w:trHeight w:val="242"/>
        </w:trPr>
        <w:tc>
          <w:tcPr>
            <w:tcW w:w="7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Report of Ernst &amp; Young LLP, Independent Registered Public Accounting Firm</w:t>
            </w:r>
          </w:p>
        </w:tc>
        <w:tc>
          <w:tcPr>
            <w:tcW w:w="2220" w:type="dxa"/>
            <w:vAlign w:val="bottom"/>
          </w:tcPr>
          <w:p>
            <w:pPr>
              <w:ind w:left="1880"/>
              <w:spacing w:after="0"/>
              <w:rPr>
                <w:sz w:val="20"/>
                <w:szCs w:val="20"/>
                <w:color w:val="auto"/>
              </w:rPr>
            </w:pPr>
            <w:r>
              <w:rPr>
                <w:rFonts w:ascii="Times New Roman" w:cs="Times New Roman" w:eastAsia="Times New Roman" w:hAnsi="Times New Roman"/>
                <w:sz w:val="17"/>
                <w:szCs w:val="17"/>
                <w:color w:val="auto"/>
                <w:w w:val="99"/>
              </w:rPr>
              <w:t>F - 1</w:t>
            </w:r>
          </w:p>
        </w:tc>
      </w:tr>
      <w:tr>
        <w:trPr>
          <w:trHeight w:val="221"/>
        </w:trPr>
        <w:tc>
          <w:tcPr>
            <w:tcW w:w="7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Consolidated Balance Sheets</w:t>
            </w:r>
          </w:p>
        </w:tc>
        <w:tc>
          <w:tcPr>
            <w:tcW w:w="2220" w:type="dxa"/>
            <w:vAlign w:val="bottom"/>
          </w:tcPr>
          <w:p>
            <w:pPr>
              <w:ind w:left="1880"/>
              <w:spacing w:after="0"/>
              <w:rPr>
                <w:sz w:val="20"/>
                <w:szCs w:val="20"/>
                <w:color w:val="auto"/>
              </w:rPr>
            </w:pPr>
            <w:r>
              <w:rPr>
                <w:rFonts w:ascii="Times New Roman" w:cs="Times New Roman" w:eastAsia="Times New Roman" w:hAnsi="Times New Roman"/>
                <w:sz w:val="17"/>
                <w:szCs w:val="17"/>
                <w:color w:val="auto"/>
                <w:w w:val="99"/>
              </w:rPr>
              <w:t>F - 3</w:t>
            </w:r>
          </w:p>
        </w:tc>
      </w:tr>
      <w:tr>
        <w:trPr>
          <w:trHeight w:val="221"/>
        </w:trPr>
        <w:tc>
          <w:tcPr>
            <w:tcW w:w="7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Consolidated Statements of Operations and Comprehensive Loss</w:t>
            </w:r>
          </w:p>
        </w:tc>
        <w:tc>
          <w:tcPr>
            <w:tcW w:w="2220" w:type="dxa"/>
            <w:vAlign w:val="bottom"/>
          </w:tcPr>
          <w:p>
            <w:pPr>
              <w:ind w:left="1880"/>
              <w:spacing w:after="0"/>
              <w:rPr>
                <w:sz w:val="20"/>
                <w:szCs w:val="20"/>
                <w:color w:val="auto"/>
              </w:rPr>
            </w:pPr>
            <w:r>
              <w:rPr>
                <w:rFonts w:ascii="Times New Roman" w:cs="Times New Roman" w:eastAsia="Times New Roman" w:hAnsi="Times New Roman"/>
                <w:sz w:val="17"/>
                <w:szCs w:val="17"/>
                <w:color w:val="auto"/>
                <w:w w:val="99"/>
              </w:rPr>
              <w:t>F - 4</w:t>
            </w:r>
          </w:p>
        </w:tc>
      </w:tr>
      <w:tr>
        <w:trPr>
          <w:trHeight w:val="221"/>
        </w:trPr>
        <w:tc>
          <w:tcPr>
            <w:tcW w:w="7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Consolidated Statements of Stockholders' Equity</w:t>
            </w:r>
          </w:p>
        </w:tc>
        <w:tc>
          <w:tcPr>
            <w:tcW w:w="2220" w:type="dxa"/>
            <w:vAlign w:val="bottom"/>
          </w:tcPr>
          <w:p>
            <w:pPr>
              <w:ind w:left="1880"/>
              <w:spacing w:after="0"/>
              <w:rPr>
                <w:sz w:val="20"/>
                <w:szCs w:val="20"/>
                <w:color w:val="auto"/>
              </w:rPr>
            </w:pPr>
            <w:r>
              <w:rPr>
                <w:rFonts w:ascii="Times New Roman" w:cs="Times New Roman" w:eastAsia="Times New Roman" w:hAnsi="Times New Roman"/>
                <w:sz w:val="17"/>
                <w:szCs w:val="17"/>
                <w:color w:val="auto"/>
                <w:w w:val="99"/>
              </w:rPr>
              <w:t>F - 5</w:t>
            </w:r>
          </w:p>
        </w:tc>
      </w:tr>
      <w:tr>
        <w:trPr>
          <w:trHeight w:val="221"/>
        </w:trPr>
        <w:tc>
          <w:tcPr>
            <w:tcW w:w="7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Consolidated Statements of Cash Flows</w:t>
            </w:r>
          </w:p>
        </w:tc>
        <w:tc>
          <w:tcPr>
            <w:tcW w:w="2220" w:type="dxa"/>
            <w:vAlign w:val="bottom"/>
          </w:tcPr>
          <w:p>
            <w:pPr>
              <w:ind w:left="1880"/>
              <w:spacing w:after="0"/>
              <w:rPr>
                <w:sz w:val="20"/>
                <w:szCs w:val="20"/>
                <w:color w:val="auto"/>
              </w:rPr>
            </w:pPr>
            <w:r>
              <w:rPr>
                <w:rFonts w:ascii="Times New Roman" w:cs="Times New Roman" w:eastAsia="Times New Roman" w:hAnsi="Times New Roman"/>
                <w:sz w:val="17"/>
                <w:szCs w:val="17"/>
                <w:color w:val="auto"/>
                <w:w w:val="99"/>
              </w:rPr>
              <w:t>F - 6</w:t>
            </w:r>
          </w:p>
        </w:tc>
      </w:tr>
      <w:tr>
        <w:trPr>
          <w:trHeight w:val="227"/>
        </w:trPr>
        <w:tc>
          <w:tcPr>
            <w:tcW w:w="7920" w:type="dxa"/>
            <w:vAlign w:val="bottom"/>
          </w:tcPr>
          <w:p>
            <w:pPr>
              <w:ind w:left="500"/>
              <w:spacing w:after="0"/>
              <w:rPr>
                <w:sz w:val="20"/>
                <w:szCs w:val="20"/>
                <w:color w:val="auto"/>
              </w:rPr>
            </w:pPr>
            <w:r>
              <w:rPr>
                <w:rFonts w:ascii="Times New Roman" w:cs="Times New Roman" w:eastAsia="Times New Roman" w:hAnsi="Times New Roman"/>
                <w:sz w:val="17"/>
                <w:szCs w:val="17"/>
                <w:color w:val="auto"/>
              </w:rPr>
              <w:t>Notes to Consolidated Financial Statements</w:t>
            </w:r>
          </w:p>
        </w:tc>
        <w:tc>
          <w:tcPr>
            <w:tcW w:w="2220" w:type="dxa"/>
            <w:vAlign w:val="bottom"/>
          </w:tcPr>
          <w:p>
            <w:pPr>
              <w:ind w:left="1880"/>
              <w:spacing w:after="0"/>
              <w:rPr>
                <w:sz w:val="20"/>
                <w:szCs w:val="20"/>
                <w:color w:val="auto"/>
              </w:rPr>
            </w:pPr>
            <w:r>
              <w:rPr>
                <w:rFonts w:ascii="Times New Roman" w:cs="Times New Roman" w:eastAsia="Times New Roman" w:hAnsi="Times New Roman"/>
                <w:sz w:val="17"/>
                <w:szCs w:val="17"/>
                <w:color w:val="auto"/>
                <w:w w:val="99"/>
              </w:rPr>
              <w:t>F - 7</w:t>
            </w:r>
          </w:p>
        </w:tc>
      </w:tr>
    </w:tbl>
    <w:p>
      <w:pPr>
        <w:spacing w:after="0" w:line="229" w:lineRule="exact"/>
        <w:rPr>
          <w:sz w:val="20"/>
          <w:szCs w:val="20"/>
          <w:color w:val="auto"/>
        </w:rPr>
      </w:pPr>
    </w:p>
    <w:p>
      <w:pPr>
        <w:ind w:left="500" w:hanging="322"/>
        <w:spacing w:after="0"/>
        <w:tabs>
          <w:tab w:leader="none" w:pos="50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 Schedules:</w:t>
      </w:r>
    </w:p>
    <w:p>
      <w:pPr>
        <w:spacing w:after="0" w:line="169" w:lineRule="exact"/>
        <w:rPr>
          <w:sz w:val="20"/>
          <w:szCs w:val="20"/>
          <w:color w:val="auto"/>
        </w:rPr>
      </w:pPr>
    </w:p>
    <w:p>
      <w:pPr>
        <w:ind w:firstLine="625"/>
        <w:spacing w:after="0" w:line="294" w:lineRule="auto"/>
        <w:rPr>
          <w:sz w:val="20"/>
          <w:szCs w:val="20"/>
          <w:color w:val="auto"/>
        </w:rPr>
      </w:pPr>
      <w:r>
        <w:rPr>
          <w:rFonts w:ascii="Times New Roman" w:cs="Times New Roman" w:eastAsia="Times New Roman" w:hAnsi="Times New Roman"/>
          <w:sz w:val="17"/>
          <w:szCs w:val="17"/>
          <w:color w:val="auto"/>
        </w:rPr>
        <w:t>All financial statement schedules have been omitted because they are not applicable, not required or the information required is shown in the financial statements or the notes thereto.</w:t>
      </w:r>
    </w:p>
    <w:p>
      <w:pPr>
        <w:spacing w:after="0" w:line="94" w:lineRule="exact"/>
        <w:rPr>
          <w:sz w:val="20"/>
          <w:szCs w:val="20"/>
          <w:color w:val="auto"/>
        </w:rPr>
      </w:pPr>
    </w:p>
    <w:p>
      <w:pPr>
        <w:ind w:left="500" w:hanging="322"/>
        <w:spacing w:after="0"/>
        <w:tabs>
          <w:tab w:leader="none" w:pos="50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Exhibits:</w:t>
      </w:r>
    </w:p>
    <w:p>
      <w:pPr>
        <w:spacing w:after="0" w:line="169" w:lineRule="exact"/>
        <w:rPr>
          <w:sz w:val="20"/>
          <w:szCs w:val="20"/>
          <w:color w:val="auto"/>
        </w:rPr>
      </w:pPr>
    </w:p>
    <w:p>
      <w:pPr>
        <w:ind w:right="300" w:firstLine="625"/>
        <w:spacing w:after="0" w:line="294" w:lineRule="auto"/>
        <w:rPr>
          <w:sz w:val="20"/>
          <w:szCs w:val="20"/>
          <w:color w:val="auto"/>
        </w:rPr>
      </w:pPr>
      <w:r>
        <w:rPr>
          <w:rFonts w:ascii="Times New Roman" w:cs="Times New Roman" w:eastAsia="Times New Roman" w:hAnsi="Times New Roman"/>
          <w:sz w:val="17"/>
          <w:szCs w:val="17"/>
          <w:color w:val="auto"/>
        </w:rPr>
        <w:t>The exhibits filed as part of this Annual Report on Form 10-K are set forth on the Exhibit Index immediately following our consolidated financial statements. The Exhibit Index is incorporated herein by reference.</w:t>
      </w:r>
    </w:p>
    <w:p>
      <w:pPr>
        <w:spacing w:after="0" w:line="200" w:lineRule="exact"/>
        <w:rPr>
          <w:sz w:val="20"/>
          <w:szCs w:val="20"/>
          <w:color w:val="auto"/>
        </w:rPr>
      </w:pPr>
    </w:p>
    <w:p>
      <w:pPr>
        <w:spacing w:after="0" w:line="283"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7"/>
          <w:szCs w:val="17"/>
          <w:b w:val="1"/>
          <w:bCs w:val="1"/>
          <w:color w:val="auto"/>
        </w:rPr>
        <w:t>ITEM 16.</w:t>
        <w:tab/>
        <w:t>FORM 10-K SUMMARY</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060"/>
          </w:cols>
          <w:pgMar w:left="320" w:top="861" w:right="519" w:bottom="1440" w:gutter="0" w:footer="0" w:header="0"/>
        </w:sectPr>
      </w:pPr>
    </w:p>
    <w:bookmarkStart w:id="77" w:name="page78"/>
    <w:bookmarkEnd w:id="77"/>
    <w:p>
      <w:pPr>
        <w:jc w:val="center"/>
        <w:ind w:left="460"/>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71" w:lineRule="exact"/>
        <w:rPr>
          <w:sz w:val="20"/>
          <w:szCs w:val="20"/>
          <w:color w:val="auto"/>
        </w:rPr>
      </w:pPr>
    </w:p>
    <w:p>
      <w:pPr>
        <w:ind w:right="20" w:firstLine="625"/>
        <w:spacing w:after="0" w:line="279" w:lineRule="auto"/>
        <w:rPr>
          <w:sz w:val="20"/>
          <w:szCs w:val="20"/>
          <w:color w:val="auto"/>
        </w:rPr>
      </w:pPr>
      <w:r>
        <w:rPr>
          <w:rFonts w:ascii="Times New Roman" w:cs="Times New Roman" w:eastAsia="Times New Roman" w:hAnsi="Times New Roman"/>
          <w:sz w:val="17"/>
          <w:szCs w:val="17"/>
          <w:color w:val="auto"/>
        </w:rPr>
        <w:t>Pursuant to the requirements of Section 13 or 15(d) of the Securities Act of 1934, the registrant has duly caused this report to be signed on its behalf by the undersigned, thereunto duly authorized:</w:t>
      </w:r>
    </w:p>
    <w:p>
      <w:pPr>
        <w:spacing w:after="0" w:line="1"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7"/>
          <w:szCs w:val="17"/>
          <w:color w:val="auto"/>
        </w:rPr>
        <w:t>MacroGenics, Inc.</w:t>
      </w:r>
    </w:p>
    <w:p>
      <w:pPr>
        <w:spacing w:after="0" w:line="247" w:lineRule="exact"/>
        <w:rPr>
          <w:sz w:val="20"/>
          <w:szCs w:val="20"/>
          <w:color w:val="auto"/>
        </w:rPr>
      </w:pPr>
    </w:p>
    <w:tbl>
      <w:tblPr>
        <w:tblLayout w:type="fixed"/>
        <w:tblInd w:w="5720" w:type="dxa"/>
        <w:tblCellMar>
          <w:top w:w="0" w:type="dxa"/>
          <w:left w:w="0" w:type="dxa"/>
          <w:bottom w:w="0" w:type="dxa"/>
          <w:right w:w="0" w:type="dxa"/>
        </w:tblCellMar>
      </w:tblPr>
      <w:tr>
        <w:trPr>
          <w:trHeight w:val="227"/>
        </w:trPr>
        <w:tc>
          <w:tcPr>
            <w:tcW w:w="54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4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/s/ Scott Koenig</w:t>
            </w:r>
          </w:p>
        </w:tc>
      </w:tr>
      <w:tr>
        <w:trPr>
          <w:trHeight w:val="207"/>
        </w:trPr>
        <w:tc>
          <w:tcPr>
            <w:tcW w:w="540" w:type="dxa"/>
            <w:vAlign w:val="bottom"/>
          </w:tcPr>
          <w:p>
            <w:pPr>
              <w:spacing w:after="0"/>
              <w:rPr>
                <w:sz w:val="18"/>
                <w:szCs w:val="18"/>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Scott Koenig, M.D., Ph.D.</w:t>
            </w:r>
          </w:p>
        </w:tc>
      </w:tr>
      <w:tr>
        <w:trPr>
          <w:trHeight w:val="229"/>
        </w:trPr>
        <w:tc>
          <w:tcPr>
            <w:tcW w:w="54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President and CEO and Director</w:t>
            </w:r>
          </w:p>
        </w:tc>
      </w:tr>
    </w:tbl>
    <w:p>
      <w:pPr>
        <w:spacing w:after="0" w:line="229" w:lineRule="exact"/>
        <w:rPr>
          <w:sz w:val="20"/>
          <w:szCs w:val="20"/>
          <w:color w:val="auto"/>
        </w:rPr>
      </w:pPr>
    </w:p>
    <w:p>
      <w:pPr>
        <w:ind w:firstLine="625"/>
        <w:spacing w:after="0" w:line="278" w:lineRule="auto"/>
        <w:rPr>
          <w:sz w:val="20"/>
          <w:szCs w:val="20"/>
          <w:color w:val="auto"/>
        </w:rPr>
      </w:pPr>
      <w:r>
        <w:rPr>
          <w:rFonts w:ascii="Times New Roman" w:cs="Times New Roman" w:eastAsia="Times New Roman" w:hAnsi="Times New Roman"/>
          <w:sz w:val="17"/>
          <w:szCs w:val="17"/>
          <w:color w:val="auto"/>
        </w:rPr>
        <w:t>Pursuant to the requirements of the Securities Act of 1934, as amended, this Report has been signed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360" w:type="dxa"/>
            <w:vAlign w:val="bottom"/>
            <w:tcBorders>
              <w:bottom w:val="single" w:sz="8" w:color="auto"/>
            </w:tcBorders>
          </w:tcPr>
          <w:p>
            <w:pPr>
              <w:ind w:left="1820"/>
              <w:spacing w:after="0"/>
              <w:rPr>
                <w:sz w:val="20"/>
                <w:szCs w:val="20"/>
                <w:color w:val="auto"/>
              </w:rPr>
            </w:pPr>
            <w:r>
              <w:rPr>
                <w:rFonts w:ascii="Times New Roman" w:cs="Times New Roman" w:eastAsia="Times New Roman" w:hAnsi="Times New Roman"/>
                <w:sz w:val="17"/>
                <w:szCs w:val="17"/>
                <w:b w:val="1"/>
                <w:bCs w:val="1"/>
                <w:color w:val="auto"/>
              </w:rPr>
              <w:t>Signature</w:t>
            </w:r>
          </w:p>
        </w:tc>
        <w:tc>
          <w:tcPr>
            <w:tcW w:w="300" w:type="dxa"/>
            <w:vAlign w:val="bottom"/>
          </w:tcPr>
          <w:p>
            <w:pPr>
              <w:spacing w:after="0"/>
              <w:rPr>
                <w:sz w:val="19"/>
                <w:szCs w:val="19"/>
                <w:color w:val="auto"/>
              </w:rPr>
            </w:pPr>
          </w:p>
        </w:tc>
        <w:tc>
          <w:tcPr>
            <w:tcW w:w="384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7"/>
                <w:szCs w:val="17"/>
                <w:b w:val="1"/>
                <w:bCs w:val="1"/>
                <w:color w:val="auto"/>
              </w:rPr>
              <w:t>Title</w:t>
            </w:r>
          </w:p>
        </w:tc>
        <w:tc>
          <w:tcPr>
            <w:tcW w:w="200" w:type="dxa"/>
            <w:vAlign w:val="bottom"/>
          </w:tcPr>
          <w:p>
            <w:pPr>
              <w:spacing w:after="0"/>
              <w:rPr>
                <w:sz w:val="19"/>
                <w:szCs w:val="19"/>
                <w:color w:val="auto"/>
              </w:rPr>
            </w:pPr>
          </w:p>
        </w:tc>
        <w:tc>
          <w:tcPr>
            <w:tcW w:w="23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Date</w:t>
            </w:r>
          </w:p>
        </w:tc>
        <w:tc>
          <w:tcPr>
            <w:tcW w:w="0" w:type="dxa"/>
            <w:vAlign w:val="bottom"/>
          </w:tcPr>
          <w:p>
            <w:pPr>
              <w:spacing w:after="0"/>
              <w:rPr>
                <w:sz w:val="1"/>
                <w:szCs w:val="1"/>
                <w:color w:val="auto"/>
              </w:rPr>
            </w:pPr>
          </w:p>
        </w:tc>
      </w:tr>
      <w:tr>
        <w:trPr>
          <w:trHeight w:val="384"/>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Scott Koenig</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President and CEO and 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c>
          <w:tcPr>
            <w:tcW w:w="0" w:type="dxa"/>
            <w:vAlign w:val="bottom"/>
          </w:tcPr>
          <w:p>
            <w:pPr>
              <w:spacing w:after="0"/>
              <w:rPr>
                <w:sz w:val="1"/>
                <w:szCs w:val="1"/>
                <w:color w:val="auto"/>
              </w:rPr>
            </w:pPr>
          </w:p>
        </w:tc>
      </w:tr>
      <w:tr>
        <w:trPr>
          <w:trHeight w:val="208"/>
        </w:trPr>
        <w:tc>
          <w:tcPr>
            <w:tcW w:w="43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Scott Koenig, M.D., Ph.D.</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436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auto"/>
              </w:rPr>
              <w:t>/s/ James Karrels</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Senior Vice President, Chief</w:t>
            </w: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c>
          <w:tcPr>
            <w:tcW w:w="0" w:type="dxa"/>
            <w:vAlign w:val="bottom"/>
          </w:tcPr>
          <w:p>
            <w:pPr>
              <w:spacing w:after="0"/>
              <w:rPr>
                <w:sz w:val="1"/>
                <w:szCs w:val="1"/>
                <w:color w:val="auto"/>
              </w:rPr>
            </w:pPr>
          </w:p>
        </w:tc>
      </w:tr>
      <w:tr>
        <w:trPr>
          <w:trHeight w:val="169"/>
        </w:trPr>
        <w:tc>
          <w:tcPr>
            <w:tcW w:w="43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4040" w:type="dxa"/>
            <w:vAlign w:val="bottom"/>
            <w:gridSpan w:val="2"/>
          </w:tcPr>
          <w:p>
            <w:pPr>
              <w:ind w:left="20"/>
              <w:spacing w:after="0" w:line="169" w:lineRule="exact"/>
              <w:rPr>
                <w:sz w:val="20"/>
                <w:szCs w:val="20"/>
                <w:color w:val="auto"/>
              </w:rPr>
            </w:pPr>
            <w:r>
              <w:rPr>
                <w:rFonts w:ascii="Times New Roman" w:cs="Times New Roman" w:eastAsia="Times New Roman" w:hAnsi="Times New Roman"/>
                <w:sz w:val="17"/>
                <w:szCs w:val="17"/>
                <w:color w:val="auto"/>
              </w:rPr>
              <w:t>Financial Officer and Secretary</w:t>
            </w:r>
          </w:p>
        </w:tc>
        <w:tc>
          <w:tcPr>
            <w:tcW w:w="2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4360" w:type="dxa"/>
            <w:vAlign w:val="bottom"/>
            <w:tcBorders>
              <w:bottom w:val="single" w:sz="8" w:color="auto"/>
            </w:tcBorders>
          </w:tcPr>
          <w:p>
            <w:pPr>
              <w:spacing w:after="0"/>
              <w:rPr>
                <w:sz w:val="3"/>
                <w:szCs w:val="3"/>
                <w:color w:val="auto"/>
              </w:rPr>
            </w:pPr>
          </w:p>
        </w:tc>
        <w:tc>
          <w:tcPr>
            <w:tcW w:w="300" w:type="dxa"/>
            <w:vAlign w:val="bottom"/>
            <w:vMerge w:val="restart"/>
          </w:tcPr>
          <w:p>
            <w:pPr>
              <w:spacing w:after="0"/>
              <w:rPr>
                <w:sz w:val="3"/>
                <w:szCs w:val="3"/>
                <w:color w:val="auto"/>
              </w:rPr>
            </w:pPr>
          </w:p>
        </w:tc>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(Principal Financial Officer)</w:t>
            </w:r>
          </w:p>
        </w:tc>
        <w:tc>
          <w:tcPr>
            <w:tcW w:w="23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James Karrels</w:t>
            </w:r>
          </w:p>
        </w:tc>
        <w:tc>
          <w:tcPr>
            <w:tcW w:w="300" w:type="dxa"/>
            <w:vAlign w:val="bottom"/>
            <w:vMerge w:val="continue"/>
          </w:tcPr>
          <w:p>
            <w:pPr>
              <w:spacing w:after="0"/>
              <w:rPr>
                <w:sz w:val="19"/>
                <w:szCs w:val="19"/>
                <w:color w:val="auto"/>
              </w:rPr>
            </w:pPr>
          </w:p>
        </w:tc>
        <w:tc>
          <w:tcPr>
            <w:tcW w:w="4040" w:type="dxa"/>
            <w:vAlign w:val="bottom"/>
            <w:gridSpan w:val="2"/>
            <w:vMerge w:val="continue"/>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1"/>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Beth Smith</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Vice President, Controller and Treasurer</w:t>
            </w: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c>
          <w:tcPr>
            <w:tcW w:w="0" w:type="dxa"/>
            <w:vAlign w:val="bottom"/>
          </w:tcPr>
          <w:p>
            <w:pPr>
              <w:spacing w:after="0"/>
              <w:rPr>
                <w:sz w:val="1"/>
                <w:szCs w:val="1"/>
                <w:color w:val="auto"/>
              </w:rPr>
            </w:pPr>
          </w:p>
        </w:tc>
      </w:tr>
      <w:tr>
        <w:trPr>
          <w:trHeight w:val="208"/>
        </w:trPr>
        <w:tc>
          <w:tcPr>
            <w:tcW w:w="4360" w:type="dxa"/>
            <w:vAlign w:val="bottom"/>
            <w:tcBorders>
              <w:bottom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(Principal Accounting Officer)</w:t>
            </w:r>
          </w:p>
        </w:tc>
        <w:tc>
          <w:tcPr>
            <w:tcW w:w="2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Beth Smith</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8"/>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Karen Ferrante, M.D.</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c>
          <w:tcPr>
            <w:tcW w:w="0" w:type="dxa"/>
            <w:vAlign w:val="bottom"/>
          </w:tcPr>
          <w:p>
            <w:pPr>
              <w:spacing w:after="0"/>
              <w:rPr>
                <w:sz w:val="1"/>
                <w:szCs w:val="1"/>
                <w:color w:val="auto"/>
              </w:rPr>
            </w:pPr>
          </w:p>
        </w:tc>
      </w:tr>
      <w:tr>
        <w:trPr>
          <w:trHeight w:val="156"/>
        </w:trPr>
        <w:tc>
          <w:tcPr>
            <w:tcW w:w="43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Karen Ferrante, M.D.</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William Heiden</w:t>
            </w:r>
          </w:p>
        </w:tc>
        <w:tc>
          <w:tcPr>
            <w:tcW w:w="300" w:type="dxa"/>
            <w:vAlign w:val="bottom"/>
          </w:tcPr>
          <w:p>
            <w:pPr>
              <w:spacing w:after="0"/>
              <w:rPr>
                <w:sz w:val="24"/>
                <w:szCs w:val="24"/>
                <w:color w:val="auto"/>
              </w:rPr>
            </w:pPr>
          </w:p>
        </w:tc>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c>
          <w:tcPr>
            <w:tcW w:w="0" w:type="dxa"/>
            <w:vAlign w:val="bottom"/>
          </w:tcPr>
          <w:p>
            <w:pPr>
              <w:spacing w:after="0"/>
              <w:rPr>
                <w:sz w:val="1"/>
                <w:szCs w:val="1"/>
                <w:color w:val="auto"/>
              </w:rPr>
            </w:pPr>
          </w:p>
        </w:tc>
      </w:tr>
      <w:tr>
        <w:trPr>
          <w:trHeight w:val="78"/>
        </w:trPr>
        <w:tc>
          <w:tcPr>
            <w:tcW w:w="43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40" w:type="dxa"/>
            <w:vAlign w:val="bottom"/>
            <w:gridSpan w:val="2"/>
            <w:vMerge w:val="continue"/>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4360" w:type="dxa"/>
            <w:vAlign w:val="bottom"/>
            <w:tcBorders>
              <w:bottom w:val="single" w:sz="8" w:color="auto"/>
            </w:tcBorders>
          </w:tcPr>
          <w:p>
            <w:pPr>
              <w:spacing w:after="0"/>
              <w:rPr>
                <w:sz w:val="6"/>
                <w:szCs w:val="6"/>
                <w:color w:val="auto"/>
              </w:rPr>
            </w:pPr>
          </w:p>
        </w:tc>
        <w:tc>
          <w:tcPr>
            <w:tcW w:w="300" w:type="dxa"/>
            <w:vAlign w:val="bottom"/>
          </w:tcPr>
          <w:p>
            <w:pPr>
              <w:spacing w:after="0"/>
              <w:rPr>
                <w:sz w:val="6"/>
                <w:szCs w:val="6"/>
                <w:color w:val="auto"/>
              </w:rPr>
            </w:pPr>
          </w:p>
        </w:tc>
        <w:tc>
          <w:tcPr>
            <w:tcW w:w="3840" w:type="dxa"/>
            <w:vAlign w:val="bottom"/>
          </w:tcPr>
          <w:p>
            <w:pPr>
              <w:spacing w:after="0"/>
              <w:rPr>
                <w:sz w:val="6"/>
                <w:szCs w:val="6"/>
                <w:color w:val="auto"/>
              </w:rPr>
            </w:pPr>
          </w:p>
        </w:tc>
        <w:tc>
          <w:tcPr>
            <w:tcW w:w="200" w:type="dxa"/>
            <w:vAlign w:val="bottom"/>
          </w:tcPr>
          <w:p>
            <w:pPr>
              <w:spacing w:after="0"/>
              <w:rPr>
                <w:sz w:val="6"/>
                <w:szCs w:val="6"/>
                <w:color w:val="auto"/>
              </w:rPr>
            </w:pPr>
          </w:p>
        </w:tc>
        <w:tc>
          <w:tcPr>
            <w:tcW w:w="23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William Heiden</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Edward Hurwitz</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c>
          <w:tcPr>
            <w:tcW w:w="0" w:type="dxa"/>
            <w:vAlign w:val="bottom"/>
          </w:tcPr>
          <w:p>
            <w:pPr>
              <w:spacing w:after="0"/>
              <w:rPr>
                <w:sz w:val="1"/>
                <w:szCs w:val="1"/>
                <w:color w:val="auto"/>
              </w:rPr>
            </w:pPr>
          </w:p>
        </w:tc>
      </w:tr>
      <w:tr>
        <w:trPr>
          <w:trHeight w:val="156"/>
        </w:trPr>
        <w:tc>
          <w:tcPr>
            <w:tcW w:w="43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Edward Hurwitz</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Scott Jackson</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c>
          <w:tcPr>
            <w:tcW w:w="0" w:type="dxa"/>
            <w:vAlign w:val="bottom"/>
          </w:tcPr>
          <w:p>
            <w:pPr>
              <w:spacing w:after="0"/>
              <w:rPr>
                <w:sz w:val="1"/>
                <w:szCs w:val="1"/>
                <w:color w:val="auto"/>
              </w:rPr>
            </w:pPr>
          </w:p>
        </w:tc>
      </w:tr>
      <w:tr>
        <w:trPr>
          <w:trHeight w:val="156"/>
        </w:trPr>
        <w:tc>
          <w:tcPr>
            <w:tcW w:w="43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Scott Jackson</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Meenu Chhabra Karson</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c>
          <w:tcPr>
            <w:tcW w:w="0" w:type="dxa"/>
            <w:vAlign w:val="bottom"/>
          </w:tcPr>
          <w:p>
            <w:pPr>
              <w:spacing w:after="0"/>
              <w:rPr>
                <w:sz w:val="1"/>
                <w:szCs w:val="1"/>
                <w:color w:val="auto"/>
              </w:rPr>
            </w:pPr>
          </w:p>
        </w:tc>
      </w:tr>
      <w:tr>
        <w:trPr>
          <w:trHeight w:val="156"/>
        </w:trPr>
        <w:tc>
          <w:tcPr>
            <w:tcW w:w="43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Meenu Chhabra Karson</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Margaret A. Liu, M.D.</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c>
          <w:tcPr>
            <w:tcW w:w="0" w:type="dxa"/>
            <w:vAlign w:val="bottom"/>
          </w:tcPr>
          <w:p>
            <w:pPr>
              <w:spacing w:after="0"/>
              <w:rPr>
                <w:sz w:val="1"/>
                <w:szCs w:val="1"/>
                <w:color w:val="auto"/>
              </w:rPr>
            </w:pPr>
          </w:p>
        </w:tc>
      </w:tr>
      <w:tr>
        <w:trPr>
          <w:trHeight w:val="156"/>
        </w:trPr>
        <w:tc>
          <w:tcPr>
            <w:tcW w:w="43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Margaret A. Liu, M.D.</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Federica O’Brien</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c>
          <w:tcPr>
            <w:tcW w:w="0" w:type="dxa"/>
            <w:vAlign w:val="bottom"/>
          </w:tcPr>
          <w:p>
            <w:pPr>
              <w:spacing w:after="0"/>
              <w:rPr>
                <w:sz w:val="1"/>
                <w:szCs w:val="1"/>
                <w:color w:val="auto"/>
              </w:rPr>
            </w:pPr>
          </w:p>
        </w:tc>
      </w:tr>
      <w:tr>
        <w:trPr>
          <w:trHeight w:val="156"/>
        </w:trPr>
        <w:tc>
          <w:tcPr>
            <w:tcW w:w="43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Federica O’Brien</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Jay Siegel, M.D.</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c>
          <w:tcPr>
            <w:tcW w:w="0" w:type="dxa"/>
            <w:vAlign w:val="bottom"/>
          </w:tcPr>
          <w:p>
            <w:pPr>
              <w:spacing w:after="0"/>
              <w:rPr>
                <w:sz w:val="1"/>
                <w:szCs w:val="1"/>
                <w:color w:val="auto"/>
              </w:rPr>
            </w:pPr>
          </w:p>
        </w:tc>
      </w:tr>
      <w:tr>
        <w:trPr>
          <w:trHeight w:val="156"/>
        </w:trPr>
        <w:tc>
          <w:tcPr>
            <w:tcW w:w="43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Jay Siegel, M.D.</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7"/>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 David Stump, M.D.</w:t>
            </w:r>
          </w:p>
        </w:tc>
        <w:tc>
          <w:tcPr>
            <w:tcW w:w="300" w:type="dxa"/>
            <w:vAlign w:val="bottom"/>
          </w:tcPr>
          <w:p>
            <w:pPr>
              <w:spacing w:after="0"/>
              <w:rPr>
                <w:sz w:val="24"/>
                <w:szCs w:val="24"/>
                <w:color w:val="auto"/>
              </w:rPr>
            </w:pPr>
          </w:p>
        </w:tc>
        <w:tc>
          <w:tcPr>
            <w:tcW w:w="4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Director</w:t>
            </w:r>
          </w:p>
        </w:tc>
        <w:tc>
          <w:tcPr>
            <w:tcW w:w="23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March 20, 2025</w:t>
            </w:r>
          </w:p>
        </w:tc>
        <w:tc>
          <w:tcPr>
            <w:tcW w:w="0" w:type="dxa"/>
            <w:vAlign w:val="bottom"/>
          </w:tcPr>
          <w:p>
            <w:pPr>
              <w:spacing w:after="0"/>
              <w:rPr>
                <w:sz w:val="1"/>
                <w:szCs w:val="1"/>
                <w:color w:val="auto"/>
              </w:rPr>
            </w:pPr>
          </w:p>
        </w:tc>
      </w:tr>
      <w:tr>
        <w:trPr>
          <w:trHeight w:val="156"/>
        </w:trPr>
        <w:tc>
          <w:tcPr>
            <w:tcW w:w="4360" w:type="dxa"/>
            <w:vAlign w:val="bottom"/>
            <w:tcBorders>
              <w:bottom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43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David Stump, M.D.</w:t>
            </w:r>
          </w:p>
        </w:tc>
        <w:tc>
          <w:tcPr>
            <w:tcW w:w="3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160"/>
          </w:cols>
          <w:pgMar w:left="320" w:top="966"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160"/>
          </w:cols>
          <w:pgMar w:left="320" w:top="966" w:right="419" w:bottom="1440" w:gutter="0" w:footer="0" w:header="0"/>
          <w:type w:val="continuous"/>
        </w:sectPr>
      </w:pPr>
    </w:p>
    <w:bookmarkStart w:id="78" w:name="page79"/>
    <w:bookmarkEnd w:id="78"/>
    <w:tbl>
      <w:tblPr>
        <w:tblLayout w:type="fixed"/>
        <w:tblInd w:w="0" w:type="dxa"/>
        <w:tblCellMar>
          <w:top w:w="0" w:type="dxa"/>
          <w:left w:w="0" w:type="dxa"/>
          <w:bottom w:w="0" w:type="dxa"/>
          <w:right w:w="0" w:type="dxa"/>
        </w:tblCellMar>
      </w:tblPr>
      <w:tr>
        <w:trPr>
          <w:trHeight w:val="229"/>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6260" w:type="dxa"/>
            <w:vAlign w:val="bottom"/>
            <w:gridSpan w:val="6"/>
          </w:tcPr>
          <w:p>
            <w:pPr>
              <w:ind w:left="300"/>
              <w:spacing w:after="0"/>
              <w:rPr>
                <w:sz w:val="20"/>
                <w:szCs w:val="20"/>
                <w:color w:val="auto"/>
              </w:rPr>
            </w:pPr>
            <w:r>
              <w:rPr>
                <w:rFonts w:ascii="Times New Roman" w:cs="Times New Roman" w:eastAsia="Times New Roman" w:hAnsi="Times New Roman"/>
                <w:sz w:val="17"/>
                <w:szCs w:val="17"/>
                <w:b w:val="1"/>
                <w:bCs w:val="1"/>
                <w:color w:val="auto"/>
              </w:rPr>
              <w:t>INDEX TO CONSOLIDATED FINANCIAL STATEMENTS</w:t>
            </w:r>
          </w:p>
        </w:tc>
        <w:tc>
          <w:tcPr>
            <w:tcW w:w="1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Pr>
          <w:p>
            <w:pPr>
              <w:spacing w:after="0"/>
              <w:rPr>
                <w:sz w:val="19"/>
                <w:szCs w:val="19"/>
                <w:color w:val="auto"/>
              </w:rPr>
            </w:pPr>
          </w:p>
        </w:tc>
      </w:tr>
      <w:tr>
        <w:trPr>
          <w:trHeight w:val="195"/>
        </w:trPr>
        <w:tc>
          <w:tcPr>
            <w:tcW w:w="2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2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920" w:type="dxa"/>
            <w:vAlign w:val="bottom"/>
            <w:gridSpan w:val="3"/>
          </w:tcPr>
          <w:p>
            <w:pPr>
              <w:jc w:val="center"/>
              <w:ind w:left="333"/>
              <w:spacing w:after="0"/>
              <w:rPr>
                <w:sz w:val="20"/>
                <w:szCs w:val="20"/>
                <w:color w:val="auto"/>
              </w:rPr>
            </w:pPr>
            <w:r>
              <w:rPr>
                <w:rFonts w:ascii="Times New Roman" w:cs="Times New Roman" w:eastAsia="Times New Roman" w:hAnsi="Times New Roman"/>
                <w:sz w:val="17"/>
                <w:szCs w:val="17"/>
                <w:color w:val="auto"/>
              </w:rPr>
              <w:t>Page</w:t>
            </w:r>
          </w:p>
        </w:tc>
      </w:tr>
      <w:tr>
        <w:trPr>
          <w:trHeight w:val="227"/>
        </w:trPr>
        <w:tc>
          <w:tcPr>
            <w:tcW w:w="2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auto"/>
              </w:rPr>
              <w:t>Number</w:t>
            </w:r>
          </w:p>
        </w:tc>
      </w:tr>
      <w:tr>
        <w:trPr>
          <w:trHeight w:val="242"/>
        </w:trPr>
        <w:tc>
          <w:tcPr>
            <w:tcW w:w="20" w:type="dxa"/>
            <w:vAlign w:val="bottom"/>
          </w:tcPr>
          <w:p>
            <w:pPr>
              <w:spacing w:after="0"/>
              <w:rPr>
                <w:sz w:val="21"/>
                <w:szCs w:val="21"/>
                <w:color w:val="auto"/>
              </w:rPr>
            </w:pPr>
          </w:p>
        </w:tc>
        <w:tc>
          <w:tcPr>
            <w:tcW w:w="93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 xml:space="preserve">Report of Ernst &amp; Young LLP, Independent Registered Public Accounting Firm (PCAOB ID: </w:t>
            </w:r>
            <w:r>
              <w:rPr>
                <w:rFonts w:ascii="Times New Roman" w:cs="Times New Roman" w:eastAsia="Times New Roman" w:hAnsi="Times New Roman"/>
                <w:sz w:val="17"/>
                <w:szCs w:val="17"/>
                <w:color w:val="0E32E1"/>
              </w:rPr>
              <w:t>42</w:t>
            </w:r>
            <w:r>
              <w:rPr>
                <w:rFonts w:ascii="Times New Roman" w:cs="Times New Roman" w:eastAsia="Times New Roman" w:hAnsi="Times New Roman"/>
                <w:sz w:val="17"/>
                <w:szCs w:val="17"/>
                <w:u w:val="single" w:color="auto"/>
                <w:color w:val="0000FF"/>
              </w:rPr>
              <w:t>)</w:t>
            </w: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0000FF"/>
                <w:w w:val="99"/>
              </w:rPr>
              <w:t>F - 1</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20" w:type="dxa"/>
            <w:vAlign w:val="bottom"/>
            <w:shd w:val="clear" w:color="auto" w:fill="0E32E1"/>
          </w:tcPr>
          <w:p>
            <w:pPr>
              <w:spacing w:after="0" w:line="20" w:lineRule="exact"/>
              <w:rPr>
                <w:sz w:val="1"/>
                <w:szCs w:val="1"/>
                <w:color w:val="auto"/>
              </w:rPr>
            </w:pPr>
          </w:p>
        </w:tc>
        <w:tc>
          <w:tcPr>
            <w:tcW w:w="640" w:type="dxa"/>
            <w:vAlign w:val="bottom"/>
            <w:tcBorders>
              <w:left w:val="single" w:sz="8" w:color="0E32E1"/>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53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Consolidated Balance Sheets at December 31, 2024 and December 31, 2023</w:t>
            </w: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40" w:type="dxa"/>
            <w:vAlign w:val="bottom"/>
            <w:gridSpan w:val="3"/>
          </w:tcPr>
          <w:p>
            <w:pPr>
              <w:spacing w:after="0"/>
              <w:rPr>
                <w:sz w:val="22"/>
                <w:szCs w:val="22"/>
                <w:color w:val="auto"/>
              </w:rPr>
            </w:pP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0000FF"/>
                <w:w w:val="99"/>
              </w:rPr>
              <w:t>F - 3</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930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Consolidated Statements of Operations and Comprehensive Loss for the years ended December 31, 2024, 2023 and 2022</w:t>
            </w: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0000FF"/>
                <w:w w:val="99"/>
              </w:rPr>
              <w:t>F - 4</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2"/>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Stockholders' Equity for the years ended December 31, 2024, 2023 and 2022</w:t>
            </w:r>
          </w:p>
        </w:tc>
        <w:tc>
          <w:tcPr>
            <w:tcW w:w="2000" w:type="dxa"/>
            <w:vAlign w:val="bottom"/>
            <w:gridSpan w:val="2"/>
          </w:tcPr>
          <w:p>
            <w:pPr>
              <w:spacing w:after="0"/>
              <w:rPr>
                <w:sz w:val="22"/>
                <w:szCs w:val="22"/>
                <w:color w:val="auto"/>
              </w:rPr>
            </w:pP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0000FF"/>
                <w:w w:val="99"/>
              </w:rPr>
              <w:t>F - 5</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640" w:type="dxa"/>
            <w:vAlign w:val="bottom"/>
            <w:tcBorders>
              <w:left w:val="single" w:sz="8" w:color="0000FF"/>
            </w:tcBorders>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730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Consolidated Statements of Cash Flows for the years ended December 31, 2024, 2023 and 2022</w:t>
            </w:r>
          </w:p>
        </w:tc>
        <w:tc>
          <w:tcPr>
            <w:tcW w:w="2000" w:type="dxa"/>
            <w:vAlign w:val="bottom"/>
            <w:gridSpan w:val="2"/>
          </w:tcPr>
          <w:p>
            <w:pPr>
              <w:spacing w:after="0"/>
              <w:rPr>
                <w:sz w:val="22"/>
                <w:szCs w:val="22"/>
                <w:color w:val="auto"/>
              </w:rPr>
            </w:pP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0000FF"/>
                <w:w w:val="99"/>
              </w:rPr>
              <w:t>F - 6</w:t>
            </w:r>
          </w:p>
        </w:tc>
      </w:tr>
      <w:tr>
        <w:trPr>
          <w:trHeight w:val="20"/>
        </w:trPr>
        <w:tc>
          <w:tcPr>
            <w:tcW w:w="20" w:type="dxa"/>
            <w:vAlign w:val="bottom"/>
          </w:tcPr>
          <w:p>
            <w:pPr>
              <w:spacing w:after="0" w:line="20" w:lineRule="exact"/>
              <w:rPr>
                <w:sz w:val="1"/>
                <w:szCs w:val="1"/>
                <w:color w:val="auto"/>
              </w:rPr>
            </w:pPr>
          </w:p>
        </w:tc>
        <w:tc>
          <w:tcPr>
            <w:tcW w:w="3040" w:type="dxa"/>
            <w:vAlign w:val="bottom"/>
            <w:shd w:val="clear" w:color="auto" w:fill="0000FF"/>
          </w:tcPr>
          <w:p>
            <w:pPr>
              <w:spacing w:after="0" w:line="20" w:lineRule="exact"/>
              <w:rPr>
                <w:sz w:val="1"/>
                <w:szCs w:val="1"/>
                <w:color w:val="auto"/>
              </w:rPr>
            </w:pPr>
          </w:p>
        </w:tc>
        <w:tc>
          <w:tcPr>
            <w:tcW w:w="3620" w:type="dxa"/>
            <w:vAlign w:val="bottom"/>
            <w:gridSpan w:val="3"/>
            <w:shd w:val="clear" w:color="auto" w:fill="0000FF"/>
          </w:tcPr>
          <w:p>
            <w:pPr>
              <w:spacing w:after="0" w:line="20" w:lineRule="exact"/>
              <w:rPr>
                <w:sz w:val="1"/>
                <w:szCs w:val="1"/>
                <w:color w:val="auto"/>
              </w:rPr>
            </w:pPr>
          </w:p>
        </w:tc>
        <w:tc>
          <w:tcPr>
            <w:tcW w:w="2640" w:type="dxa"/>
            <w:vAlign w:val="bottom"/>
            <w:gridSpan w:val="3"/>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54"/>
        </w:trPr>
        <w:tc>
          <w:tcPr>
            <w:tcW w:w="20" w:type="dxa"/>
            <w:vAlign w:val="bottom"/>
          </w:tcPr>
          <w:p>
            <w:pPr>
              <w:spacing w:after="0"/>
              <w:rPr>
                <w:sz w:val="22"/>
                <w:szCs w:val="22"/>
                <w:color w:val="auto"/>
              </w:rPr>
            </w:pPr>
          </w:p>
        </w:tc>
        <w:tc>
          <w:tcPr>
            <w:tcW w:w="666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Notes to Consolidated Financial Statements</w:t>
            </w:r>
          </w:p>
        </w:tc>
        <w:tc>
          <w:tcPr>
            <w:tcW w:w="2640" w:type="dxa"/>
            <w:vAlign w:val="bottom"/>
            <w:gridSpan w:val="3"/>
          </w:tcPr>
          <w:p>
            <w:pPr>
              <w:spacing w:after="0"/>
              <w:rPr>
                <w:sz w:val="22"/>
                <w:szCs w:val="22"/>
                <w:color w:val="auto"/>
              </w:rPr>
            </w:pPr>
          </w:p>
        </w:tc>
        <w:tc>
          <w:tcPr>
            <w:tcW w:w="1920" w:type="dxa"/>
            <w:vAlign w:val="bottom"/>
            <w:gridSpan w:val="3"/>
          </w:tcPr>
          <w:p>
            <w:pPr>
              <w:jc w:val="center"/>
              <w:ind w:left="313"/>
              <w:spacing w:after="0"/>
              <w:rPr>
                <w:sz w:val="20"/>
                <w:szCs w:val="20"/>
                <w:color w:val="auto"/>
              </w:rPr>
            </w:pPr>
            <w:r>
              <w:rPr>
                <w:rFonts w:ascii="Times New Roman" w:cs="Times New Roman" w:eastAsia="Times New Roman" w:hAnsi="Times New Roman"/>
                <w:sz w:val="17"/>
                <w:szCs w:val="17"/>
                <w:color w:val="0000FF"/>
                <w:w w:val="99"/>
              </w:rPr>
              <w:t>F - 7</w:t>
            </w:r>
          </w:p>
        </w:tc>
      </w:tr>
      <w:tr>
        <w:trPr>
          <w:trHeight w:val="1197"/>
        </w:trPr>
        <w:tc>
          <w:tcPr>
            <w:tcW w:w="20" w:type="dxa"/>
            <w:vAlign w:val="bottom"/>
            <w:tcBorders>
              <w:bottom w:val="single" w:sz="8" w:color="9A9A9A"/>
            </w:tcBorders>
          </w:tcPr>
          <w:p>
            <w:pPr>
              <w:spacing w:after="0"/>
              <w:rPr>
                <w:sz w:val="24"/>
                <w:szCs w:val="24"/>
                <w:color w:val="auto"/>
              </w:rPr>
            </w:pPr>
          </w:p>
        </w:tc>
        <w:tc>
          <w:tcPr>
            <w:tcW w:w="3040" w:type="dxa"/>
            <w:vAlign w:val="bottom"/>
            <w:tcBorders>
              <w:top w:val="single" w:sz="8" w:color="0000FF"/>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320" w:type="dxa"/>
            <w:vAlign w:val="bottom"/>
            <w:tcBorders>
              <w:top w:val="single" w:sz="8" w:color="0000FF"/>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79" w:name="page80"/>
    <w:bookmarkEnd w:id="7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the Shareholders and the Board of Directors of MacroGenics, Inc.</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45" w:lineRule="exact"/>
        <w:rPr>
          <w:sz w:val="20"/>
          <w:szCs w:val="20"/>
          <w:color w:val="auto"/>
        </w:rPr>
      </w:pPr>
    </w:p>
    <w:p>
      <w:pPr>
        <w:ind w:right="80" w:firstLine="625"/>
        <w:spacing w:after="0" w:line="273"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MacroGenics, Inc. (the Company) as of December 31, 2024 and 2023, the related consolidated statements of operations and comprehensive loss, stockholders’ equity and cash flows for each of the three years in the period ended December 31, 2024, and the related notes (collectively referred to as the “consolidated financial statements”). In our opinion, the consolidated financial statements present fairly, in all material respects, the financial position of the Company at December 31, 2024 and 2023, and the results of its operations and its cash flows for each of the three years in the period ended December 31, 2024, in conformity with U.S. generally accepted accounting principles.</w:t>
      </w:r>
    </w:p>
    <w:p>
      <w:pPr>
        <w:spacing w:after="0" w:line="112" w:lineRule="exact"/>
        <w:rPr>
          <w:sz w:val="20"/>
          <w:szCs w:val="20"/>
          <w:color w:val="auto"/>
        </w:rPr>
      </w:pPr>
    </w:p>
    <w:p>
      <w:pPr>
        <w:ind w:right="60" w:firstLine="625"/>
        <w:spacing w:after="0" w:line="272" w:lineRule="auto"/>
        <w:rPr>
          <w:sz w:val="20"/>
          <w:szCs w:val="20"/>
          <w:color w:val="auto"/>
        </w:rPr>
      </w:pPr>
      <w:r>
        <w:rPr>
          <w:rFonts w:ascii="Times New Roman" w:cs="Times New Roman" w:eastAsia="Times New Roman" w:hAnsi="Times New Roman"/>
          <w:sz w:val="17"/>
          <w:szCs w:val="17"/>
          <w:color w:val="auto"/>
        </w:rPr>
        <w:t>We also have audited, in accordance with the standards of the Public Company Accounting Oversight Board (United States) (PCAOB), the Company’s internal control over financial reporting as of December 31, 2024, based on criteria established in Internal Control-Integrated Framework issued by the Committee of Sponsoring Organizations of the Treadway Commission (2013 framework) and our report dated March 20, 2025 expressed an unqualified opinion thereon.</w:t>
      </w: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71" w:lineRule="exact"/>
        <w:rPr>
          <w:sz w:val="20"/>
          <w:szCs w:val="20"/>
          <w:color w:val="auto"/>
        </w:rPr>
      </w:pPr>
    </w:p>
    <w:p>
      <w:pPr>
        <w:ind w:right="60" w:firstLine="625"/>
        <w:spacing w:after="0" w:line="27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Critical Audit Matter</w:t>
      </w:r>
    </w:p>
    <w:p>
      <w:pPr>
        <w:spacing w:after="0" w:line="171"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96"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7"/>
          <w:szCs w:val="17"/>
          <w:b w:val="1"/>
          <w:bCs w:val="1"/>
          <w:i w:val="1"/>
          <w:iCs w:val="1"/>
          <w:color w:val="auto"/>
        </w:rPr>
        <w:t>Accounting for the Sale of MARGENZA</w:t>
      </w:r>
    </w:p>
    <w:p>
      <w:pPr>
        <w:sectPr>
          <w:pgSz w:w="11900" w:h="16838" w:orient="portrait"/>
          <w:cols w:equalWidth="0" w:num="1">
            <w:col w:w="10560"/>
          </w:cols>
          <w:pgMar w:left="320" w:top="859" w:right="1019" w:bottom="1440" w:gutter="0" w:footer="0" w:header="0"/>
        </w:sect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Description of the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20"/>
        <w:spacing w:after="0" w:line="246" w:lineRule="auto"/>
        <w:rPr>
          <w:sz w:val="20"/>
          <w:szCs w:val="20"/>
          <w:color w:val="auto"/>
        </w:rPr>
      </w:pPr>
      <w:r>
        <w:rPr>
          <w:rFonts w:ascii="Times New Roman" w:cs="Times New Roman" w:eastAsia="Times New Roman" w:hAnsi="Times New Roman"/>
          <w:sz w:val="17"/>
          <w:szCs w:val="17"/>
          <w:color w:val="auto"/>
        </w:rPr>
        <w:t>How We Addressed the Matter in Our Audit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As discussed in Note 10 of the consolidated financial statements, in October 2024, the Company entered into an Asset Purchase and Sale Agreement (“ASA”) with TerSera Therapeutics, LLC (“TerSera”) in which TerSera acquired global rights to MARGENZA along with a Master Manufacturing and Supply Agreement (“MSA”) under which the Company will manufacture MARGENZA for TerSera, and a Transition Services Agreement to provide certain services to TerSera (“Sale of MARGENZA”). As part of the ASA, the Company received $40.0 million and is eligible to receive sales milestone payments of up to an aggregate of $35.0 million.</w:t>
      </w:r>
    </w:p>
    <w:p>
      <w:pPr>
        <w:spacing w:after="0" w:line="199" w:lineRule="exact"/>
        <w:rPr>
          <w:sz w:val="20"/>
          <w:szCs w:val="20"/>
          <w:color w:val="auto"/>
        </w:rPr>
      </w:pPr>
    </w:p>
    <w:p>
      <w:pPr>
        <w:ind w:right="20"/>
        <w:spacing w:after="0" w:line="265" w:lineRule="auto"/>
        <w:rPr>
          <w:sz w:val="20"/>
          <w:szCs w:val="20"/>
          <w:color w:val="auto"/>
        </w:rPr>
      </w:pPr>
      <w:r>
        <w:rPr>
          <w:rFonts w:ascii="Times New Roman" w:cs="Times New Roman" w:eastAsia="Times New Roman" w:hAnsi="Times New Roman"/>
          <w:sz w:val="17"/>
          <w:szCs w:val="17"/>
          <w:color w:val="auto"/>
        </w:rPr>
        <w:t>Accounting for the Sale of MARGENZA required the Company to make significant judgments. Specifically, there was significant judgment involved with the evaluation of the key terms of the agreements to determine the appropriate and applicable authoritative guidance to apply to each of the elements of the single combined contract. As a result, auditing the Sale of MARGENZA and related agreements required especially subjective and complex auditor judgment.</w:t>
      </w:r>
    </w:p>
    <w:p>
      <w:pPr>
        <w:spacing w:after="0" w:line="249" w:lineRule="exact"/>
        <w:rPr>
          <w:sz w:val="20"/>
          <w:szCs w:val="20"/>
          <w:color w:val="auto"/>
        </w:rPr>
      </w:pPr>
    </w:p>
    <w:p>
      <w:pPr>
        <w:ind w:right="240"/>
        <w:spacing w:after="0" w:line="274" w:lineRule="auto"/>
        <w:rPr>
          <w:sz w:val="20"/>
          <w:szCs w:val="20"/>
          <w:color w:val="auto"/>
        </w:rPr>
      </w:pPr>
      <w:r>
        <w:rPr>
          <w:rFonts w:ascii="Times New Roman" w:cs="Times New Roman" w:eastAsia="Times New Roman" w:hAnsi="Times New Roman"/>
          <w:sz w:val="17"/>
          <w:szCs w:val="17"/>
          <w:color w:val="auto"/>
        </w:rPr>
        <w:t>We obtained an understanding, evaluated the design, and tested the operating effectiveness of the Company’s control over the evaluation of the technical accounting for the Sale of MARGENZA, which included management’s review over the application and evaluation of the applicable authoritative guidance.</w:t>
      </w:r>
    </w:p>
    <w:p>
      <w:pPr>
        <w:spacing w:after="0" w:line="164"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7"/>
          <w:szCs w:val="17"/>
          <w:color w:val="auto"/>
        </w:rPr>
        <w:t>To audit the Company’s accounting for the Sale of MARGENZA, we performed audit procedures that included inspecting the executed agreements and related accounting analyses performed by management and evaluating the conclusions. We also involved our subject matter resources to assist with auditing the significant and judgmental conclusions reached by management including the evaluation of the terms of the agreements and the application of the related accounting guidance.</w:t>
      </w:r>
    </w:p>
    <w:p>
      <w:pPr>
        <w:spacing w:after="0" w:line="200" w:lineRule="exact"/>
        <w:rPr>
          <w:sz w:val="20"/>
          <w:szCs w:val="20"/>
          <w:color w:val="auto"/>
        </w:rPr>
      </w:pPr>
    </w:p>
    <w:p>
      <w:pPr>
        <w:sectPr>
          <w:pgSz w:w="11900" w:h="16838" w:orient="portrait"/>
          <w:cols w:equalWidth="0" w:num="2">
            <w:col w:w="2340" w:space="420"/>
            <w:col w:w="7800"/>
          </w:cols>
          <w:pgMar w:left="320" w:top="859"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We have served as the Company's auditor since 2006.</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Tysons, Virginia</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March 20, 2025</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ind w:right="4780"/>
        <w:spacing w:after="0"/>
        <w:rPr>
          <w:sz w:val="20"/>
          <w:szCs w:val="20"/>
          <w:color w:val="auto"/>
        </w:rPr>
      </w:pPr>
      <w:r>
        <w:rPr>
          <w:rFonts w:ascii="Times New Roman" w:cs="Times New Roman" w:eastAsia="Times New Roman" w:hAnsi="Times New Roman"/>
          <w:sz w:val="17"/>
          <w:szCs w:val="17"/>
          <w:color w:val="auto"/>
        </w:rPr>
        <w:t>F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0560"/>
          </w:cols>
          <w:pgMar w:left="320" w:top="859" w:right="1019" w:bottom="1440" w:gutter="0" w:footer="0" w:header="0"/>
          <w:type w:val="continuous"/>
        </w:sectPr>
      </w:pPr>
    </w:p>
    <w:bookmarkStart w:id="81" w:name="page82"/>
    <w:bookmarkEnd w:id="8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Assets</w:t>
      </w:r>
    </w:p>
    <w:p>
      <w:pPr>
        <w:spacing w:after="0" w:line="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Current assets:</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Cash and cash equivalents</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Marketable securities</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Accounts receivable</w:t>
      </w:r>
    </w:p>
    <w:p>
      <w:pPr>
        <w:spacing w:after="0" w:line="2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7"/>
          <w:szCs w:val="17"/>
          <w:color w:val="auto"/>
        </w:rPr>
        <w:t>Inventory, net</w:t>
      </w:r>
    </w:p>
    <w:p>
      <w:pPr>
        <w:spacing w:after="0" w:line="26" w:lineRule="exact"/>
        <w:rPr>
          <w:sz w:val="20"/>
          <w:szCs w:val="20"/>
          <w:color w:val="auto"/>
        </w:rPr>
      </w:pPr>
    </w:p>
    <w:p>
      <w:pPr>
        <w:ind w:left="40" w:right="20" w:firstLine="208"/>
        <w:spacing w:after="0" w:line="279" w:lineRule="auto"/>
        <w:rPr>
          <w:sz w:val="20"/>
          <w:szCs w:val="20"/>
          <w:color w:val="auto"/>
        </w:rPr>
      </w:pPr>
      <w:r>
        <w:rPr>
          <w:rFonts w:ascii="Times New Roman" w:cs="Times New Roman" w:eastAsia="Times New Roman" w:hAnsi="Times New Roman"/>
          <w:sz w:val="17"/>
          <w:szCs w:val="17"/>
          <w:color w:val="auto"/>
        </w:rPr>
        <w:t>Prepaid expenses and other current assets Total current assets</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Property, equipment and software, net</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Operating lease right-of-use assets</w:t>
      </w:r>
    </w:p>
    <w:p>
      <w:pPr>
        <w:spacing w:after="0" w:line="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Other non current assets</w:t>
      </w:r>
    </w:p>
    <w:p>
      <w:pPr>
        <w:spacing w:after="0" w:line="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color w:val="auto"/>
        </w:rPr>
        <w:t>Total assets</w:t>
      </w:r>
    </w:p>
    <w:p>
      <w:pPr>
        <w:spacing w:after="0" w:line="20" w:lineRule="exact"/>
        <w:rPr>
          <w:sz w:val="20"/>
          <w:szCs w:val="20"/>
          <w:color w:val="auto"/>
        </w:rPr>
      </w:pPr>
      <w:r>
        <w:rPr>
          <w:sz w:val="20"/>
          <w:szCs w:val="20"/>
          <w:color w:val="auto"/>
        </w:rPr>
        <w:br w:type="column"/>
      </w:r>
    </w:p>
    <w:p>
      <w:pPr>
        <w:jc w:val="center"/>
        <w:ind w:right="3860"/>
        <w:spacing w:after="0"/>
        <w:rPr>
          <w:sz w:val="20"/>
          <w:szCs w:val="20"/>
          <w:color w:val="auto"/>
        </w:rPr>
      </w:pPr>
      <w:r>
        <w:rPr>
          <w:rFonts w:ascii="Times New Roman" w:cs="Times New Roman" w:eastAsia="Times New Roman" w:hAnsi="Times New Roman"/>
          <w:sz w:val="17"/>
          <w:szCs w:val="17"/>
          <w:b w:val="1"/>
          <w:bCs w:val="1"/>
          <w:color w:val="auto"/>
        </w:rPr>
        <w:t>MACROGENICS, INC.</w:t>
      </w:r>
    </w:p>
    <w:p>
      <w:pPr>
        <w:spacing w:after="0" w:line="33"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3" w:lineRule="exact"/>
        <w:rPr>
          <w:sz w:val="20"/>
          <w:szCs w:val="20"/>
          <w:color w:val="auto"/>
        </w:rPr>
      </w:pPr>
    </w:p>
    <w:p>
      <w:pPr>
        <w:jc w:val="center"/>
        <w:ind w:right="386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2"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7"/>
          <w:szCs w:val="17"/>
          <w:b w:val="1"/>
          <w:bCs w:val="1"/>
          <w:color w:val="auto"/>
        </w:rPr>
        <w:t>December 31,</w:t>
      </w:r>
    </w:p>
    <w:p>
      <w:pPr>
        <w:spacing w:after="0" w:line="33" w:lineRule="exact"/>
        <w:rPr>
          <w:sz w:val="20"/>
          <w:szCs w:val="20"/>
          <w:color w:val="auto"/>
        </w:rPr>
      </w:pPr>
    </w:p>
    <w:tbl>
      <w:tblPr>
        <w:tblLayout w:type="fixed"/>
        <w:tblInd w:w="4640" w:type="dxa"/>
        <w:tblCellMar>
          <w:top w:w="0" w:type="dxa"/>
          <w:left w:w="0" w:type="dxa"/>
          <w:bottom w:w="0" w:type="dxa"/>
          <w:right w:w="0" w:type="dxa"/>
        </w:tblCellMar>
      </w:tblPr>
      <w:tr>
        <w:trPr>
          <w:trHeight w:val="215"/>
        </w:trPr>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639"/>
        </w:trPr>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182,840</w:t>
            </w:r>
          </w:p>
        </w:tc>
        <w:tc>
          <w:tcPr>
            <w:tcW w:w="100" w:type="dxa"/>
            <w:vAlign w:val="bottom"/>
          </w:tcPr>
          <w:p>
            <w:pPr>
              <w:spacing w:after="0"/>
              <w:rPr>
                <w:sz w:val="24"/>
                <w:szCs w:val="24"/>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100,956</w:t>
            </w:r>
          </w:p>
        </w:tc>
      </w:tr>
      <w:tr>
        <w:trPr>
          <w:trHeight w:val="221"/>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18,827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128,849</w:t>
            </w:r>
          </w:p>
        </w:tc>
      </w:tr>
      <w:tr>
        <w:trPr>
          <w:trHeight w:val="221"/>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10,367</w:t>
            </w:r>
          </w:p>
        </w:tc>
      </w:tr>
      <w:tr>
        <w:trPr>
          <w:trHeight w:val="221"/>
        </w:trPr>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1,221</w:t>
            </w:r>
          </w:p>
        </w:tc>
      </w:tr>
      <w:tr>
        <w:trPr>
          <w:trHeight w:val="227"/>
        </w:trPr>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11,514</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9,946</w:t>
            </w:r>
          </w:p>
        </w:tc>
      </w:tr>
      <w:tr>
        <w:trPr>
          <w:trHeight w:val="209"/>
        </w:trPr>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217,490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251,339</w:t>
            </w:r>
          </w:p>
        </w:tc>
      </w:tr>
      <w:tr>
        <w:trPr>
          <w:trHeight w:val="221"/>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21,847</w:t>
            </w:r>
          </w:p>
        </w:tc>
      </w:tr>
      <w:tr>
        <w:trPr>
          <w:trHeight w:val="221"/>
        </w:trPr>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23,846</w:t>
            </w:r>
          </w:p>
        </w:tc>
      </w:tr>
      <w:tr>
        <w:trPr>
          <w:trHeight w:val="227"/>
        </w:trPr>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1,386</w:t>
            </w:r>
          </w:p>
        </w:tc>
      </w:tr>
      <w:tr>
        <w:trPr>
          <w:trHeight w:val="214"/>
        </w:trPr>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261,655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298,418</w:t>
            </w:r>
          </w:p>
        </w:tc>
      </w:tr>
      <w:tr>
        <w:trPr>
          <w:trHeight w:val="20"/>
        </w:trPr>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-2431415</wp:posOffset>
            </wp:positionH>
            <wp:positionV relativeFrom="paragraph">
              <wp:posOffset>-1736090</wp:posOffset>
            </wp:positionV>
            <wp:extent cx="7112635" cy="1403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12635" cy="14033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-1454785</wp:posOffset>
            </wp:positionV>
            <wp:extent cx="7112635" cy="1403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12635" cy="14033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-1173480</wp:posOffset>
            </wp:positionV>
            <wp:extent cx="7112635" cy="1403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12635" cy="14033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-892810</wp:posOffset>
            </wp:positionV>
            <wp:extent cx="7112635" cy="1403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12635" cy="14033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-603250</wp:posOffset>
            </wp:positionV>
            <wp:extent cx="7112635" cy="1403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12635" cy="140335"/>
                    </a:xfrm>
                    <a:prstGeom prst="rect">
                      <a:avLst/>
                    </a:prstGeom>
                    <a:noFill/>
                  </pic:spPr>
                </pic:pic>
              </a:graphicData>
            </a:graphic>
          </wp:anchor>
        </w:drawing>
        <w:drawing>
          <wp:anchor simplePos="0" relativeHeight="251657728" behindDoc="1" locked="0" layoutInCell="0" allowOverlap="1">
            <wp:simplePos x="0" y="0"/>
            <wp:positionH relativeFrom="column">
              <wp:posOffset>-2431415</wp:posOffset>
            </wp:positionH>
            <wp:positionV relativeFrom="paragraph">
              <wp:posOffset>-321945</wp:posOffset>
            </wp:positionV>
            <wp:extent cx="7112635" cy="1403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12635" cy="14033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140" w:space="720"/>
            <w:col w:w="7380"/>
          </w:cols>
          <w:pgMar w:left="320" w:top="862" w:right="339" w:bottom="1440" w:gutter="0" w:footer="0" w:header="0"/>
        </w:sectPr>
      </w:pPr>
    </w:p>
    <w:tbl>
      <w:tblPr>
        <w:tblLayout w:type="fixed"/>
        <w:tblInd w:w="40" w:type="dxa"/>
        <w:tblCellMar>
          <w:top w:w="0" w:type="dxa"/>
          <w:left w:w="0" w:type="dxa"/>
          <w:bottom w:w="0" w:type="dxa"/>
          <w:right w:w="0" w:type="dxa"/>
        </w:tblCellMar>
      </w:tblPr>
      <w:tr>
        <w:trPr>
          <w:trHeight w:val="214"/>
        </w:trPr>
        <w:tc>
          <w:tcPr>
            <w:tcW w:w="8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1"/>
        </w:trPr>
        <w:tc>
          <w:tcPr>
            <w:tcW w:w="84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1"/>
        </w:trPr>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5,013</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6,443</w:t>
            </w:r>
          </w:p>
        </w:tc>
      </w:tr>
      <w:tr>
        <w:trPr>
          <w:trHeight w:val="22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29,334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24,239</w:t>
            </w:r>
          </w:p>
        </w:tc>
      </w:tr>
      <w:tr>
        <w:trPr>
          <w:trHeight w:val="221"/>
        </w:trPr>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16,319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21,651</w:t>
            </w:r>
          </w:p>
        </w:tc>
      </w:tr>
      <w:tr>
        <w:trPr>
          <w:trHeight w:val="22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Lease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r>
      <w:tr>
        <w:trPr>
          <w:trHeight w:val="214"/>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55,530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56,108</w:t>
            </w:r>
          </w:p>
        </w:tc>
      </w:tr>
      <w:tr>
        <w:trPr>
          <w:trHeight w:val="22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55,503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59,243</w:t>
            </w:r>
          </w:p>
        </w:tc>
      </w:tr>
      <w:tr>
        <w:trPr>
          <w:trHeight w:val="221"/>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32,597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30,196</w:t>
            </w:r>
          </w:p>
        </w:tc>
      </w:tr>
      <w:tr>
        <w:trPr>
          <w:trHeight w:val="221"/>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non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1,968</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w:t>
            </w:r>
          </w:p>
        </w:tc>
      </w:tr>
      <w:tr>
        <w:trPr>
          <w:trHeight w:val="214"/>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145,598</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145,805</w:t>
            </w:r>
          </w:p>
        </w:tc>
      </w:tr>
      <w:tr>
        <w:trPr>
          <w:trHeight w:val="260"/>
        </w:trPr>
        <w:tc>
          <w:tcPr>
            <w:tcW w:w="84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r>
      <w:tr>
        <w:trPr>
          <w:trHeight w:val="221"/>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169"/>
        </w:trPr>
        <w:tc>
          <w:tcPr>
            <w:tcW w:w="8460" w:type="dxa"/>
            <w:vAlign w:val="bottom"/>
            <w:shd w:val="clear" w:color="auto" w:fill="CCEEFF"/>
          </w:tcPr>
          <w:p>
            <w:pPr>
              <w:ind w:left="200"/>
              <w:spacing w:after="0" w:line="169" w:lineRule="exact"/>
              <w:rPr>
                <w:sz w:val="20"/>
                <w:szCs w:val="20"/>
                <w:color w:val="auto"/>
              </w:rPr>
            </w:pPr>
            <w:r>
              <w:rPr>
                <w:rFonts w:ascii="Times New Roman" w:cs="Times New Roman" w:eastAsia="Times New Roman" w:hAnsi="Times New Roman"/>
                <w:sz w:val="17"/>
                <w:szCs w:val="17"/>
                <w:color w:val="auto"/>
              </w:rPr>
              <w:t>Common stock, 0.01 par value -- 125,000,000 shares authorized, 62,819,857 and 62,070,627 shares outstanding at</w:t>
            </w: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4"/>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December 31, 2024 and December 31, 2023, respectively</w:t>
            </w: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r>
      <w:tr>
        <w:trPr>
          <w:trHeight w:val="221"/>
        </w:trPr>
        <w:tc>
          <w:tcPr>
            <w:tcW w:w="84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1,285,143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1,254,750</w:t>
            </w:r>
          </w:p>
        </w:tc>
      </w:tr>
      <w:tr>
        <w:trPr>
          <w:trHeight w:val="221"/>
        </w:trPr>
        <w:tc>
          <w:tcPr>
            <w:tcW w:w="84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Accumulated other comprehensive gain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21"/>
        </w:trPr>
        <w:tc>
          <w:tcPr>
            <w:tcW w:w="846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Accumulated deficit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(1,169,718)</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(1,102,752)</w:t>
            </w:r>
          </w:p>
        </w:tc>
      </w:tr>
      <w:tr>
        <w:trPr>
          <w:trHeight w:val="214"/>
        </w:trPr>
        <w:tc>
          <w:tcPr>
            <w:tcW w:w="84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116,057</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152,613</w:t>
            </w:r>
          </w:p>
        </w:tc>
      </w:tr>
      <w:tr>
        <w:trPr>
          <w:trHeight w:val="214"/>
        </w:trPr>
        <w:tc>
          <w:tcPr>
            <w:tcW w:w="8460" w:type="dxa"/>
            <w:vAlign w:val="bottom"/>
          </w:tcPr>
          <w:p>
            <w:pPr>
              <w:spacing w:after="0"/>
              <w:rPr>
                <w:sz w:val="20"/>
                <w:szCs w:val="20"/>
                <w:color w:val="auto"/>
              </w:rPr>
            </w:pPr>
            <w:r>
              <w:rPr>
                <w:rFonts w:ascii="Times New Roman" w:cs="Times New Roman" w:eastAsia="Times New Roman" w:hAnsi="Times New Roman"/>
                <w:sz w:val="17"/>
                <w:szCs w:val="17"/>
                <w:color w:val="auto"/>
              </w:rPr>
              <w:t>Total liabilities and stockholders' equity</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261,655</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298,418</w:t>
            </w:r>
          </w:p>
        </w:tc>
      </w:tr>
      <w:tr>
        <w:trPr>
          <w:trHeight w:val="20"/>
        </w:trPr>
        <w:tc>
          <w:tcPr>
            <w:tcW w:w="84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type w:val="continuous"/>
        </w:sectPr>
      </w:pPr>
    </w:p>
    <w:bookmarkStart w:id="82" w:name="page83"/>
    <w:bookmarkEnd w:id="82"/>
    <w:p>
      <w:pPr>
        <w:ind w:left="5040"/>
        <w:spacing w:after="0"/>
        <w:rPr>
          <w:sz w:val="20"/>
          <w:szCs w:val="20"/>
          <w:color w:val="auto"/>
        </w:rPr>
      </w:pPr>
      <w:r>
        <w:rPr>
          <w:rFonts w:ascii="Times New Roman" w:cs="Times New Roman" w:eastAsia="Times New Roman" w:hAnsi="Times New Roman"/>
          <w:sz w:val="17"/>
          <w:szCs w:val="17"/>
          <w:b w:val="1"/>
          <w:bCs w:val="1"/>
          <w:color w:val="auto"/>
        </w:rPr>
        <w:t>MACROGENICS, INC.</w:t>
      </w:r>
    </w:p>
    <w:p>
      <w:pPr>
        <w:spacing w:after="0" w:line="33"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 AND COMPREHENSIVE LOSS</w:t>
      </w:r>
    </w:p>
    <w:p>
      <w:pPr>
        <w:spacing w:after="0" w:line="13" w:lineRule="exact"/>
        <w:rPr>
          <w:sz w:val="20"/>
          <w:szCs w:val="20"/>
          <w:color w:val="auto"/>
        </w:rPr>
      </w:pPr>
    </w:p>
    <w:p>
      <w:pPr>
        <w:ind w:left="3860"/>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32"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70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880" w:type="dxa"/>
            <w:vAlign w:val="bottom"/>
            <w:tcBorders>
              <w:bottom w:val="single" w:sz="8" w:color="auto"/>
            </w:tcBorders>
            <w:gridSpan w:val="6"/>
          </w:tcPr>
          <w:p>
            <w:pPr>
              <w:jc w:val="right"/>
              <w:ind w:right="3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000" w:type="dxa"/>
            <w:vAlign w:val="bottom"/>
            <w:tcBorders>
              <w:bottom w:val="single" w:sz="8" w:color="auto"/>
            </w:tcBorders>
          </w:tcPr>
          <w:p>
            <w:pPr>
              <w:spacing w:after="0"/>
              <w:rPr>
                <w:sz w:val="19"/>
                <w:szCs w:val="19"/>
                <w:color w:val="auto"/>
              </w:rPr>
            </w:pPr>
          </w:p>
        </w:tc>
      </w:tr>
      <w:tr>
        <w:trPr>
          <w:trHeight w:val="214"/>
        </w:trPr>
        <w:tc>
          <w:tcPr>
            <w:tcW w:w="704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1"/>
        </w:trPr>
        <w:tc>
          <w:tcPr>
            <w:tcW w:w="7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Collaborative and other agreements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118,856</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29,421</w:t>
            </w:r>
          </w:p>
        </w:tc>
        <w:tc>
          <w:tcPr>
            <w:tcW w:w="10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119,303</w:t>
            </w:r>
          </w:p>
        </w:tc>
      </w:tr>
      <w:tr>
        <w:trPr>
          <w:trHeight w:val="221"/>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Product sales, net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16,426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17,939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16,727</w:t>
            </w:r>
          </w:p>
        </w:tc>
      </w:tr>
      <w:tr>
        <w:trPr>
          <w:trHeight w:val="221"/>
        </w:trPr>
        <w:tc>
          <w:tcPr>
            <w:tcW w:w="7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Contract manufacturing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13,988</w:t>
            </w:r>
          </w:p>
        </w:tc>
      </w:tr>
      <w:tr>
        <w:trPr>
          <w:trHeight w:val="221"/>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Government agreements</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1,623</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1,923</w:t>
            </w:r>
          </w:p>
        </w:tc>
      </w:tr>
      <w:tr>
        <w:trPr>
          <w:trHeight w:val="214"/>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revenues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149,962</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58,749</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151,941</w:t>
            </w:r>
          </w:p>
        </w:tc>
      </w:tr>
      <w:tr>
        <w:trPr>
          <w:trHeight w:val="20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Costs and expenses:</w:t>
            </w: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21"/>
        </w:trPr>
        <w:tc>
          <w:tcPr>
            <w:tcW w:w="7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Cost of product sales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3,351</w:t>
            </w:r>
          </w:p>
        </w:tc>
      </w:tr>
      <w:tr>
        <w:trPr>
          <w:trHeight w:val="221"/>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Cost of manufacturing services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4,033</w:t>
            </w:r>
          </w:p>
        </w:tc>
      </w:tr>
      <w:tr>
        <w:trPr>
          <w:trHeight w:val="221"/>
        </w:trPr>
        <w:tc>
          <w:tcPr>
            <w:tcW w:w="704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177,194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166,583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207,026</w:t>
            </w:r>
          </w:p>
        </w:tc>
      </w:tr>
      <w:tr>
        <w:trPr>
          <w:trHeight w:val="221"/>
        </w:trPr>
        <w:tc>
          <w:tcPr>
            <w:tcW w:w="70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71,047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52,188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58,949</w:t>
            </w:r>
          </w:p>
        </w:tc>
      </w:tr>
      <w:tr>
        <w:trPr>
          <w:trHeight w:val="214"/>
        </w:trPr>
        <w:tc>
          <w:tcPr>
            <w:tcW w:w="70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Total costs and expenses</w:t>
            </w: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260,540</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226,993</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273,359</w:t>
            </w:r>
          </w:p>
        </w:tc>
      </w:tr>
      <w:tr>
        <w:trPr>
          <w:trHeight w:val="214"/>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(110,578)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(168,244)</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(121,418)</w:t>
            </w:r>
          </w:p>
        </w:tc>
      </w:tr>
      <w:tr>
        <w:trPr>
          <w:trHeight w:val="221"/>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Gain on royalty monetization arrangement</w:t>
            </w:r>
          </w:p>
        </w:tc>
        <w:tc>
          <w:tcPr>
            <w:tcW w:w="2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150,930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Gain on sale of MARGENZA</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36,250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Interest and other income</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9,686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1,660</w:t>
            </w:r>
          </w:p>
        </w:tc>
      </w:tr>
      <w:tr>
        <w:trPr>
          <w:trHeight w:val="22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and other expense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(1,115)</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10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(119,758)</w:t>
            </w:r>
          </w:p>
        </w:tc>
      </w:tr>
      <w:tr>
        <w:trPr>
          <w:trHeight w:val="22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Income tax provision</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(119,758)</w:t>
            </w:r>
          </w:p>
        </w:tc>
      </w:tr>
      <w:tr>
        <w:trPr>
          <w:trHeight w:val="22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income (loss):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1"/>
        </w:trPr>
        <w:tc>
          <w:tcPr>
            <w:tcW w:w="70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Unrealized gain (loss) on investments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14"/>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(66,956)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(9,059)</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(119,702)</w:t>
            </w:r>
          </w:p>
        </w:tc>
      </w:tr>
      <w:tr>
        <w:trPr>
          <w:trHeight w:val="221"/>
        </w:trPr>
        <w:tc>
          <w:tcPr>
            <w:tcW w:w="7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spacing w:after="0"/>
              <w:rPr>
                <w:sz w:val="19"/>
                <w:szCs w:val="19"/>
                <w:color w:val="auto"/>
              </w:rPr>
            </w:pPr>
          </w:p>
        </w:tc>
      </w:tr>
      <w:tr>
        <w:trPr>
          <w:trHeight w:val="221"/>
        </w:trPr>
        <w:tc>
          <w:tcPr>
            <w:tcW w:w="70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loss per common share</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227"/>
        </w:trPr>
        <w:tc>
          <w:tcPr>
            <w:tcW w:w="7040" w:type="dxa"/>
            <w:vAlign w:val="bottom"/>
          </w:tcPr>
          <w:p>
            <w:pPr>
              <w:spacing w:after="0"/>
              <w:rPr>
                <w:sz w:val="20"/>
                <w:szCs w:val="20"/>
                <w:color w:val="auto"/>
              </w:rPr>
            </w:pPr>
            <w:r>
              <w:rPr>
                <w:rFonts w:ascii="Times New Roman" w:cs="Times New Roman" w:eastAsia="Times New Roman" w:hAnsi="Times New Roman"/>
                <w:sz w:val="17"/>
                <w:szCs w:val="17"/>
                <w:color w:val="auto"/>
              </w:rPr>
              <w:t>Basic and diluted weighted average common shares outstanding</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62,621,185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61,929,198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61,433,124</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3" w:name="page84"/>
    <w:bookmarkEnd w:id="83"/>
    <w:p>
      <w:pPr>
        <w:jc w:val="center"/>
        <w:spacing w:after="0"/>
        <w:rPr>
          <w:sz w:val="20"/>
          <w:szCs w:val="20"/>
          <w:color w:val="auto"/>
        </w:rPr>
      </w:pPr>
      <w:r>
        <w:rPr>
          <w:rFonts w:ascii="Times New Roman" w:cs="Times New Roman" w:eastAsia="Times New Roman" w:hAnsi="Times New Roman"/>
          <w:sz w:val="17"/>
          <w:szCs w:val="17"/>
          <w:b w:val="1"/>
          <w:bCs w:val="1"/>
          <w:color w:val="auto"/>
        </w:rPr>
        <w:t>MACROGENICS,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STOCKHOLDERS' EQUITY</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amounts)</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3"/>
                <w:szCs w:val="13"/>
                <w:color w:val="auto"/>
              </w:rPr>
            </w:pPr>
          </w:p>
        </w:tc>
        <w:tc>
          <w:tcPr>
            <w:tcW w:w="1200" w:type="dxa"/>
            <w:vAlign w:val="bottom"/>
            <w:vMerge w:val="restart"/>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2540" w:type="dxa"/>
            <w:vAlign w:val="bottom"/>
            <w:gridSpan w:val="5"/>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center"/>
              <w:ind w:right="320"/>
              <w:spacing w:after="0" w:line="142" w:lineRule="exact"/>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3180" w:type="dxa"/>
            <w:vAlign w:val="bottom"/>
          </w:tcPr>
          <w:p>
            <w:pPr>
              <w:spacing w:after="0"/>
              <w:rPr>
                <w:sz w:val="9"/>
                <w:szCs w:val="9"/>
                <w:color w:val="auto"/>
              </w:rPr>
            </w:pPr>
          </w:p>
        </w:tc>
        <w:tc>
          <w:tcPr>
            <w:tcW w:w="2540" w:type="dxa"/>
            <w:vAlign w:val="bottom"/>
            <w:gridSpan w:val="5"/>
            <w:vMerge w:val="continue"/>
          </w:tcPr>
          <w:p>
            <w:pPr>
              <w:spacing w:after="0"/>
              <w:rPr>
                <w:sz w:val="9"/>
                <w:szCs w:val="9"/>
                <w:color w:val="auto"/>
              </w:rPr>
            </w:pPr>
          </w:p>
        </w:tc>
        <w:tc>
          <w:tcPr>
            <w:tcW w:w="180" w:type="dxa"/>
            <w:vAlign w:val="bottom"/>
          </w:tcPr>
          <w:p>
            <w:pPr>
              <w:spacing w:after="0"/>
              <w:rPr>
                <w:sz w:val="9"/>
                <w:szCs w:val="9"/>
                <w:color w:val="auto"/>
              </w:rPr>
            </w:pPr>
          </w:p>
        </w:tc>
        <w:tc>
          <w:tcPr>
            <w:tcW w:w="1060" w:type="dxa"/>
            <w:vAlign w:val="bottom"/>
            <w:gridSpan w:val="2"/>
            <w:vMerge w:val="restart"/>
          </w:tcPr>
          <w:p>
            <w:pPr>
              <w:jc w:val="center"/>
              <w:ind w:right="280"/>
              <w:spacing w:after="0" w:line="12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60" w:type="dxa"/>
            <w:vAlign w:val="bottom"/>
          </w:tcPr>
          <w:p>
            <w:pPr>
              <w:spacing w:after="0"/>
              <w:rPr>
                <w:sz w:val="9"/>
                <w:szCs w:val="9"/>
                <w:color w:val="auto"/>
              </w:rPr>
            </w:pPr>
          </w:p>
        </w:tc>
        <w:tc>
          <w:tcPr>
            <w:tcW w:w="1140" w:type="dxa"/>
            <w:vAlign w:val="bottom"/>
            <w:gridSpan w:val="2"/>
            <w:vMerge w:val="restart"/>
          </w:tcPr>
          <w:p>
            <w:pPr>
              <w:ind w:left="40"/>
              <w:spacing w:after="0" w:line="123"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580" w:type="dxa"/>
            <w:vAlign w:val="bottom"/>
            <w:gridSpan w:val="3"/>
            <w:vMerge w:val="restart"/>
          </w:tcPr>
          <w:p>
            <w:pPr>
              <w:jc w:val="center"/>
              <w:ind w:right="100"/>
              <w:spacing w:after="0" w:line="123" w:lineRule="exact"/>
              <w:rPr>
                <w:sz w:val="20"/>
                <w:szCs w:val="20"/>
                <w:color w:val="auto"/>
              </w:rPr>
            </w:pPr>
            <w:r>
              <w:rPr>
                <w:rFonts w:ascii="Times New Roman" w:cs="Times New Roman" w:eastAsia="Times New Roman" w:hAnsi="Times New Roman"/>
                <w:sz w:val="14"/>
                <w:szCs w:val="14"/>
                <w:b w:val="1"/>
                <w:bCs w:val="1"/>
                <w:color w:val="auto"/>
                <w:w w:val="99"/>
              </w:rPr>
              <w:t>Comprehensive Income</w:t>
            </w:r>
          </w:p>
        </w:tc>
        <w:tc>
          <w:tcPr>
            <w:tcW w:w="200" w:type="dxa"/>
            <w:vAlign w:val="bottom"/>
          </w:tcPr>
          <w:p>
            <w:pPr>
              <w:spacing w:after="0"/>
              <w:rPr>
                <w:sz w:val="9"/>
                <w:szCs w:val="9"/>
                <w:color w:val="auto"/>
              </w:rPr>
            </w:pPr>
          </w:p>
        </w:tc>
        <w:tc>
          <w:tcPr>
            <w:tcW w:w="1200" w:type="dxa"/>
            <w:vAlign w:val="bottom"/>
            <w:vMerge w:val="restart"/>
          </w:tcPr>
          <w:p>
            <w:pPr>
              <w:jc w:val="center"/>
              <w:ind w:right="116"/>
              <w:spacing w:after="0" w:line="123" w:lineRule="exact"/>
              <w:rPr>
                <w:sz w:val="20"/>
                <w:szCs w:val="20"/>
                <w:color w:val="auto"/>
              </w:rPr>
            </w:pPr>
            <w:r>
              <w:rPr>
                <w:rFonts w:ascii="Times New Roman" w:cs="Times New Roman" w:eastAsia="Times New Roman" w:hAnsi="Times New Roman"/>
                <w:sz w:val="14"/>
                <w:szCs w:val="14"/>
                <w:b w:val="1"/>
                <w:bCs w:val="1"/>
                <w:color w:val="auto"/>
                <w:w w:val="97"/>
              </w:rPr>
              <w:t>Stockholders'</w:t>
            </w:r>
          </w:p>
        </w:tc>
        <w:tc>
          <w:tcPr>
            <w:tcW w:w="0" w:type="dxa"/>
            <w:vAlign w:val="bottom"/>
          </w:tcPr>
          <w:p>
            <w:pPr>
              <w:spacing w:after="0"/>
              <w:rPr>
                <w:sz w:val="1"/>
                <w:szCs w:val="1"/>
                <w:color w:val="auto"/>
              </w:rPr>
            </w:pPr>
          </w:p>
        </w:tc>
      </w:tr>
      <w:tr>
        <w:trPr>
          <w:trHeight w:val="23"/>
        </w:trPr>
        <w:tc>
          <w:tcPr>
            <w:tcW w:w="31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1580" w:type="dxa"/>
            <w:vAlign w:val="bottom"/>
            <w:gridSpan w:val="3"/>
            <w:vMerge w:val="continue"/>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3180" w:type="dxa"/>
            <w:vAlign w:val="bottom"/>
          </w:tcPr>
          <w:p>
            <w:pPr>
              <w:spacing w:after="0"/>
              <w:rPr>
                <w:sz w:val="15"/>
                <w:szCs w:val="15"/>
                <w:color w:val="auto"/>
              </w:rPr>
            </w:pPr>
          </w:p>
        </w:tc>
        <w:tc>
          <w:tcPr>
            <w:tcW w:w="1340" w:type="dxa"/>
            <w:vAlign w:val="bottom"/>
            <w:gridSpan w:val="2"/>
          </w:tcPr>
          <w:p>
            <w:pPr>
              <w:ind w:left="4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Pr>
          <w:p>
            <w:pPr>
              <w:spacing w:after="0"/>
              <w:rPr>
                <w:sz w:val="15"/>
                <w:szCs w:val="15"/>
                <w:color w:val="auto"/>
              </w:rPr>
            </w:pPr>
          </w:p>
        </w:tc>
        <w:tc>
          <w:tcPr>
            <w:tcW w:w="10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80" w:type="dxa"/>
            <w:vAlign w:val="bottom"/>
          </w:tcPr>
          <w:p>
            <w:pPr>
              <w:spacing w:after="0"/>
              <w:rPr>
                <w:sz w:val="15"/>
                <w:szCs w:val="15"/>
                <w:color w:val="auto"/>
              </w:rPr>
            </w:pPr>
          </w:p>
        </w:tc>
        <w:tc>
          <w:tcPr>
            <w:tcW w:w="10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60" w:type="dxa"/>
            <w:vAlign w:val="bottom"/>
          </w:tcPr>
          <w:p>
            <w:pPr>
              <w:spacing w:after="0"/>
              <w:rPr>
                <w:sz w:val="15"/>
                <w:szCs w:val="15"/>
                <w:color w:val="auto"/>
              </w:rPr>
            </w:pP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5"/>
                <w:szCs w:val="15"/>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8"/>
              </w:rPr>
              <w:t>(Loss)</w:t>
            </w:r>
          </w:p>
        </w:tc>
        <w:tc>
          <w:tcPr>
            <w:tcW w:w="200" w:type="dxa"/>
            <w:vAlign w:val="bottom"/>
          </w:tcPr>
          <w:p>
            <w:pPr>
              <w:spacing w:after="0"/>
              <w:rPr>
                <w:sz w:val="15"/>
                <w:szCs w:val="15"/>
                <w:color w:val="auto"/>
              </w:rPr>
            </w:pPr>
          </w:p>
        </w:tc>
        <w:tc>
          <w:tcPr>
            <w:tcW w:w="1200" w:type="dxa"/>
            <w:vAlign w:val="bottom"/>
          </w:tcPr>
          <w:p>
            <w:pPr>
              <w:jc w:val="center"/>
              <w:ind w:right="116"/>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r>
        <w:trPr>
          <w:trHeight w:val="246"/>
        </w:trPr>
        <w:tc>
          <w:tcPr>
            <w:tcW w:w="3180" w:type="dxa"/>
            <w:vAlign w:val="bottom"/>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2021</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61,307,428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1,213,002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(973,936)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239,618</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20,438</w:t>
            </w:r>
          </w:p>
        </w:tc>
        <w:tc>
          <w:tcPr>
            <w:tcW w:w="0" w:type="dxa"/>
            <w:vAlign w:val="bottom"/>
          </w:tcPr>
          <w:p>
            <w:pPr>
              <w:spacing w:after="0"/>
              <w:rPr>
                <w:sz w:val="1"/>
                <w:szCs w:val="1"/>
                <w:color w:val="auto"/>
              </w:rPr>
            </w:pPr>
          </w:p>
        </w:tc>
      </w:tr>
      <w:tr>
        <w:trPr>
          <w:trHeight w:val="169"/>
        </w:trPr>
        <w:tc>
          <w:tcPr>
            <w:tcW w:w="31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Issuance of common stock, net of offering</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160,480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1,085</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plan related activity</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233,559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574</w:t>
            </w:r>
          </w:p>
        </w:tc>
        <w:tc>
          <w:tcPr>
            <w:tcW w:w="0" w:type="dxa"/>
            <w:vAlign w:val="bottom"/>
          </w:tcPr>
          <w:p>
            <w:pPr>
              <w:spacing w:after="0"/>
              <w:rPr>
                <w:sz w:val="1"/>
                <w:szCs w:val="1"/>
                <w:color w:val="auto"/>
              </w:rPr>
            </w:pPr>
          </w:p>
        </w:tc>
      </w:tr>
      <w:tr>
        <w:trPr>
          <w:trHeight w:val="22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gain on investments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(119,758)</w:t>
            </w:r>
          </w:p>
        </w:tc>
        <w:tc>
          <w:tcPr>
            <w:tcW w:w="0" w:type="dxa"/>
            <w:vAlign w:val="bottom"/>
          </w:tcPr>
          <w:p>
            <w:pPr>
              <w:spacing w:after="0"/>
              <w:rPr>
                <w:sz w:val="1"/>
                <w:szCs w:val="1"/>
                <w:color w:val="auto"/>
              </w:rPr>
            </w:pPr>
          </w:p>
        </w:tc>
      </w:tr>
      <w:tr>
        <w:trPr>
          <w:trHeight w:val="214"/>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2022</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61,701,467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1,235,095</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(1,093,694)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142,013</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18,373</w:t>
            </w:r>
          </w:p>
        </w:tc>
        <w:tc>
          <w:tcPr>
            <w:tcW w:w="0" w:type="dxa"/>
            <w:vAlign w:val="bottom"/>
          </w:tcPr>
          <w:p>
            <w:pPr>
              <w:spacing w:after="0"/>
              <w:rPr>
                <w:sz w:val="1"/>
                <w:szCs w:val="1"/>
                <w:color w:val="auto"/>
              </w:rPr>
            </w:pPr>
          </w:p>
        </w:tc>
      </w:tr>
      <w:tr>
        <w:trPr>
          <w:trHeight w:val="169"/>
        </w:trPr>
        <w:tc>
          <w:tcPr>
            <w:tcW w:w="3180" w:type="dxa"/>
            <w:vAlign w:val="bottom"/>
            <w:shd w:val="clear" w:color="auto" w:fill="CCEEFF"/>
          </w:tcPr>
          <w:p>
            <w:pPr>
              <w:ind w:left="20"/>
              <w:spacing w:after="0" w:line="169" w:lineRule="exact"/>
              <w:rPr>
                <w:sz w:val="20"/>
                <w:szCs w:val="20"/>
                <w:color w:val="auto"/>
              </w:rPr>
            </w:pPr>
            <w:r>
              <w:rPr>
                <w:rFonts w:ascii="Times New Roman" w:cs="Times New Roman" w:eastAsia="Times New Roman" w:hAnsi="Times New Roman"/>
                <w:sz w:val="17"/>
                <w:szCs w:val="17"/>
                <w:color w:val="auto"/>
              </w:rPr>
              <w:t>Issuance of common stock, net of offering</w:t>
            </w: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167,270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 plan related activity</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201,890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w:t>
            </w:r>
          </w:p>
        </w:tc>
        <w:tc>
          <w:tcPr>
            <w:tcW w:w="0" w:type="dxa"/>
            <w:vAlign w:val="bottom"/>
          </w:tcPr>
          <w:p>
            <w:pPr>
              <w:spacing w:after="0"/>
              <w:rPr>
                <w:sz w:val="1"/>
                <w:szCs w:val="1"/>
                <w:color w:val="auto"/>
              </w:rPr>
            </w:pPr>
          </w:p>
        </w:tc>
      </w:tr>
      <w:tr>
        <w:trPr>
          <w:trHeight w:val="22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Unrealized loss on investments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(9,058)</w:t>
            </w:r>
          </w:p>
        </w:tc>
        <w:tc>
          <w:tcPr>
            <w:tcW w:w="0" w:type="dxa"/>
            <w:vAlign w:val="bottom"/>
          </w:tcPr>
          <w:p>
            <w:pPr>
              <w:spacing w:after="0"/>
              <w:rPr>
                <w:sz w:val="1"/>
                <w:szCs w:val="1"/>
                <w:color w:val="auto"/>
              </w:rPr>
            </w:pPr>
          </w:p>
        </w:tc>
      </w:tr>
      <w:tr>
        <w:trPr>
          <w:trHeight w:val="214"/>
        </w:trPr>
        <w:tc>
          <w:tcPr>
            <w:tcW w:w="31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December 31, 2023</w:t>
            </w: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62,070,627</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1,254,750</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(1,102,752)</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152,613</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Share-based compensation</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29,439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29,439</w:t>
            </w:r>
          </w:p>
        </w:tc>
        <w:tc>
          <w:tcPr>
            <w:tcW w:w="0" w:type="dxa"/>
            <w:vAlign w:val="bottom"/>
          </w:tcPr>
          <w:p>
            <w:pPr>
              <w:spacing w:after="0"/>
              <w:rPr>
                <w:sz w:val="1"/>
                <w:szCs w:val="1"/>
                <w:color w:val="auto"/>
              </w:rPr>
            </w:pPr>
          </w:p>
        </w:tc>
      </w:tr>
      <w:tr>
        <w:trPr>
          <w:trHeight w:val="22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plan related activity</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749,230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961</w:t>
            </w:r>
          </w:p>
        </w:tc>
        <w:tc>
          <w:tcPr>
            <w:tcW w:w="0" w:type="dxa"/>
            <w:vAlign w:val="bottom"/>
          </w:tcPr>
          <w:p>
            <w:pPr>
              <w:spacing w:after="0"/>
              <w:rPr>
                <w:sz w:val="1"/>
                <w:szCs w:val="1"/>
                <w:color w:val="auto"/>
              </w:rPr>
            </w:pPr>
          </w:p>
        </w:tc>
      </w:tr>
      <w:tr>
        <w:trPr>
          <w:trHeight w:val="221"/>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Unrealized gain on investments</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40" w:type="dxa"/>
            <w:vAlign w:val="bottom"/>
            <w:gridSpan w:val="2"/>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21"/>
        </w:trPr>
        <w:tc>
          <w:tcPr>
            <w:tcW w:w="3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13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(66,966)</w:t>
            </w:r>
          </w:p>
        </w:tc>
        <w:tc>
          <w:tcPr>
            <w:tcW w:w="0" w:type="dxa"/>
            <w:vAlign w:val="bottom"/>
          </w:tcPr>
          <w:p>
            <w:pPr>
              <w:spacing w:after="0"/>
              <w:rPr>
                <w:sz w:val="1"/>
                <w:szCs w:val="1"/>
                <w:color w:val="auto"/>
              </w:rPr>
            </w:pPr>
          </w:p>
        </w:tc>
      </w:tr>
      <w:tr>
        <w:trPr>
          <w:trHeight w:val="214"/>
        </w:trPr>
        <w:tc>
          <w:tcPr>
            <w:tcW w:w="31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Balance, December 31, 2024</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62,819,857</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628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1,285,143</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(1,169,718)</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116,057</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4" w:name="page85"/>
    <w:bookmarkEnd w:id="84"/>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MACROGENICS, INC.</w:t>
      </w:r>
    </w:p>
    <w:p>
      <w:pPr>
        <w:spacing w:after="0" w:line="3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0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9"/>
        </w:trPr>
        <w:tc>
          <w:tcPr>
            <w:tcW w:w="7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r>
      <w:tr>
        <w:trPr>
          <w:trHeight w:val="214"/>
        </w:trPr>
        <w:tc>
          <w:tcPr>
            <w:tcW w:w="7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0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(66,966)</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(9,058)</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(119,758)</w:t>
            </w: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1"/>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7,540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9,645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11,865</w:t>
            </w:r>
          </w:p>
        </w:tc>
      </w:tr>
      <w:tr>
        <w:trPr>
          <w:trHeight w:val="22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Amortization of premiums and discounts on marketable securities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(2,810)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w:t>
            </w:r>
          </w:p>
        </w:tc>
      </w:tr>
      <w:tr>
        <w:trPr>
          <w:trHeight w:val="221"/>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Share-based compensation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29,439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20,438</w:t>
            </w:r>
          </w:p>
        </w:tc>
      </w:tr>
      <w:tr>
        <w:trPr>
          <w:trHeight w:val="22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Gain on royalty monetization arrangement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(150,930)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Gain on sale of MARGENZA</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Non-cash interest expense</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Non-cash lease expense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3,341</w:t>
            </w:r>
          </w:p>
        </w:tc>
      </w:tr>
      <w:tr>
        <w:trPr>
          <w:trHeight w:val="22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non-cash items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2,882</w:t>
            </w:r>
          </w:p>
        </w:tc>
      </w:tr>
      <w:tr>
        <w:trPr>
          <w:trHeight w:val="221"/>
        </w:trPr>
        <w:tc>
          <w:tcPr>
            <w:tcW w:w="70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(Gain) loss on disposal of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1"/>
        </w:trPr>
        <w:tc>
          <w:tcPr>
            <w:tcW w:w="7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receivable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6,058</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(45,836)</w:t>
            </w:r>
          </w:p>
        </w:tc>
      </w:tr>
      <w:tr>
        <w:trPr>
          <w:trHeight w:val="221"/>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Inventory</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w:t>
            </w:r>
          </w:p>
        </w:tc>
      </w:tr>
      <w:tr>
        <w:trPr>
          <w:trHeight w:val="221"/>
        </w:trPr>
        <w:tc>
          <w:tcPr>
            <w:tcW w:w="7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(1,567)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11,009</w:t>
            </w:r>
          </w:p>
        </w:tc>
      </w:tr>
      <w:tr>
        <w:trPr>
          <w:trHeight w:val="221"/>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non current assets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(14,045)</w:t>
            </w:r>
          </w:p>
        </w:tc>
      </w:tr>
      <w:tr>
        <w:trPr>
          <w:trHeight w:val="221"/>
        </w:trPr>
        <w:tc>
          <w:tcPr>
            <w:tcW w:w="7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Accounts payable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(10,860)</w:t>
            </w:r>
          </w:p>
        </w:tc>
      </w:tr>
      <w:tr>
        <w:trPr>
          <w:trHeight w:val="221"/>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Accrued expenses and other current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(4,638)</w:t>
            </w:r>
          </w:p>
        </w:tc>
      </w:tr>
      <w:tr>
        <w:trPr>
          <w:trHeight w:val="221"/>
        </w:trPr>
        <w:tc>
          <w:tcPr>
            <w:tcW w:w="7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Lease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9,364</w:t>
            </w:r>
          </w:p>
        </w:tc>
      </w:tr>
      <w:tr>
        <w:trPr>
          <w:trHeight w:val="221"/>
        </w:trPr>
        <w:tc>
          <w:tcPr>
            <w:tcW w:w="7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48,821</w:t>
            </w:r>
          </w:p>
        </w:tc>
      </w:tr>
      <w:tr>
        <w:trPr>
          <w:trHeight w:val="221"/>
        </w:trPr>
        <w:tc>
          <w:tcPr>
            <w:tcW w:w="70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Other non current liabilities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28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(68,373)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(78,205)</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(86,959)</w:t>
            </w:r>
          </w:p>
        </w:tc>
      </w:tr>
      <w:tr>
        <w:trPr>
          <w:trHeight w:val="221"/>
        </w:trPr>
        <w:tc>
          <w:tcPr>
            <w:tcW w:w="7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marketable securities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(77,182)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(239,683)</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(120,602)</w:t>
            </w: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sales and maturities of marketable securities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190,025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161,299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194,940</w:t>
            </w: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Purchases of property, equipment and software</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(3,623)</w:t>
            </w: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sale of MARGENZA</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Proceeds from sales of equipment</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(used in) investing activities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149,297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(80,084)</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70,715</w:t>
            </w:r>
          </w:p>
        </w:tc>
      </w:tr>
      <w:tr>
        <w:trPr>
          <w:trHeight w:val="221"/>
        </w:trPr>
        <w:tc>
          <w:tcPr>
            <w:tcW w:w="7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Proceeds from issuance of common stock, net of offering costs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1,085</w:t>
            </w: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Proceeds from stock option exercises and ESPP purchases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574</w:t>
            </w: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Taxes paid related to net share settlement of equity awards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Principal payments on royalty monetization arrangement</w:t>
            </w: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proceeds from sale of future royalties</w:t>
            </w:r>
          </w:p>
        </w:tc>
        <w:tc>
          <w:tcPr>
            <w:tcW w:w="28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149,655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4"/>
        </w:trPr>
        <w:tc>
          <w:tcPr>
            <w:tcW w:w="7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150,361</w:t>
            </w: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w:t>
            </w:r>
          </w:p>
        </w:tc>
      </w:tr>
      <w:tr>
        <w:trPr>
          <w:trHeight w:val="214"/>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change in cash and cash equivalents</w:t>
            </w: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(7,928)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(14,585)</w:t>
            </w: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beginning of period</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108,884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123,469</w:t>
            </w:r>
          </w:p>
        </w:tc>
      </w:tr>
      <w:tr>
        <w:trPr>
          <w:trHeight w:val="214"/>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and cash equivalents at end of period</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182,840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100,956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108,884</w:t>
            </w: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87"/>
        </w:trPr>
        <w:tc>
          <w:tcPr>
            <w:tcW w:w="7060" w:type="dxa"/>
            <w:vAlign w:val="bottom"/>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b w:val="1"/>
                <w:bCs w:val="1"/>
                <w:color w:val="auto"/>
              </w:rPr>
              <w:t>Supplemental cash flow disclosures</w:t>
            </w: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paid for income taxes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Non-cash operating and investing activities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7"/>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Property and equipment included in accounts payable or accruals</w:t>
            </w: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w:t>
            </w:r>
          </w:p>
        </w:tc>
      </w:tr>
    </w:tbl>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See accompanying notes.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1" w:right="379" w:bottom="1440" w:gutter="0" w:footer="0" w:header="0"/>
        </w:sectPr>
      </w:pPr>
    </w:p>
    <w:bookmarkStart w:id="85" w:name="page86"/>
    <w:bookmarkEnd w:id="85"/>
    <w:p>
      <w:pPr>
        <w:jc w:val="center"/>
        <w:spacing w:after="0"/>
        <w:rPr>
          <w:sz w:val="20"/>
          <w:szCs w:val="20"/>
          <w:color w:val="auto"/>
        </w:rPr>
      </w:pPr>
      <w:r>
        <w:rPr>
          <w:rFonts w:ascii="Times New Roman" w:cs="Times New Roman" w:eastAsia="Times New Roman" w:hAnsi="Times New Roman"/>
          <w:sz w:val="17"/>
          <w:szCs w:val="17"/>
          <w:b w:val="1"/>
          <w:bCs w:val="1"/>
          <w:color w:val="auto"/>
        </w:rPr>
        <w:t>MACROGENICS,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Organization and Nature of Operations</w:t>
      </w:r>
    </w:p>
    <w:p>
      <w:pPr>
        <w:spacing w:after="0" w:line="171"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auto"/>
        </w:rPr>
        <w:t>MacroGenics, Inc. (the Company) is incorporated in the state of Delaware. The Company is a clinical-stage biopharmaceutical company focused on discovering, developing, manufacturing and commercializing innovative antibody-based therapeutics for the treatment of cancer. The Company generates its pipeline of product candidates from its proprietary suite of antibody technology platforms. The Company is currently developing therapeutics utilizing multiple modalities, including antibody-drug conjugates (ADCs) and multi-specific antibodies (which is referred to as DART and TRIDENT molecules). The combination of the Company’s technology platforms and antibody engineering expertise has allowed the Company to generate promising product candidates – three of which have received marketing approval by the U.S. Food and Drug Administration (FDA) – and to enter into several strategic collaborations with global biopharmaceutical companies. These collaborations have provided the Company with over $1.4 billion of non-dilutive funding since its inception in 2000, and have enabled the Company to leverage the additional expertise of its collaborators to advance the development of multiple partnered product candidates. In addition, the Company operates a 5 × 2,000 liter commercial-scale cGMP antibody manufacturing facility in its Maryland headquarters to support its clinical programs. The Company also provides outsourced contract development and manufacturing services to its collaborators and other third parties for commercial and clinical products to offset a portion of the operating costs of this facility.</w:t>
      </w:r>
    </w:p>
    <w:p>
      <w:pPr>
        <w:spacing w:after="0" w:line="206" w:lineRule="exact"/>
        <w:rPr>
          <w:sz w:val="20"/>
          <w:szCs w:val="20"/>
          <w:color w:val="auto"/>
        </w:rPr>
      </w:pPr>
    </w:p>
    <w:p>
      <w:pPr>
        <w:ind w:right="380" w:firstLine="625"/>
        <w:spacing w:after="0" w:line="268" w:lineRule="auto"/>
        <w:rPr>
          <w:sz w:val="20"/>
          <w:szCs w:val="20"/>
          <w:color w:val="auto"/>
        </w:rPr>
      </w:pPr>
      <w:r>
        <w:rPr>
          <w:rFonts w:ascii="Times New Roman" w:cs="Times New Roman" w:eastAsia="Times New Roman" w:hAnsi="Times New Roman"/>
          <w:sz w:val="17"/>
          <w:szCs w:val="17"/>
          <w:color w:val="auto"/>
        </w:rPr>
        <w:t>The Company is currently advancing three proprietary product candidates in clinical development: lorigerlimab, a bispecific DART molecule that targets checkpoint inhibitors PD-1 and CTLA-4; MGC026, an ADC that targets B7-H3 and delivers a novel topoisomerase I inhibitor (TOP1i)-based linker-payload, and MGC028, an ADC that targets ADAM9 and delivers a novel TOP1i-based linker-payload. The Company is also actively developing multiple preclinical-stage ADC and next generation T-cell engager programs.</w:t>
      </w:r>
    </w:p>
    <w:p>
      <w:pPr>
        <w:spacing w:after="0" w:line="195" w:lineRule="exact"/>
        <w:rPr>
          <w:sz w:val="20"/>
          <w:szCs w:val="20"/>
          <w:color w:val="auto"/>
        </w:rPr>
      </w:pPr>
    </w:p>
    <w:p>
      <w:pPr>
        <w:ind w:right="60" w:firstLine="625"/>
        <w:spacing w:after="0"/>
        <w:rPr>
          <w:sz w:val="20"/>
          <w:szCs w:val="20"/>
          <w:color w:val="auto"/>
        </w:rPr>
      </w:pPr>
      <w:r>
        <w:rPr>
          <w:rFonts w:ascii="Times New Roman" w:cs="Times New Roman" w:eastAsia="Times New Roman" w:hAnsi="Times New Roman"/>
          <w:sz w:val="17"/>
          <w:szCs w:val="17"/>
          <w:color w:val="auto"/>
        </w:rPr>
        <w:t>The Company and its partners are developing or commercializing product candidates for which the Company retain certain economic rights. These include three products approved by the FDA: MARGENZA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(margetuximab-cmkb), an anti-HER2 monoclonal antibody (mAb) that the Company recently sold to a partner, ZYNYZ</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(retifanlimab-dlwr), an anti-PD-1 mAb that the Company out-licensed; and TZIELD</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7"/>
          <w:szCs w:val="17"/>
          <w:color w:val="auto"/>
        </w:rPr>
        <w:t xml:space="preserve"> (teplizumab-mzwv), an anti-CD3 mAb that the Company sold to a partner. The Company is also collaborating with Gilead Sciences, Inc. (Gilead) on the development of MGD024, a bispecific DART antibody targeting CD123 and CD3 that utilizes its next-generation T-cell engager technology, as well as two additional undisclosed pre-clinical DART development programs.</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Liquidity</w:t>
      </w:r>
    </w:p>
    <w:p>
      <w:pPr>
        <w:spacing w:after="0" w:line="121" w:lineRule="exact"/>
        <w:rPr>
          <w:sz w:val="20"/>
          <w:szCs w:val="20"/>
          <w:color w:val="auto"/>
        </w:rPr>
      </w:pPr>
    </w:p>
    <w:p>
      <w:pPr>
        <w:ind w:right="480" w:firstLine="625"/>
        <w:spacing w:after="0" w:line="294" w:lineRule="auto"/>
        <w:rPr>
          <w:sz w:val="20"/>
          <w:szCs w:val="20"/>
          <w:color w:val="auto"/>
        </w:rPr>
      </w:pPr>
      <w:r>
        <w:rPr>
          <w:rFonts w:ascii="Times New Roman" w:cs="Times New Roman" w:eastAsia="Times New Roman" w:hAnsi="Times New Roman"/>
          <w:sz w:val="17"/>
          <w:szCs w:val="17"/>
          <w:color w:val="auto"/>
        </w:rPr>
        <w:t>The Company’s multiple product candidates currently under development will require significant additional research and development efforts that include extensive preclinical studies and clinical testing, and regulatory approval prior to commercial use.</w:t>
      </w:r>
    </w:p>
    <w:p>
      <w:pPr>
        <w:spacing w:after="0" w:line="94" w:lineRule="exact"/>
        <w:rPr>
          <w:sz w:val="20"/>
          <w:szCs w:val="20"/>
          <w:color w:val="auto"/>
        </w:rPr>
      </w:pPr>
    </w:p>
    <w:p>
      <w:pPr>
        <w:jc w:val="both"/>
        <w:ind w:firstLine="625"/>
        <w:spacing w:after="0" w:line="268" w:lineRule="auto"/>
        <w:rPr>
          <w:sz w:val="20"/>
          <w:szCs w:val="20"/>
          <w:color w:val="auto"/>
        </w:rPr>
      </w:pPr>
      <w:r>
        <w:rPr>
          <w:rFonts w:ascii="Times New Roman" w:cs="Times New Roman" w:eastAsia="Times New Roman" w:hAnsi="Times New Roman"/>
          <w:sz w:val="17"/>
          <w:szCs w:val="17"/>
          <w:color w:val="auto"/>
        </w:rPr>
        <w:t>The future success of the Company is dependent on its ability to identify and develop its product candidates, and ultimately upon its ability to attain profitable operations. The Company has devoted substantially all of its financial resources and efforts to research and development and general and administrative expense to support such research and development. Net losses and negative cash flows have had, and will continue to have, an adverse effect on the Company’s stockholders’ equity and working capital, and accordingly, its ability to execute its future operating plans.</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a biotechnology company, the Company has primarily funded its operations with proceeds from the sale of its common stock in equity offerings and</w:t>
      </w:r>
    </w:p>
    <w:p>
      <w:pPr>
        <w:spacing w:after="0" w:line="52"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7"/>
          <w:szCs w:val="17"/>
          <w:color w:val="auto"/>
        </w:rPr>
        <w:t>revenue from its multiple collaboration agreements. Management regularly reviews the Company’s available liquidity relative to its operating budget and forecast to monitor the sufficiency of the Company’s working capital. The Company plans to meet its future operating requirements by generating revenue from</w:t>
      </w:r>
    </w:p>
    <w:p>
      <w:pPr>
        <w:spacing w:after="0" w:line="1" w:lineRule="exact"/>
        <w:rPr>
          <w:sz w:val="20"/>
          <w:szCs w:val="20"/>
          <w:color w:val="auto"/>
        </w:rPr>
      </w:pPr>
    </w:p>
    <w:p>
      <w:pPr>
        <w:ind w:right="20"/>
        <w:spacing w:after="0" w:line="263" w:lineRule="auto"/>
        <w:rPr>
          <w:sz w:val="20"/>
          <w:szCs w:val="20"/>
          <w:color w:val="auto"/>
        </w:rPr>
      </w:pPr>
      <w:r>
        <w:rPr>
          <w:rFonts w:ascii="Times New Roman" w:cs="Times New Roman" w:eastAsia="Times New Roman" w:hAnsi="Times New Roman"/>
          <w:sz w:val="17"/>
          <w:szCs w:val="17"/>
          <w:color w:val="auto"/>
        </w:rPr>
        <w:t>current and future strategic collaborations or other arrangements and royalties. The Company anticipates continuing to draw upon available sources of capital, including equity and debt instruments, to support its product development activities. If the Company is unable to enter into new arrangements or to perform under current or future agreements or obtain additional capital, the Company will assess its capital resources and may be required to delay, reduce the scope of, or eliminate one or more of its product research and development programs or clinical studies, reduce other operating expenses, and/or downsize its organization. Based on the Company’s most recent cash flow forecast, the Company believes its current resources are sufficient to fund its operating plans for a minimum of twelve months from the date that this Annual Report on Form 10-K was filed.</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86" w:name="page87"/>
    <w:bookmarkEnd w:id="86"/>
    <w:p>
      <w:pPr>
        <w:ind w:firstLine="625"/>
        <w:spacing w:after="0" w:line="265" w:lineRule="auto"/>
        <w:rPr>
          <w:sz w:val="20"/>
          <w:szCs w:val="20"/>
          <w:color w:val="auto"/>
        </w:rPr>
      </w:pPr>
      <w:r>
        <w:rPr>
          <w:rFonts w:ascii="Times New Roman" w:cs="Times New Roman" w:eastAsia="Times New Roman" w:hAnsi="Times New Roman"/>
          <w:sz w:val="17"/>
          <w:szCs w:val="17"/>
          <w:color w:val="auto"/>
        </w:rPr>
        <w:t>Similar to the other risk factors pertinent to the Company's business, including significant equity market volatility and availability of funding in the biotechnology sector, as well as potential issues in the global economy, credit markets and financial markets as a result of significant worldwide events, including inflation, fluctuating interest rates and geopolitical upheaval, might unfavorably impact the Company's ability to generate such additional funding. Given the uncertainty in the rapidly changing market and economic conditions related to these uncertainties, the Company will continue to evaluate the nature and extent of the impact of these uncertainties on its business and financial position.</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Summary of Significant Accounting Policies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 and Principles of Consolidation</w:t>
      </w:r>
    </w:p>
    <w:p>
      <w:pPr>
        <w:spacing w:after="0" w:line="173"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The consolidated financial statements include the accounts of the Company and its wholly owned subsidiaries, MacroGenics UK Limited and MacroGenics Limited. All intercompany accounts and transactions have been eliminated in consolidation. The Company currently operates in one operating segment. Operating segments are defined as components of an enterprise about which separate discrete information is available for the chief operating decision maker, or decision making group, in deciding how to allocate resources and assessing performance. The Company views its operations and manages its business in one segment, which is developing and commercializing monoclonal antibody-based therapeutics. See Note 13, Segment Reporting, for the Company’s evaluation of its reportable segment and additional disclosures.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w:t>
      </w:r>
    </w:p>
    <w:p>
      <w:pPr>
        <w:spacing w:after="0" w:line="173" w:lineRule="exact"/>
        <w:rPr>
          <w:sz w:val="20"/>
          <w:szCs w:val="20"/>
          <w:color w:val="auto"/>
        </w:rPr>
      </w:pPr>
    </w:p>
    <w:p>
      <w:pPr>
        <w:ind w:right="40" w:firstLine="625"/>
        <w:spacing w:after="0" w:line="262" w:lineRule="auto"/>
        <w:rPr>
          <w:sz w:val="20"/>
          <w:szCs w:val="20"/>
          <w:color w:val="auto"/>
        </w:rPr>
      </w:pPr>
      <w:r>
        <w:rPr>
          <w:rFonts w:ascii="Times New Roman" w:cs="Times New Roman" w:eastAsia="Times New Roman" w:hAnsi="Times New Roman"/>
          <w:sz w:val="17"/>
          <w:szCs w:val="17"/>
          <w:color w:val="auto"/>
        </w:rPr>
        <w:t>The preparation of the financial statements in accordance with generally accepted accounting principles (GAAP) requires the Company to make estimates and judgments in certain circumstances that affect the reported amounts of assets, liabilities, revenues and expenses, and related disclosure of contingent assets and liabilities. In preparing these consolidated financial statements, management has made its best estimates and judgments of certain amounts included in the financial statements, giving due consideration to materiality. On an ongoing basis, the Company evaluates its estimates, including those related to revenue recognition, fair values of assets, inventory, preclinical study and clinical trial accruals and other contingencies. Management bases its estimates on historical experience or on various other assumptions that it believes to be reasonable under the circumstances. Although actual results could differ from these estimates, management does not believe that such differences would be material.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Cash Equivalents and Marketable Securities</w:t>
      </w:r>
    </w:p>
    <w:p>
      <w:pPr>
        <w:spacing w:after="0" w:line="173" w:lineRule="exact"/>
        <w:rPr>
          <w:sz w:val="20"/>
          <w:szCs w:val="20"/>
          <w:color w:val="auto"/>
        </w:rPr>
      </w:pPr>
    </w:p>
    <w:p>
      <w:pPr>
        <w:ind w:right="260" w:firstLine="625"/>
        <w:spacing w:after="0" w:line="268" w:lineRule="auto"/>
        <w:rPr>
          <w:sz w:val="20"/>
          <w:szCs w:val="20"/>
          <w:color w:val="auto"/>
        </w:rPr>
      </w:pPr>
      <w:r>
        <w:rPr>
          <w:rFonts w:ascii="Times New Roman" w:cs="Times New Roman" w:eastAsia="Times New Roman" w:hAnsi="Times New Roman"/>
          <w:sz w:val="17"/>
          <w:szCs w:val="17"/>
          <w:color w:val="auto"/>
        </w:rPr>
        <w:t>The Company considers all investments in highly liquid financial instruments with a maturity of 90 days or less at the date of purchase to be cash equivalents. Cash and cash equivalents includes investments in money market funds with commercial banks and financial institutions, securities issued by the U.S. government and its agencies, Government Sponsored Enterprise agency debt obligations and corporate debt obligations. Cash equivalents are stated at amortized cost, plus accrued interest, which approximates fair value.</w:t>
      </w:r>
    </w:p>
    <w:p>
      <w:pPr>
        <w:spacing w:after="0" w:line="117" w:lineRule="exact"/>
        <w:rPr>
          <w:sz w:val="20"/>
          <w:szCs w:val="20"/>
          <w:color w:val="auto"/>
        </w:rPr>
      </w:pPr>
    </w:p>
    <w:p>
      <w:pPr>
        <w:ind w:right="40" w:firstLine="625"/>
        <w:spacing w:after="0" w:line="262" w:lineRule="auto"/>
        <w:rPr>
          <w:sz w:val="20"/>
          <w:szCs w:val="20"/>
          <w:color w:val="auto"/>
        </w:rPr>
      </w:pPr>
      <w:r>
        <w:rPr>
          <w:rFonts w:ascii="Times New Roman" w:cs="Times New Roman" w:eastAsia="Times New Roman" w:hAnsi="Times New Roman"/>
          <w:sz w:val="17"/>
          <w:szCs w:val="17"/>
          <w:color w:val="252525"/>
        </w:rPr>
        <w:t xml:space="preserve">The Company carries marketable securities classified as available-for-sale at fair value as determined by prices for identical or similar securities at the balance sheet date. </w:t>
      </w:r>
      <w:r>
        <w:rPr>
          <w:rFonts w:ascii="Times New Roman" w:cs="Times New Roman" w:eastAsia="Times New Roman" w:hAnsi="Times New Roman"/>
          <w:sz w:val="17"/>
          <w:szCs w:val="17"/>
          <w:color w:val="000000"/>
        </w:rPr>
        <w:t>Classification of marketable securities between current and non-current is dependent upon the maturity date at the balance sheet date taking</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 xml:space="preserve">into consideration the Company’s ability and intent to hold the investment to maturity. </w:t>
      </w:r>
      <w:r>
        <w:rPr>
          <w:rFonts w:ascii="Times New Roman" w:cs="Times New Roman" w:eastAsia="Times New Roman" w:hAnsi="Times New Roman"/>
          <w:sz w:val="17"/>
          <w:szCs w:val="17"/>
          <w:color w:val="252525"/>
        </w:rPr>
        <w:t>Marketable securities consist of Level 2 financial instruments in the fair-value hierarchy. The Company records unrealized gains and losses as a component of other comprehensive loss within the statements of operations and comprehensive loss and as a separate component of stockholders' equity. Realized gains or losses on available-for-sale securities are determined using the specific identification method and the Company includes net realized gains and losses in other income, along with interest income and amortization of premiums and discounts.</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Accounts Receivable</w:t>
      </w:r>
    </w:p>
    <w:p>
      <w:pPr>
        <w:spacing w:after="0" w:line="173"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Accounts receivable arise from product sales, amounts due from the Company’s collaborative partners and contract manufacturing work performed by the Company. The amount from product sales represents amounts due from specialty distributors. Accounts receivable that management has the intent and ability to collect are reported in the consolidated balance sheets at outstanding amounts, less an allowance for doubtful accounts. The Company writes off uncollectible receivables when the likelihood of collection is remote.</w:t>
      </w:r>
    </w:p>
    <w:p>
      <w:pPr>
        <w:spacing w:after="0" w:line="117" w:lineRule="exact"/>
        <w:rPr>
          <w:sz w:val="20"/>
          <w:szCs w:val="20"/>
          <w:color w:val="auto"/>
        </w:rPr>
      </w:pPr>
    </w:p>
    <w:p>
      <w:pPr>
        <w:jc w:val="both"/>
        <w:ind w:right="80" w:firstLine="625"/>
        <w:spacing w:after="0" w:line="268" w:lineRule="auto"/>
        <w:rPr>
          <w:sz w:val="20"/>
          <w:szCs w:val="20"/>
          <w:color w:val="auto"/>
        </w:rPr>
      </w:pPr>
      <w:r>
        <w:rPr>
          <w:rFonts w:ascii="Times New Roman" w:cs="Times New Roman" w:eastAsia="Times New Roman" w:hAnsi="Times New Roman"/>
          <w:sz w:val="17"/>
          <w:szCs w:val="17"/>
          <w:color w:val="auto"/>
        </w:rPr>
        <w:t>The Company evaluates the collectability of accounts receivable on a regular basis. The allowance, if any, is based upon various factors including the financial condition and payment history of customers, an overall review of collections experience on other accounts and economic factors or events expected to affect future collections experience. No allowance was recorded as of December 31, 2024 or 2023, as the Company has a history of collecting on all outstanding accounts.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i w:val="1"/>
          <w:iCs w:val="1"/>
          <w:color w:val="auto"/>
        </w:rPr>
        <w:t>Fair Value of Financial Instruments</w:t>
      </w:r>
    </w:p>
    <w:p>
      <w:pPr>
        <w:spacing w:after="0" w:line="173" w:lineRule="exact"/>
        <w:rPr>
          <w:sz w:val="20"/>
          <w:szCs w:val="20"/>
          <w:color w:val="auto"/>
        </w:rPr>
      </w:pPr>
    </w:p>
    <w:p>
      <w:pPr>
        <w:ind w:right="100" w:firstLine="625"/>
        <w:spacing w:after="0" w:line="262" w:lineRule="auto"/>
        <w:rPr>
          <w:sz w:val="20"/>
          <w:szCs w:val="20"/>
          <w:color w:val="auto"/>
        </w:rPr>
      </w:pPr>
      <w:r>
        <w:rPr>
          <w:rFonts w:ascii="Times New Roman" w:cs="Times New Roman" w:eastAsia="Times New Roman" w:hAnsi="Times New Roman"/>
          <w:sz w:val="17"/>
          <w:szCs w:val="17"/>
          <w:color w:val="252525"/>
        </w:rPr>
        <w:t xml:space="preserve">The Company's financial instruments consist of cash and cash equivalents, marketable securities, accounts receivable, accounts payable and accrued expenses. The carrying amount of accounts receivable, accounts payable and accrued expenses are generally considered to be representative of their respective fair values because of their short-term nature. </w:t>
      </w:r>
      <w:r>
        <w:rPr>
          <w:rFonts w:ascii="Times New Roman" w:cs="Times New Roman" w:eastAsia="Times New Roman" w:hAnsi="Times New Roman"/>
          <w:sz w:val="17"/>
          <w:szCs w:val="17"/>
          <w:color w:val="000000"/>
        </w:rPr>
        <w:t>The Company accounts for recurring and non-recurring fair value measurements in accordance with the Financial</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 xml:space="preserve">Accounting Standards Board (FASB) Accounting Standards Codification (ASC) 820, </w:t>
      </w:r>
      <w:r>
        <w:rPr>
          <w:rFonts w:ascii="Times New Roman" w:cs="Times New Roman" w:eastAsia="Times New Roman" w:hAnsi="Times New Roman"/>
          <w:sz w:val="17"/>
          <w:szCs w:val="17"/>
          <w:i w:val="1"/>
          <w:iCs w:val="1"/>
          <w:color w:val="000000"/>
        </w:rPr>
        <w:t>Fair Value Measurements and Disclosures</w:t>
      </w:r>
      <w:r>
        <w:rPr>
          <w:rFonts w:ascii="Times New Roman" w:cs="Times New Roman" w:eastAsia="Times New Roman" w:hAnsi="Times New Roman"/>
          <w:sz w:val="17"/>
          <w:szCs w:val="17"/>
          <w:color w:val="000000"/>
        </w:rPr>
        <w:t xml:space="preserve"> (ASC 820). ASC 820 defines fair value, establishes a fair value hierarchy for assets and liabilities measured at fair value, and requires expanded disclosures about fair value measurements. The ASC 820 hierarchy ranks the quality of reliability of inputs, or assumptions, used in the determination of fair value and requires assets and liabilities carried at fair value to be classified and disclosed in one of the following three categories:</w:t>
      </w:r>
    </w:p>
    <w:p>
      <w:pPr>
        <w:spacing w:after="0" w:line="121" w:lineRule="exact"/>
        <w:rPr>
          <w:sz w:val="20"/>
          <w:szCs w:val="20"/>
          <w:color w:val="auto"/>
        </w:rPr>
      </w:pPr>
    </w:p>
    <w:p>
      <w:pPr>
        <w:ind w:left="940" w:hanging="311"/>
        <w:spacing w:after="0"/>
        <w:tabs>
          <w:tab w:leader="none" w:pos="9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Fair value is determined by using unadjusted quoted prices that are available in active markets for identical assets and liabilities.</w:t>
      </w:r>
    </w:p>
    <w:p>
      <w:pPr>
        <w:spacing w:after="0" w:line="169" w:lineRule="exact"/>
        <w:rPr>
          <w:rFonts w:ascii="Times New Roman" w:cs="Times New Roman" w:eastAsia="Times New Roman" w:hAnsi="Times New Roman"/>
          <w:sz w:val="17"/>
          <w:szCs w:val="17"/>
          <w:color w:val="auto"/>
        </w:rPr>
      </w:pPr>
    </w:p>
    <w:p>
      <w:pPr>
        <w:ind w:left="940" w:hanging="311"/>
        <w:spacing w:after="0" w:line="272" w:lineRule="auto"/>
        <w:tabs>
          <w:tab w:leader="none" w:pos="93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Fair value is determined by using inputs other than Level 1 quoted prices that are directly or indirectly observable. Inputs can include quoted prices for similar assets and liabilities in active markets or quoted prices for identical assets and liabilities in inactive markets. Related inputs can also include those used in valuation or other pricing models, such as interest rates and yield curves that can be corroborated by observable market data.</w:t>
      </w:r>
    </w:p>
    <w:p>
      <w:pPr>
        <w:spacing w:after="0" w:line="325" w:lineRule="exact"/>
        <w:rPr>
          <w:rFonts w:ascii="Times New Roman" w:cs="Times New Roman" w:eastAsia="Times New Roman" w:hAnsi="Times New Roman"/>
          <w:sz w:val="17"/>
          <w:szCs w:val="17"/>
          <w:color w:val="auto"/>
        </w:rPr>
      </w:pPr>
    </w:p>
    <w:p>
      <w:pPr>
        <w:ind w:left="940" w:right="40" w:hanging="311"/>
        <w:spacing w:after="0" w:line="274" w:lineRule="auto"/>
        <w:tabs>
          <w:tab w:leader="none" w:pos="935"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Fair value is determined by inputs that are unobservable and not corroborated by market data. Use of these inputs involves significant and subjective judgments to be made by a reporting entity – e.g., determining an appropriate adjustment to a discount factor for illiquidity associated with a given security.</w:t>
      </w:r>
    </w:p>
    <w:p>
      <w:pPr>
        <w:spacing w:after="0" w:line="112" w:lineRule="exact"/>
        <w:rPr>
          <w:sz w:val="20"/>
          <w:szCs w:val="20"/>
          <w:color w:val="auto"/>
        </w:rPr>
      </w:pPr>
    </w:p>
    <w:p>
      <w:pPr>
        <w:jc w:val="both"/>
        <w:ind w:right="360" w:firstLine="625"/>
        <w:spacing w:after="0" w:line="274" w:lineRule="auto"/>
        <w:rPr>
          <w:sz w:val="20"/>
          <w:szCs w:val="20"/>
          <w:color w:val="auto"/>
        </w:rPr>
      </w:pPr>
      <w:r>
        <w:rPr>
          <w:rFonts w:ascii="Times New Roman" w:cs="Times New Roman" w:eastAsia="Times New Roman" w:hAnsi="Times New Roman"/>
          <w:sz w:val="17"/>
          <w:szCs w:val="17"/>
          <w:color w:val="auto"/>
        </w:rPr>
        <w:t xml:space="preserve">The Company evaluates financial assets and liabilities subject to fair value measurements on a recurring basis to determine the appropriate level at which to classify them each reporting period. This determination requires the Company to make subjective judgments as to the significance of inputs used in determining fair value and where such inputs lie within the ASC 820 hierarchy. </w:t>
      </w:r>
      <w:r>
        <w:rPr>
          <w:rFonts w:ascii="Times New Roman" w:cs="Times New Roman" w:eastAsia="Times New Roman" w:hAnsi="Times New Roman"/>
          <w:sz w:val="17"/>
          <w:szCs w:val="17"/>
          <w:color w:val="252525"/>
        </w:rPr>
        <w:t>There were no transfers between levels during the periods presented.</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Financial assets measured at fair value on a recurring basis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60" w:type="dxa"/>
            <w:vAlign w:val="bottom"/>
          </w:tcPr>
          <w:p>
            <w:pPr>
              <w:spacing w:after="0"/>
              <w:rPr>
                <w:sz w:val="19"/>
                <w:szCs w:val="19"/>
                <w:color w:val="auto"/>
              </w:rPr>
            </w:pPr>
          </w:p>
        </w:tc>
        <w:tc>
          <w:tcPr>
            <w:tcW w:w="5340" w:type="dxa"/>
            <w:vAlign w:val="bottom"/>
            <w:tcBorders>
              <w:bottom w:val="single" w:sz="8" w:color="auto"/>
            </w:tcBorders>
            <w:gridSpan w:val="8"/>
          </w:tcPr>
          <w:p>
            <w:pPr>
              <w:jc w:val="right"/>
              <w:ind w:right="853"/>
              <w:spacing w:after="0"/>
              <w:rPr>
                <w:sz w:val="20"/>
                <w:szCs w:val="20"/>
                <w:color w:val="auto"/>
              </w:rPr>
            </w:pPr>
            <w:r>
              <w:rPr>
                <w:rFonts w:ascii="Times New Roman" w:cs="Times New Roman" w:eastAsia="Times New Roman" w:hAnsi="Times New Roman"/>
                <w:sz w:val="17"/>
                <w:szCs w:val="17"/>
                <w:b w:val="1"/>
                <w:bCs w:val="1"/>
                <w:color w:val="auto"/>
              </w:rPr>
              <w:t>Fair Value Measurement at December 31, 2024</w:t>
            </w:r>
          </w:p>
        </w:tc>
      </w:tr>
      <w:tr>
        <w:trPr>
          <w:trHeight w:val="214"/>
        </w:trPr>
        <w:tc>
          <w:tcPr>
            <w:tcW w:w="586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8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54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Level 2</w:t>
            </w:r>
          </w:p>
        </w:tc>
      </w:tr>
      <w:tr>
        <w:trPr>
          <w:trHeight w:val="201"/>
        </w:trPr>
        <w:tc>
          <w:tcPr>
            <w:tcW w:w="5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r>
      <w:tr>
        <w:trPr>
          <w:trHeight w:val="221"/>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1080" w:type="dxa"/>
            <w:vAlign w:val="bottom"/>
          </w:tcPr>
          <w:p>
            <w:pPr>
              <w:jc w:val="right"/>
              <w:ind w:right="89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67,886</w:t>
            </w:r>
          </w:p>
        </w:tc>
        <w:tc>
          <w:tcPr>
            <w:tcW w:w="160" w:type="dxa"/>
            <w:vAlign w:val="bottom"/>
          </w:tcPr>
          <w:p>
            <w:pPr>
              <w:spacing w:after="0"/>
              <w:rPr>
                <w:sz w:val="19"/>
                <w:szCs w:val="19"/>
                <w:color w:val="auto"/>
              </w:rPr>
            </w:pPr>
          </w:p>
        </w:tc>
        <w:tc>
          <w:tcPr>
            <w:tcW w:w="1100" w:type="dxa"/>
            <w:vAlign w:val="bottom"/>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8"/>
              </w:rPr>
              <w:t>67,886</w:t>
            </w:r>
          </w:p>
        </w:tc>
        <w:tc>
          <w:tcPr>
            <w:tcW w:w="2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 Treasury securities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r>
      <w:tr>
        <w:trPr>
          <w:trHeight w:val="221"/>
        </w:trPr>
        <w:tc>
          <w:tcPr>
            <w:tcW w:w="58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Government-sponsored enterprises</w:t>
            </w:r>
          </w:p>
        </w:tc>
        <w:tc>
          <w:tcPr>
            <w:tcW w:w="10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3,994</w:t>
            </w: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3,994</w:t>
            </w:r>
          </w:p>
        </w:tc>
      </w:tr>
      <w:tr>
        <w:trPr>
          <w:trHeight w:val="221"/>
        </w:trPr>
        <w:tc>
          <w:tcPr>
            <w:tcW w:w="58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0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25,548</w:t>
            </w: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25,548</w:t>
            </w:r>
          </w:p>
        </w:tc>
      </w:tr>
      <w:tr>
        <w:trPr>
          <w:trHeight w:val="214"/>
        </w:trPr>
        <w:tc>
          <w:tcPr>
            <w:tcW w:w="5860" w:type="dxa"/>
            <w:vAlign w:val="bottom"/>
          </w:tcPr>
          <w:p>
            <w:pPr>
              <w:ind w:left="20"/>
              <w:spacing w:after="0" w:line="214" w:lineRule="exact"/>
              <w:rPr>
                <w:sz w:val="20"/>
                <w:szCs w:val="20"/>
                <w:color w:val="auto"/>
              </w:rPr>
            </w:pPr>
            <w:r>
              <w:rPr>
                <w:rFonts w:ascii="Times New Roman" w:cs="Times New Roman" w:eastAsia="Times New Roman" w:hAnsi="Times New Roman"/>
                <w:sz w:val="17"/>
                <w:szCs w:val="17"/>
                <w:color w:val="auto"/>
              </w:rPr>
              <w:t xml:space="preserve">Total assets measured at fair value </w:t>
            </w:r>
            <w:r>
              <w:rPr>
                <w:rFonts w:ascii="Times New Roman" w:cs="Times New Roman" w:eastAsia="Times New Roman" w:hAnsi="Times New Roman"/>
                <w:sz w:val="22"/>
                <w:szCs w:val="22"/>
                <w:color w:val="auto"/>
                <w:vertAlign w:val="superscript"/>
              </w:rPr>
              <w:t>(a)</w:t>
            </w:r>
          </w:p>
        </w:tc>
        <w:tc>
          <w:tcPr>
            <w:tcW w:w="1080" w:type="dxa"/>
            <w:vAlign w:val="bottom"/>
            <w:tcBorders>
              <w:top w:val="single" w:sz="8" w:color="auto"/>
              <w:bottom w:val="single" w:sz="8" w:color="auto"/>
            </w:tcBorders>
          </w:tcPr>
          <w:p>
            <w:pPr>
              <w:jc w:val="right"/>
              <w:ind w:right="893"/>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102,428</w:t>
            </w:r>
          </w:p>
        </w:tc>
        <w:tc>
          <w:tcPr>
            <w:tcW w:w="160" w:type="dxa"/>
            <w:vAlign w:val="bottom"/>
          </w:tcPr>
          <w:p>
            <w:pPr>
              <w:spacing w:after="0"/>
              <w:rPr>
                <w:sz w:val="18"/>
                <w:szCs w:val="18"/>
                <w:color w:val="auto"/>
              </w:rPr>
            </w:pPr>
          </w:p>
        </w:tc>
        <w:tc>
          <w:tcPr>
            <w:tcW w:w="1100" w:type="dxa"/>
            <w:vAlign w:val="bottom"/>
            <w:tcBorders>
              <w:top w:val="single" w:sz="8" w:color="auto"/>
              <w:bottom w:val="single" w:sz="8" w:color="auto"/>
            </w:tcBorders>
          </w:tcPr>
          <w:p>
            <w:pPr>
              <w:jc w:val="right"/>
              <w:ind w:right="913"/>
              <w:spacing w:after="0"/>
              <w:rPr>
                <w:sz w:val="20"/>
                <w:szCs w:val="20"/>
                <w:color w:val="auto"/>
              </w:rPr>
            </w:pPr>
            <w:r>
              <w:rPr>
                <w:rFonts w:ascii="Times New Roman" w:cs="Times New Roman" w:eastAsia="Times New Roman" w:hAnsi="Times New Roman"/>
                <w:sz w:val="17"/>
                <w:szCs w:val="17"/>
                <w:color w:val="auto"/>
                <w:w w:val="93"/>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8"/>
              </w:rPr>
              <w:t>67,886</w:t>
            </w:r>
          </w:p>
        </w:tc>
        <w:tc>
          <w:tcPr>
            <w:tcW w:w="2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34,542</w:t>
            </w:r>
          </w:p>
        </w:tc>
      </w:tr>
      <w:tr>
        <w:trPr>
          <w:trHeight w:val="20"/>
        </w:trPr>
        <w:tc>
          <w:tcPr>
            <w:tcW w:w="58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900" w:type="dxa"/>
            <w:vAlign w:val="bottom"/>
          </w:tcPr>
          <w:p>
            <w:pPr>
              <w:spacing w:after="0"/>
              <w:rPr>
                <w:sz w:val="19"/>
                <w:szCs w:val="19"/>
                <w:color w:val="auto"/>
              </w:rPr>
            </w:pPr>
          </w:p>
        </w:tc>
        <w:tc>
          <w:tcPr>
            <w:tcW w:w="5340" w:type="dxa"/>
            <w:vAlign w:val="bottom"/>
            <w:tcBorders>
              <w:bottom w:val="single" w:sz="8" w:color="auto"/>
            </w:tcBorders>
            <w:gridSpan w:val="8"/>
          </w:tcPr>
          <w:p>
            <w:pPr>
              <w:jc w:val="right"/>
              <w:ind w:right="853"/>
              <w:spacing w:after="0"/>
              <w:rPr>
                <w:sz w:val="20"/>
                <w:szCs w:val="20"/>
                <w:color w:val="auto"/>
              </w:rPr>
            </w:pPr>
            <w:r>
              <w:rPr>
                <w:rFonts w:ascii="Times New Roman" w:cs="Times New Roman" w:eastAsia="Times New Roman" w:hAnsi="Times New Roman"/>
                <w:sz w:val="17"/>
                <w:szCs w:val="17"/>
                <w:b w:val="1"/>
                <w:bCs w:val="1"/>
                <w:color w:val="auto"/>
              </w:rPr>
              <w:t>Fair Value Measurement at December 31, 2023</w:t>
            </w:r>
          </w:p>
        </w:tc>
      </w:tr>
      <w:tr>
        <w:trPr>
          <w:trHeight w:val="214"/>
        </w:trPr>
        <w:tc>
          <w:tcPr>
            <w:tcW w:w="59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Total</w:t>
            </w: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80" w:type="dxa"/>
            <w:vAlign w:val="bottom"/>
            <w:gridSpan w:val="2"/>
          </w:tcPr>
          <w:p>
            <w:pPr>
              <w:ind w:left="200"/>
              <w:spacing w:after="0"/>
              <w:rPr>
                <w:sz w:val="20"/>
                <w:szCs w:val="20"/>
                <w:color w:val="auto"/>
              </w:rPr>
            </w:pPr>
            <w:r>
              <w:rPr>
                <w:rFonts w:ascii="Times New Roman" w:cs="Times New Roman" w:eastAsia="Times New Roman" w:hAnsi="Times New Roman"/>
                <w:sz w:val="17"/>
                <w:szCs w:val="17"/>
                <w:b w:val="1"/>
                <w:bCs w:val="1"/>
                <w:color w:val="auto"/>
              </w:rPr>
              <w:t>Level 1</w:t>
            </w:r>
          </w:p>
        </w:tc>
        <w:tc>
          <w:tcPr>
            <w:tcW w:w="340" w:type="dxa"/>
            <w:vAlign w:val="bottom"/>
          </w:tcPr>
          <w:p>
            <w:pPr>
              <w:spacing w:after="0"/>
              <w:rPr>
                <w:sz w:val="18"/>
                <w:szCs w:val="18"/>
                <w:color w:val="auto"/>
              </w:rPr>
            </w:pPr>
          </w:p>
        </w:tc>
        <w:tc>
          <w:tcPr>
            <w:tcW w:w="1360" w:type="dxa"/>
            <w:vAlign w:val="bottom"/>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Level 2</w:t>
            </w:r>
          </w:p>
        </w:tc>
      </w:tr>
      <w:tr>
        <w:trPr>
          <w:trHeight w:val="201"/>
        </w:trPr>
        <w:tc>
          <w:tcPr>
            <w:tcW w:w="5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104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r>
      <w:tr>
        <w:trPr>
          <w:trHeight w:val="221"/>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Money market funds</w:t>
            </w:r>
          </w:p>
        </w:tc>
        <w:tc>
          <w:tcPr>
            <w:tcW w:w="1040" w:type="dxa"/>
            <w:vAlign w:val="bottom"/>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91,665</w:t>
            </w:r>
          </w:p>
        </w:tc>
        <w:tc>
          <w:tcPr>
            <w:tcW w:w="18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91,665</w:t>
            </w:r>
          </w:p>
        </w:tc>
        <w:tc>
          <w:tcPr>
            <w:tcW w:w="220" w:type="dxa"/>
            <w:vAlign w:val="bottom"/>
          </w:tcPr>
          <w:p>
            <w:pPr>
              <w:spacing w:after="0"/>
              <w:rPr>
                <w:sz w:val="19"/>
                <w:szCs w:val="19"/>
                <w:color w:val="auto"/>
              </w:rPr>
            </w:pPr>
          </w:p>
        </w:tc>
        <w:tc>
          <w:tcPr>
            <w:tcW w:w="340" w:type="dxa"/>
            <w:vAlign w:val="bottom"/>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U.S Treasury securities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31,179</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31,179</w:t>
            </w:r>
          </w:p>
        </w:tc>
      </w:tr>
      <w:tr>
        <w:trPr>
          <w:trHeight w:val="221"/>
        </w:trPr>
        <w:tc>
          <w:tcPr>
            <w:tcW w:w="59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Government-sponsored enterprise</w:t>
            </w:r>
          </w:p>
        </w:tc>
        <w:tc>
          <w:tcPr>
            <w:tcW w:w="10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45,043</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80" w:type="dxa"/>
            <w:vAlign w:val="bottom"/>
            <w:gridSpan w:val="2"/>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45,043</w:t>
            </w:r>
          </w:p>
        </w:tc>
      </w:tr>
      <w:tr>
        <w:trPr>
          <w:trHeight w:val="221"/>
        </w:trPr>
        <w:tc>
          <w:tcPr>
            <w:tcW w:w="59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10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52,627</w:t>
            </w:r>
          </w:p>
        </w:tc>
        <w:tc>
          <w:tcPr>
            <w:tcW w:w="1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4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52,627</w:t>
            </w:r>
          </w:p>
        </w:tc>
      </w:tr>
      <w:tr>
        <w:trPr>
          <w:trHeight w:val="214"/>
        </w:trPr>
        <w:tc>
          <w:tcPr>
            <w:tcW w:w="5900" w:type="dxa"/>
            <w:vAlign w:val="bottom"/>
          </w:tcPr>
          <w:p>
            <w:pPr>
              <w:ind w:left="20"/>
              <w:spacing w:after="0" w:line="214" w:lineRule="exact"/>
              <w:rPr>
                <w:sz w:val="20"/>
                <w:szCs w:val="20"/>
                <w:color w:val="auto"/>
              </w:rPr>
            </w:pPr>
            <w:r>
              <w:rPr>
                <w:rFonts w:ascii="Times New Roman" w:cs="Times New Roman" w:eastAsia="Times New Roman" w:hAnsi="Times New Roman"/>
                <w:sz w:val="17"/>
                <w:szCs w:val="17"/>
                <w:color w:val="auto"/>
              </w:rPr>
              <w:t xml:space="preserve">Total assets measured at fair value </w:t>
            </w:r>
            <w:r>
              <w:rPr>
                <w:rFonts w:ascii="Times New Roman" w:cs="Times New Roman" w:eastAsia="Times New Roman" w:hAnsi="Times New Roman"/>
                <w:sz w:val="22"/>
                <w:szCs w:val="22"/>
                <w:color w:val="auto"/>
                <w:vertAlign w:val="superscript"/>
              </w:rPr>
              <w:t>(b)</w:t>
            </w:r>
          </w:p>
        </w:tc>
        <w:tc>
          <w:tcPr>
            <w:tcW w:w="104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93"/>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220,514</w:t>
            </w:r>
          </w:p>
        </w:tc>
        <w:tc>
          <w:tcPr>
            <w:tcW w:w="18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91,665</w:t>
            </w:r>
          </w:p>
        </w:tc>
        <w:tc>
          <w:tcPr>
            <w:tcW w:w="220" w:type="dxa"/>
            <w:vAlign w:val="bottom"/>
          </w:tcPr>
          <w:p>
            <w:pPr>
              <w:spacing w:after="0"/>
              <w:rPr>
                <w:sz w:val="18"/>
                <w:szCs w:val="18"/>
                <w:color w:val="auto"/>
              </w:rPr>
            </w:pPr>
          </w:p>
        </w:tc>
        <w:tc>
          <w:tcPr>
            <w:tcW w:w="340" w:type="dxa"/>
            <w:vAlign w:val="bottom"/>
            <w:tcBorders>
              <w:top w:val="single" w:sz="8" w:color="auto"/>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128,849</w:t>
            </w:r>
          </w:p>
        </w:tc>
      </w:tr>
      <w:tr>
        <w:trPr>
          <w:trHeight w:val="20"/>
        </w:trPr>
        <w:tc>
          <w:tcPr>
            <w:tcW w:w="59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320" w:lineRule="exact"/>
        <w:rPr>
          <w:sz w:val="20"/>
          <w:szCs w:val="20"/>
          <w:color w:val="auto"/>
        </w:rPr>
      </w:pPr>
    </w:p>
    <w:p>
      <w:pPr>
        <w:ind w:left="240" w:right="480" w:hanging="236"/>
        <w:spacing w:after="0" w:line="294" w:lineRule="auto"/>
        <w:tabs>
          <w:tab w:leader="none" w:pos="242"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assets measured at fair value at December 31, 2024 includes approximately $83.6 million reported as cash and cash equivalents and $18.8 million reported as marketable securities on the balance sheet.</w:t>
      </w:r>
    </w:p>
    <w:p>
      <w:pPr>
        <w:spacing w:after="0" w:line="94" w:lineRule="exact"/>
        <w:rPr>
          <w:rFonts w:ascii="Times New Roman" w:cs="Times New Roman" w:eastAsia="Times New Roman" w:hAnsi="Times New Roman"/>
          <w:sz w:val="17"/>
          <w:szCs w:val="17"/>
          <w:color w:val="auto"/>
        </w:rPr>
      </w:pPr>
    </w:p>
    <w:p>
      <w:pPr>
        <w:ind w:left="240" w:right="380" w:hanging="236"/>
        <w:spacing w:after="0" w:line="294" w:lineRule="auto"/>
        <w:tabs>
          <w:tab w:leader="none" w:pos="251"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assets measured at fair value at December 31, 2023 includes approximately $91.7 million reported as cash and cash equivalents and $128.8 million reported as marketable securities on the balance sheet.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i w:val="1"/>
          <w:iCs w:val="1"/>
          <w:color w:val="auto"/>
        </w:rPr>
        <w:t>Concentration of Credit Risk</w:t>
      </w:r>
    </w:p>
    <w:p>
      <w:pPr>
        <w:spacing w:after="0" w:line="173"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 xml:space="preserve">Financial instruments that potentially subject the Company to concentrations of credit risk consist principally of cash, cash equivalents, marketable securities and accounts receivable. </w:t>
      </w:r>
      <w:r>
        <w:rPr>
          <w:rFonts w:ascii="Times New Roman" w:cs="Times New Roman" w:eastAsia="Times New Roman" w:hAnsi="Times New Roman"/>
          <w:sz w:val="17"/>
          <w:szCs w:val="17"/>
          <w:color w:val="252525"/>
        </w:rPr>
        <w:t>The Company maintains its cash and money market funds with financial institutions that are federally insured. While balances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 xml:space="preserve">deposited in these institutions often exceed Federal Deposit Insurance Corporation limits, the Company has not experienced any losses on related accounts to date. The Company's investment policy limits investments to certain types of debt securities issued by the U.S. government, its agencies and institutions with investment-grade credit ratings and places restrictions on maturities and concentration by type and issuer. </w:t>
      </w:r>
      <w:r>
        <w:rPr>
          <w:rFonts w:ascii="Times New Roman" w:cs="Times New Roman" w:eastAsia="Times New Roman" w:hAnsi="Times New Roman"/>
          <w:sz w:val="17"/>
          <w:szCs w:val="17"/>
          <w:color w:val="000000"/>
        </w:rPr>
        <w:t>The counterparties are various corporations, financial</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institutions and government agencies of high credit standing.</w:t>
      </w:r>
    </w:p>
    <w:p>
      <w:pPr>
        <w:spacing w:after="0" w:line="121" w:lineRule="exact"/>
        <w:rPr>
          <w:sz w:val="20"/>
          <w:szCs w:val="20"/>
          <w:color w:val="auto"/>
        </w:rPr>
      </w:pPr>
    </w:p>
    <w:p>
      <w:pPr>
        <w:ind w:right="20" w:firstLine="625"/>
        <w:spacing w:after="0" w:line="271" w:lineRule="auto"/>
        <w:rPr>
          <w:sz w:val="20"/>
          <w:szCs w:val="20"/>
          <w:color w:val="auto"/>
        </w:rPr>
      </w:pPr>
      <w:r>
        <w:rPr>
          <w:rFonts w:ascii="Times New Roman" w:cs="Times New Roman" w:eastAsia="Times New Roman" w:hAnsi="Times New Roman"/>
          <w:sz w:val="17"/>
          <w:szCs w:val="17"/>
          <w:color w:val="auto"/>
        </w:rPr>
        <w:t>The Company's revenue relates to agreements with various collaborators, MARGENZA net product sales (prior to the sale to TerSera Therapeutics LLC (TerSera) in November 2024) and contracts and research grants received from U.S. government agencies. The following table includes those counterparties that represent more than 10% of total revenue earned in the periods indicated:</w:t>
      </w:r>
    </w:p>
    <w:tbl>
      <w:tblPr>
        <w:tblLayout w:type="fixed"/>
        <w:tblInd w:w="0" w:type="dxa"/>
        <w:tblCellMar>
          <w:top w:w="0" w:type="dxa"/>
          <w:left w:w="0" w:type="dxa"/>
          <w:bottom w:w="0" w:type="dxa"/>
          <w:right w:w="0" w:type="dxa"/>
        </w:tblCellMar>
      </w:tblPr>
      <w:tr>
        <w:trPr>
          <w:trHeight w:val="229"/>
        </w:trPr>
        <w:tc>
          <w:tcPr>
            <w:tcW w:w="768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740" w:type="dxa"/>
            <w:vAlign w:val="bottom"/>
            <w:tcBorders>
              <w:bottom w:val="single" w:sz="8" w:color="auto"/>
            </w:tcBorders>
          </w:tcPr>
          <w:p>
            <w:pPr>
              <w:spacing w:after="0"/>
              <w:rPr>
                <w:sz w:val="19"/>
                <w:szCs w:val="19"/>
                <w:color w:val="auto"/>
              </w:rPr>
            </w:pPr>
          </w:p>
        </w:tc>
      </w:tr>
      <w:tr>
        <w:trPr>
          <w:trHeight w:val="214"/>
        </w:trPr>
        <w:tc>
          <w:tcPr>
            <w:tcW w:w="7680" w:type="dxa"/>
            <w:vAlign w:val="bottom"/>
          </w:tcPr>
          <w:p>
            <w:pPr>
              <w:spacing w:after="0"/>
              <w:rPr>
                <w:sz w:val="18"/>
                <w:szCs w:val="18"/>
                <w:color w:val="auto"/>
              </w:rPr>
            </w:pPr>
          </w:p>
        </w:tc>
        <w:tc>
          <w:tcPr>
            <w:tcW w:w="740" w:type="dxa"/>
            <w:vAlign w:val="bottom"/>
          </w:tcPr>
          <w:p>
            <w:pPr>
              <w:jc w:val="center"/>
              <w:ind w:left="27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540" w:type="dxa"/>
            <w:vAlign w:val="bottom"/>
            <w:gridSpan w:val="3"/>
          </w:tcPr>
          <w:p>
            <w:pPr>
              <w:jc w:val="center"/>
              <w:ind w:left="353"/>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jc w:val="center"/>
              <w:ind w:right="273"/>
              <w:spacing w:after="0"/>
              <w:rPr>
                <w:sz w:val="20"/>
                <w:szCs w:val="20"/>
                <w:color w:val="auto"/>
              </w:rPr>
            </w:pPr>
            <w:r>
              <w:rPr>
                <w:rFonts w:ascii="Times New Roman" w:cs="Times New Roman" w:eastAsia="Times New Roman" w:hAnsi="Times New Roman"/>
                <w:sz w:val="17"/>
                <w:szCs w:val="17"/>
                <w:b w:val="1"/>
                <w:bCs w:val="1"/>
                <w:color w:val="auto"/>
                <w:w w:val="99"/>
              </w:rPr>
              <w:t>2022</w:t>
            </w:r>
          </w:p>
        </w:tc>
      </w:tr>
      <w:tr>
        <w:trPr>
          <w:trHeight w:val="214"/>
        </w:trPr>
        <w:tc>
          <w:tcPr>
            <w:tcW w:w="7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Incyte Corporation (Incyte)</w:t>
            </w:r>
          </w:p>
        </w:tc>
        <w:tc>
          <w:tcPr>
            <w:tcW w:w="740" w:type="dxa"/>
            <w:vAlign w:val="bottom"/>
            <w:tcBorders>
              <w:top w:val="single" w:sz="8" w:color="auto"/>
            </w:tcBorders>
            <w:shd w:val="clear" w:color="auto" w:fill="CCEEFF"/>
          </w:tcPr>
          <w:p>
            <w:pPr>
              <w:jc w:val="center"/>
              <w:ind w:left="253"/>
              <w:spacing w:after="0"/>
              <w:rPr>
                <w:sz w:val="20"/>
                <w:szCs w:val="20"/>
                <w:color w:val="auto"/>
              </w:rPr>
            </w:pPr>
            <w:r>
              <w:rPr>
                <w:rFonts w:ascii="Times New Roman" w:cs="Times New Roman" w:eastAsia="Times New Roman" w:hAnsi="Times New Roman"/>
                <w:sz w:val="17"/>
                <w:szCs w:val="17"/>
                <w:color w:val="auto"/>
              </w:rPr>
              <w:t>76%</w:t>
            </w: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53%</w:t>
            </w:r>
          </w:p>
        </w:tc>
        <w:tc>
          <w:tcPr>
            <w:tcW w:w="1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ind w:right="253"/>
              <w:spacing w:after="0"/>
              <w:rPr>
                <w:sz w:val="20"/>
                <w:szCs w:val="20"/>
                <w:color w:val="auto"/>
              </w:rPr>
            </w:pPr>
            <w:r>
              <w:rPr>
                <w:rFonts w:ascii="Times New Roman" w:cs="Times New Roman" w:eastAsia="Times New Roman" w:hAnsi="Times New Roman"/>
                <w:sz w:val="17"/>
                <w:szCs w:val="17"/>
                <w:color w:val="auto"/>
              </w:rPr>
              <w:t>26%</w:t>
            </w:r>
          </w:p>
        </w:tc>
      </w:tr>
      <w:tr>
        <w:trPr>
          <w:trHeight w:val="221"/>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McKesson Plasma &amp; Biologics and McKesson Specialty Care Distribution LLC (McKesson)</w:t>
            </w:r>
          </w:p>
        </w:tc>
        <w:tc>
          <w:tcPr>
            <w:tcW w:w="74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3"/>
          </w:tcPr>
          <w:p>
            <w:pPr>
              <w:jc w:val="center"/>
              <w:ind w:left="373"/>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ind w:right="273"/>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ASD Healthcare and Oncology Supply (ASD)</w:t>
            </w:r>
          </w:p>
        </w:tc>
        <w:tc>
          <w:tcPr>
            <w:tcW w:w="74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3"/>
            <w:shd w:val="clear" w:color="auto" w:fill="CCEEFF"/>
          </w:tcPr>
          <w:p>
            <w:pPr>
              <w:jc w:val="center"/>
              <w:ind w:left="37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273"/>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Provention Bio, Inc. (Provention)</w:t>
            </w:r>
          </w:p>
        </w:tc>
        <w:tc>
          <w:tcPr>
            <w:tcW w:w="740" w:type="dxa"/>
            <w:vAlign w:val="bottom"/>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3"/>
          </w:tcPr>
          <w:p>
            <w:pPr>
              <w:jc w:val="center"/>
              <w:ind w:left="373"/>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tcPr>
          <w:p>
            <w:pPr>
              <w:jc w:val="center"/>
              <w:ind w:right="253"/>
              <w:spacing w:after="0"/>
              <w:rPr>
                <w:sz w:val="20"/>
                <w:szCs w:val="20"/>
                <w:color w:val="auto"/>
              </w:rPr>
            </w:pPr>
            <w:r>
              <w:rPr>
                <w:rFonts w:ascii="Times New Roman" w:cs="Times New Roman" w:eastAsia="Times New Roman" w:hAnsi="Times New Roman"/>
                <w:sz w:val="17"/>
                <w:szCs w:val="17"/>
                <w:color w:val="auto"/>
              </w:rPr>
              <w:t>43%</w:t>
            </w:r>
          </w:p>
        </w:tc>
      </w:tr>
      <w:tr>
        <w:trPr>
          <w:trHeight w:val="221"/>
        </w:trPr>
        <w:tc>
          <w:tcPr>
            <w:tcW w:w="7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Zai Lab Limited (Zai Lab)</w:t>
            </w:r>
          </w:p>
        </w:tc>
        <w:tc>
          <w:tcPr>
            <w:tcW w:w="740" w:type="dxa"/>
            <w:vAlign w:val="bottom"/>
            <w:shd w:val="clear" w:color="auto" w:fill="CCEEFF"/>
          </w:tcPr>
          <w:p>
            <w:pPr>
              <w:jc w:val="center"/>
              <w:ind w:left="273"/>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3"/>
            <w:shd w:val="clear" w:color="auto" w:fill="CCEEFF"/>
          </w:tcPr>
          <w:p>
            <w:pPr>
              <w:jc w:val="center"/>
              <w:ind w:left="373"/>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40" w:type="dxa"/>
            <w:vAlign w:val="bottom"/>
            <w:shd w:val="clear" w:color="auto" w:fill="CCEEFF"/>
          </w:tcPr>
          <w:p>
            <w:pPr>
              <w:jc w:val="center"/>
              <w:ind w:right="253"/>
              <w:spacing w:after="0"/>
              <w:rPr>
                <w:sz w:val="20"/>
                <w:szCs w:val="20"/>
                <w:color w:val="auto"/>
              </w:rPr>
            </w:pPr>
            <w:r>
              <w:rPr>
                <w:rFonts w:ascii="Times New Roman" w:cs="Times New Roman" w:eastAsia="Times New Roman" w:hAnsi="Times New Roman"/>
                <w:sz w:val="17"/>
                <w:szCs w:val="17"/>
                <w:color w:val="auto"/>
              </w:rPr>
              <w:t>15%</w:t>
            </w:r>
          </w:p>
        </w:tc>
      </w:tr>
    </w:tbl>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Amount is less than 10% for the period indicated.</w:t>
      </w:r>
    </w:p>
    <w:p>
      <w:pPr>
        <w:spacing w:after="0" w:line="16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table includes those counterparties that represent more than 10% of accounts receivable at the date indicated:</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2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2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4"/>
        </w:trPr>
        <w:tc>
          <w:tcPr>
            <w:tcW w:w="8280" w:type="dxa"/>
            <w:vAlign w:val="bottom"/>
          </w:tcPr>
          <w:p>
            <w:pPr>
              <w:spacing w:after="0"/>
              <w:rPr>
                <w:sz w:val="18"/>
                <w:szCs w:val="18"/>
                <w:color w:val="auto"/>
              </w:rPr>
            </w:pPr>
          </w:p>
        </w:tc>
        <w:tc>
          <w:tcPr>
            <w:tcW w:w="900" w:type="dxa"/>
            <w:vAlign w:val="bottom"/>
          </w:tcPr>
          <w:p>
            <w:pPr>
              <w:jc w:val="center"/>
              <w:ind w:left="39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2020" w:type="dxa"/>
            <w:vAlign w:val="bottom"/>
            <w:gridSpan w:val="3"/>
          </w:tcPr>
          <w:p>
            <w:pPr>
              <w:jc w:val="center"/>
              <w:ind w:left="63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14"/>
        </w:trPr>
        <w:tc>
          <w:tcPr>
            <w:tcW w:w="8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Incyte</w:t>
            </w:r>
          </w:p>
        </w:tc>
        <w:tc>
          <w:tcPr>
            <w:tcW w:w="900" w:type="dxa"/>
            <w:vAlign w:val="bottom"/>
            <w:tcBorders>
              <w:top w:val="single" w:sz="8" w:color="auto"/>
            </w:tcBorders>
            <w:shd w:val="clear" w:color="auto" w:fill="CCEEFF"/>
          </w:tcPr>
          <w:p>
            <w:pPr>
              <w:jc w:val="center"/>
              <w:ind w:left="413"/>
              <w:spacing w:after="0"/>
              <w:rPr>
                <w:sz w:val="20"/>
                <w:szCs w:val="20"/>
                <w:color w:val="auto"/>
              </w:rPr>
            </w:pPr>
            <w:r>
              <w:rPr>
                <w:rFonts w:ascii="Times New Roman" w:cs="Times New Roman" w:eastAsia="Times New Roman" w:hAnsi="Times New Roman"/>
                <w:sz w:val="17"/>
                <w:szCs w:val="17"/>
                <w:color w:val="auto"/>
              </w:rPr>
              <w:t>39%</w:t>
            </w:r>
          </w:p>
        </w:tc>
        <w:tc>
          <w:tcPr>
            <w:tcW w:w="4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25%</w:t>
            </w:r>
          </w:p>
        </w:tc>
      </w:tr>
      <w:tr>
        <w:trPr>
          <w:trHeight w:val="221"/>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ASD</w:t>
            </w:r>
          </w:p>
        </w:tc>
        <w:tc>
          <w:tcPr>
            <w:tcW w:w="900" w:type="dxa"/>
            <w:vAlign w:val="bottom"/>
          </w:tcPr>
          <w:p>
            <w:pPr>
              <w:jc w:val="center"/>
              <w:ind w:left="413"/>
              <w:spacing w:after="0"/>
              <w:rPr>
                <w:sz w:val="20"/>
                <w:szCs w:val="20"/>
                <w:color w:val="auto"/>
              </w:rPr>
            </w:pPr>
            <w:r>
              <w:rPr>
                <w:rFonts w:ascii="Times New Roman" w:cs="Times New Roman" w:eastAsia="Times New Roman" w:hAnsi="Times New Roman"/>
                <w:sz w:val="17"/>
                <w:szCs w:val="17"/>
                <w:color w:val="auto"/>
              </w:rPr>
              <w:t>18%</w:t>
            </w:r>
          </w:p>
        </w:tc>
        <w:tc>
          <w:tcPr>
            <w:tcW w:w="2020" w:type="dxa"/>
            <w:vAlign w:val="bottom"/>
            <w:gridSpan w:val="3"/>
          </w:tcPr>
          <w:p>
            <w:pPr>
              <w:jc w:val="center"/>
              <w:ind w:left="613"/>
              <w:spacing w:after="0"/>
              <w:rPr>
                <w:sz w:val="20"/>
                <w:szCs w:val="20"/>
                <w:color w:val="auto"/>
              </w:rPr>
            </w:pPr>
            <w:r>
              <w:rPr>
                <w:rFonts w:ascii="Times New Roman" w:cs="Times New Roman" w:eastAsia="Times New Roman" w:hAnsi="Times New Roman"/>
                <w:sz w:val="17"/>
                <w:szCs w:val="17"/>
                <w:color w:val="auto"/>
              </w:rPr>
              <w:t>15%</w:t>
            </w:r>
          </w:p>
        </w:tc>
      </w:tr>
      <w:tr>
        <w:trPr>
          <w:trHeight w:val="22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McKesson</w:t>
            </w:r>
          </w:p>
        </w:tc>
        <w:tc>
          <w:tcPr>
            <w:tcW w:w="900" w:type="dxa"/>
            <w:vAlign w:val="bottom"/>
            <w:shd w:val="clear" w:color="auto" w:fill="CCEEFF"/>
          </w:tcPr>
          <w:p>
            <w:pPr>
              <w:jc w:val="center"/>
              <w:ind w:left="413"/>
              <w:spacing w:after="0"/>
              <w:rPr>
                <w:sz w:val="20"/>
                <w:szCs w:val="20"/>
                <w:color w:val="auto"/>
              </w:rPr>
            </w:pPr>
            <w:r>
              <w:rPr>
                <w:rFonts w:ascii="Times New Roman" w:cs="Times New Roman" w:eastAsia="Times New Roman" w:hAnsi="Times New Roman"/>
                <w:sz w:val="17"/>
                <w:szCs w:val="17"/>
                <w:color w:val="auto"/>
              </w:rPr>
              <w:t>13%</w:t>
            </w:r>
          </w:p>
        </w:tc>
        <w:tc>
          <w:tcPr>
            <w:tcW w:w="2020" w:type="dxa"/>
            <w:vAlign w:val="bottom"/>
            <w:gridSpan w:val="3"/>
            <w:shd w:val="clear" w:color="auto" w:fill="CCEEFF"/>
          </w:tcPr>
          <w:p>
            <w:pPr>
              <w:jc w:val="center"/>
              <w:ind w:left="613"/>
              <w:spacing w:after="0"/>
              <w:rPr>
                <w:sz w:val="20"/>
                <w:szCs w:val="20"/>
                <w:color w:val="auto"/>
              </w:rPr>
            </w:pPr>
            <w:r>
              <w:rPr>
                <w:rFonts w:ascii="Times New Roman" w:cs="Times New Roman" w:eastAsia="Times New Roman" w:hAnsi="Times New Roman"/>
                <w:sz w:val="17"/>
                <w:szCs w:val="17"/>
                <w:color w:val="auto"/>
              </w:rPr>
              <w:t>16%</w:t>
            </w:r>
          </w:p>
        </w:tc>
      </w:tr>
      <w:tr>
        <w:trPr>
          <w:trHeight w:val="221"/>
        </w:trPr>
        <w:tc>
          <w:tcPr>
            <w:tcW w:w="82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Cardinal Health, Inc.</w:t>
            </w:r>
          </w:p>
        </w:tc>
        <w:tc>
          <w:tcPr>
            <w:tcW w:w="900" w:type="dxa"/>
            <w:vAlign w:val="bottom"/>
          </w:tcPr>
          <w:p>
            <w:pPr>
              <w:jc w:val="center"/>
              <w:ind w:left="413"/>
              <w:spacing w:after="0"/>
              <w:rPr>
                <w:sz w:val="20"/>
                <w:szCs w:val="20"/>
                <w:color w:val="auto"/>
              </w:rPr>
            </w:pPr>
            <w:r>
              <w:rPr>
                <w:rFonts w:ascii="Times New Roman" w:cs="Times New Roman" w:eastAsia="Times New Roman" w:hAnsi="Times New Roman"/>
                <w:sz w:val="17"/>
                <w:szCs w:val="17"/>
                <w:color w:val="auto"/>
              </w:rPr>
              <w:t>12%</w:t>
            </w:r>
          </w:p>
        </w:tc>
        <w:tc>
          <w:tcPr>
            <w:tcW w:w="2020" w:type="dxa"/>
            <w:vAlign w:val="bottom"/>
            <w:gridSpan w:val="3"/>
          </w:tcPr>
          <w:p>
            <w:pPr>
              <w:jc w:val="center"/>
              <w:ind w:left="613"/>
              <w:spacing w:after="0"/>
              <w:rPr>
                <w:sz w:val="20"/>
                <w:szCs w:val="20"/>
                <w:color w:val="auto"/>
              </w:rPr>
            </w:pPr>
            <w:r>
              <w:rPr>
                <w:rFonts w:ascii="Times New Roman" w:cs="Times New Roman" w:eastAsia="Times New Roman" w:hAnsi="Times New Roman"/>
                <w:sz w:val="17"/>
                <w:szCs w:val="17"/>
                <w:color w:val="auto"/>
              </w:rPr>
              <w:t>18%</w:t>
            </w:r>
          </w:p>
        </w:tc>
      </w:tr>
      <w:tr>
        <w:trPr>
          <w:trHeight w:val="221"/>
        </w:trPr>
        <w:tc>
          <w:tcPr>
            <w:tcW w:w="8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Zai Lab</w:t>
            </w:r>
          </w:p>
        </w:tc>
        <w:tc>
          <w:tcPr>
            <w:tcW w:w="900" w:type="dxa"/>
            <w:vAlign w:val="bottom"/>
            <w:shd w:val="clear" w:color="auto" w:fill="CCEEFF"/>
          </w:tcPr>
          <w:p>
            <w:pPr>
              <w:jc w:val="center"/>
              <w:ind w:left="393"/>
              <w:spacing w:after="0"/>
              <w:rPr>
                <w:sz w:val="20"/>
                <w:szCs w:val="20"/>
                <w:color w:val="auto"/>
              </w:rPr>
            </w:pPr>
            <w:r>
              <w:rPr>
                <w:rFonts w:ascii="Times New Roman" w:cs="Times New Roman" w:eastAsia="Times New Roman" w:hAnsi="Times New Roman"/>
                <w:sz w:val="17"/>
                <w:szCs w:val="17"/>
                <w:color w:val="auto"/>
              </w:rPr>
              <w:t>*</w:t>
            </w:r>
          </w:p>
        </w:tc>
        <w:tc>
          <w:tcPr>
            <w:tcW w:w="2020" w:type="dxa"/>
            <w:vAlign w:val="bottom"/>
            <w:gridSpan w:val="3"/>
            <w:shd w:val="clear" w:color="auto" w:fill="CCEEFF"/>
          </w:tcPr>
          <w:p>
            <w:pPr>
              <w:jc w:val="center"/>
              <w:ind w:left="613"/>
              <w:spacing w:after="0"/>
              <w:rPr>
                <w:sz w:val="20"/>
                <w:szCs w:val="20"/>
                <w:color w:val="auto"/>
              </w:rPr>
            </w:pPr>
            <w:r>
              <w:rPr>
                <w:rFonts w:ascii="Times New Roman" w:cs="Times New Roman" w:eastAsia="Times New Roman" w:hAnsi="Times New Roman"/>
                <w:sz w:val="17"/>
                <w:szCs w:val="17"/>
                <w:color w:val="auto"/>
              </w:rPr>
              <w:t>12%</w:t>
            </w:r>
          </w:p>
        </w:tc>
      </w:tr>
    </w:tbl>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Balance is less than 10% as of the date indicated.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Inventory</w:t>
      </w:r>
    </w:p>
    <w:p>
      <w:pPr>
        <w:spacing w:after="0" w:line="173" w:lineRule="exact"/>
        <w:rPr>
          <w:sz w:val="20"/>
          <w:szCs w:val="20"/>
          <w:color w:val="auto"/>
        </w:rPr>
      </w:pPr>
    </w:p>
    <w:p>
      <w:pPr>
        <w:ind w:right="60" w:firstLine="625"/>
        <w:spacing w:after="0" w:line="262" w:lineRule="auto"/>
        <w:rPr>
          <w:sz w:val="20"/>
          <w:szCs w:val="20"/>
          <w:color w:val="auto"/>
        </w:rPr>
      </w:pPr>
      <w:r>
        <w:rPr>
          <w:rFonts w:ascii="Times New Roman" w:cs="Times New Roman" w:eastAsia="Times New Roman" w:hAnsi="Times New Roman"/>
          <w:sz w:val="17"/>
          <w:szCs w:val="17"/>
          <w:color w:val="auto"/>
        </w:rPr>
        <w:t>When the Company believes regulatory approval is probable and expects future economic benefit from the sales of a product candidate to be realized, the Company capitalizes manufacturing costs (whether internally produced or through third-party contract manufacturing organizations) as inventory. Prior to receiving its first approval from the FDA in December 2020, the Company expensed all costs incurred related to the manufacture of MARGENZA as research and development expense because of the inherent risks associated with the development of a product candidate, the uncertainty about the regulatory approval process and the lack of history for the Company of regulatory approval of drug candidates. Subsequent to FDA approval in December 2020, the Company began capitalizing its MARGENZA third-party contract manufacturing inventory costs. In November 2024, the Company sold global rights to MARGENZA to TerSera. As part of this transaction, the Company transferred all of its inventory to TerSera.</w:t>
      </w:r>
    </w:p>
    <w:p>
      <w:pPr>
        <w:spacing w:after="0" w:line="121" w:lineRule="exact"/>
        <w:rPr>
          <w:sz w:val="20"/>
          <w:szCs w:val="20"/>
          <w:color w:val="auto"/>
        </w:rPr>
      </w:pPr>
    </w:p>
    <w:p>
      <w:pPr>
        <w:ind w:right="320" w:firstLine="625"/>
        <w:spacing w:after="0" w:line="265" w:lineRule="auto"/>
        <w:rPr>
          <w:sz w:val="20"/>
          <w:szCs w:val="20"/>
          <w:color w:val="auto"/>
        </w:rPr>
      </w:pPr>
      <w:r>
        <w:rPr>
          <w:rFonts w:ascii="Times New Roman" w:cs="Times New Roman" w:eastAsia="Times New Roman" w:hAnsi="Times New Roman"/>
          <w:sz w:val="17"/>
          <w:szCs w:val="17"/>
          <w:color w:val="auto"/>
        </w:rPr>
        <w:t>Inventory is composed of raw materials, work-in-process, and finished goods, which are goods that are available for sale. The Company values its inventories at the lower of cost or estimated net realizable value. The Company determines the cost of its inventories, which includes amounts related to materials and third-party contract manufacturing costs, on a first-in, first-out basis. The Company performs an assessment of the recoverability of capitalized inventory during each reporting period, and it writes down any excess, obsolete or unsaleable inventories to their estimated realizable value in the period in which the impairment is first identified. Such write downs, should they occur, are recorded within the cost of product sales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59" w:right="35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7"/>
          <w:szCs w:val="17"/>
          <w:b w:val="1"/>
          <w:bCs w:val="1"/>
          <w:i w:val="1"/>
          <w:iCs w:val="1"/>
          <w:color w:val="auto"/>
        </w:rPr>
        <w:t>Property, Equipment and Software</w:t>
      </w:r>
    </w:p>
    <w:p>
      <w:pPr>
        <w:spacing w:after="0" w:line="173" w:lineRule="exact"/>
        <w:rPr>
          <w:sz w:val="20"/>
          <w:szCs w:val="20"/>
          <w:color w:val="auto"/>
        </w:rPr>
      </w:pPr>
    </w:p>
    <w:p>
      <w:pPr>
        <w:jc w:val="both"/>
        <w:ind w:right="180" w:firstLine="625"/>
        <w:spacing w:after="0" w:line="274" w:lineRule="auto"/>
        <w:rPr>
          <w:sz w:val="20"/>
          <w:szCs w:val="20"/>
          <w:color w:val="auto"/>
        </w:rPr>
      </w:pPr>
      <w:r>
        <w:rPr>
          <w:rFonts w:ascii="Times New Roman" w:cs="Times New Roman" w:eastAsia="Times New Roman" w:hAnsi="Times New Roman"/>
          <w:sz w:val="17"/>
          <w:szCs w:val="17"/>
          <w:color w:val="auto"/>
        </w:rPr>
        <w:t>Property, equipment and software are stated at cost. Upon retirement or sale, the cost of assets disposed of and the related accumulated depreciation or amortization are removed from the accounts and any resulting gain or loss is credited or charged to operations. Repairs and maintenance costs are expensed as incurred. Depreciation and amortization are computed using the straight-line method over the following estimated useful lives: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72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7"/>
                <w:szCs w:val="17"/>
                <w:color w:val="auto"/>
              </w:rPr>
              <w:t>3 years</w:t>
            </w:r>
          </w:p>
        </w:tc>
      </w:tr>
      <w:tr>
        <w:trPr>
          <w:trHeight w:val="221"/>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726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3 years</w:t>
            </w:r>
          </w:p>
        </w:tc>
      </w:tr>
      <w:tr>
        <w:trPr>
          <w:trHeight w:val="22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w:t>
            </w:r>
          </w:p>
        </w:tc>
        <w:tc>
          <w:tcPr>
            <w:tcW w:w="72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7"/>
                <w:szCs w:val="17"/>
                <w:color w:val="auto"/>
              </w:rPr>
              <w:t>10 years</w:t>
            </w:r>
          </w:p>
        </w:tc>
      </w:tr>
      <w:tr>
        <w:trPr>
          <w:trHeight w:val="221"/>
        </w:trPr>
        <w:tc>
          <w:tcPr>
            <w:tcW w:w="39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Laboratory and office equipment</w:t>
            </w:r>
          </w:p>
        </w:tc>
        <w:tc>
          <w:tcPr>
            <w:tcW w:w="7260" w:type="dxa"/>
            <w:vAlign w:val="bottom"/>
          </w:tcPr>
          <w:p>
            <w:pPr>
              <w:ind w:left="1680"/>
              <w:spacing w:after="0"/>
              <w:rPr>
                <w:sz w:val="20"/>
                <w:szCs w:val="20"/>
                <w:color w:val="auto"/>
              </w:rPr>
            </w:pPr>
            <w:r>
              <w:rPr>
                <w:rFonts w:ascii="Times New Roman" w:cs="Times New Roman" w:eastAsia="Times New Roman" w:hAnsi="Times New Roman"/>
                <w:sz w:val="17"/>
                <w:szCs w:val="17"/>
                <w:color w:val="auto"/>
              </w:rPr>
              <w:t>5 years</w:t>
            </w:r>
          </w:p>
        </w:tc>
      </w:tr>
      <w:tr>
        <w:trPr>
          <w:trHeight w:val="221"/>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7260" w:type="dxa"/>
            <w:vAlign w:val="bottom"/>
            <w:shd w:val="clear" w:color="auto" w:fill="CCEEFF"/>
          </w:tcPr>
          <w:p>
            <w:pPr>
              <w:ind w:left="1680"/>
              <w:spacing w:after="0"/>
              <w:rPr>
                <w:sz w:val="20"/>
                <w:szCs w:val="20"/>
                <w:color w:val="auto"/>
              </w:rPr>
            </w:pPr>
            <w:r>
              <w:rPr>
                <w:rFonts w:ascii="Times New Roman" w:cs="Times New Roman" w:eastAsia="Times New Roman" w:hAnsi="Times New Roman"/>
                <w:sz w:val="17"/>
                <w:szCs w:val="17"/>
                <w:color w:val="auto"/>
              </w:rPr>
              <w:t>Shorter of lease term or useful life</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Impairment of Long-Lived Assets</w:t>
      </w:r>
    </w:p>
    <w:p>
      <w:pPr>
        <w:spacing w:after="0" w:line="171" w:lineRule="exact"/>
        <w:rPr>
          <w:sz w:val="20"/>
          <w:szCs w:val="20"/>
          <w:color w:val="auto"/>
        </w:rPr>
      </w:pPr>
    </w:p>
    <w:p>
      <w:pPr>
        <w:ind w:right="80" w:firstLine="625"/>
        <w:spacing w:after="0" w:line="262" w:lineRule="auto"/>
        <w:rPr>
          <w:sz w:val="20"/>
          <w:szCs w:val="20"/>
          <w:color w:val="auto"/>
        </w:rPr>
      </w:pPr>
      <w:r>
        <w:rPr>
          <w:rFonts w:ascii="Times New Roman" w:cs="Times New Roman" w:eastAsia="Times New Roman" w:hAnsi="Times New Roman"/>
          <w:sz w:val="17"/>
          <w:szCs w:val="17"/>
          <w:color w:val="auto"/>
        </w:rPr>
        <w:t xml:space="preserve">The Company assesses the recoverability of its long-lived assets in accordance with the provisions of ASC 360, </w:t>
      </w:r>
      <w:r>
        <w:rPr>
          <w:rFonts w:ascii="Times New Roman" w:cs="Times New Roman" w:eastAsia="Times New Roman" w:hAnsi="Times New Roman"/>
          <w:sz w:val="17"/>
          <w:szCs w:val="17"/>
          <w:i w:val="1"/>
          <w:iCs w:val="1"/>
          <w:color w:val="auto"/>
        </w:rPr>
        <w:t>Property, Plant and Equipment</w:t>
      </w:r>
      <w:r>
        <w:rPr>
          <w:rFonts w:ascii="Times New Roman" w:cs="Times New Roman" w:eastAsia="Times New Roman" w:hAnsi="Times New Roman"/>
          <w:sz w:val="17"/>
          <w:szCs w:val="17"/>
          <w:color w:val="auto"/>
        </w:rPr>
        <w:t xml:space="preserve"> (ASC 360). ASC 360 requires that long-lived assets be reviewed for impairment whenever events or changes in circumstances indicate that the carrying amount of an asset may not be recoverable. Recoverability of the long-lived asset is measured by a comparison of the carrying amount of the asset to future undiscounted net cash flows expected to be generated by the asset or asset group. If carrying value exceeds the sum of undiscounted cash flows, the Company then determines the fair value of the underlying asset group. Any impairment to be recognized is measured by the amount by which the carrying amount of the asset group exceeds the estimated fair value of the asset group. Assets to be disposed of are reported at the lower of the carrying amount or fair value, less costs to sell. For the years ended December 31, 2024, and 2023, the Company determined that there were no impaired assets.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71" w:lineRule="exact"/>
        <w:rPr>
          <w:sz w:val="20"/>
          <w:szCs w:val="20"/>
          <w:color w:val="auto"/>
        </w:rPr>
      </w:pPr>
    </w:p>
    <w:p>
      <w:pPr>
        <w:ind w:right="20" w:firstLine="703"/>
        <w:spacing w:after="0" w:line="263" w:lineRule="auto"/>
        <w:rPr>
          <w:sz w:val="20"/>
          <w:szCs w:val="20"/>
          <w:color w:val="auto"/>
        </w:rPr>
      </w:pPr>
      <w:r>
        <w:rPr>
          <w:rFonts w:ascii="Times New Roman" w:cs="Times New Roman" w:eastAsia="Times New Roman" w:hAnsi="Times New Roman"/>
          <w:sz w:val="17"/>
          <w:szCs w:val="17"/>
          <w:color w:val="auto"/>
        </w:rPr>
        <w:t xml:space="preserve">The Company recognizes revenue under ASC Topic 606, </w:t>
      </w:r>
      <w:r>
        <w:rPr>
          <w:rFonts w:ascii="Times New Roman" w:cs="Times New Roman" w:eastAsia="Times New Roman" w:hAnsi="Times New Roman"/>
          <w:sz w:val="17"/>
          <w:szCs w:val="17"/>
          <w:i w:val="1"/>
          <w:iCs w:val="1"/>
          <w:color w:val="auto"/>
        </w:rPr>
        <w:t>Revenue from Contracts with Customer</w:t>
      </w:r>
      <w:r>
        <w:rPr>
          <w:rFonts w:ascii="Times New Roman" w:cs="Times New Roman" w:eastAsia="Times New Roman" w:hAnsi="Times New Roman"/>
          <w:sz w:val="17"/>
          <w:szCs w:val="17"/>
          <w:color w:val="auto"/>
        </w:rPr>
        <w:t>s (ASC 606) when its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entity performs the following five steps: (i) identify the contract(s) with a customer; (ii) identify the performance obligations in the contract; (iii) determine the transaction price; (iv) allocate the transaction price to the performance obligations in the contract; and (v) recognize revenue when (or as) the entity satisfies a performance obligation. The Company recognizes as revenue the amount of the transaction price that is allocated to the respective performance obligation when (or as) the performance obligation is satisfied.</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Collaborative and Other Agreements</w:t>
      </w:r>
    </w:p>
    <w:p>
      <w:pPr>
        <w:spacing w:after="0" w:line="171" w:lineRule="exact"/>
        <w:rPr>
          <w:sz w:val="20"/>
          <w:szCs w:val="20"/>
          <w:color w:val="auto"/>
        </w:rPr>
      </w:pPr>
    </w:p>
    <w:p>
      <w:pPr>
        <w:ind w:right="380" w:firstLine="625"/>
        <w:spacing w:after="0" w:line="265" w:lineRule="auto"/>
        <w:rPr>
          <w:sz w:val="20"/>
          <w:szCs w:val="20"/>
          <w:color w:val="auto"/>
        </w:rPr>
      </w:pPr>
      <w:r>
        <w:rPr>
          <w:rFonts w:ascii="Times New Roman" w:cs="Times New Roman" w:eastAsia="Times New Roman" w:hAnsi="Times New Roman"/>
          <w:sz w:val="17"/>
          <w:szCs w:val="17"/>
          <w:color w:val="auto"/>
        </w:rPr>
        <w:t>The Company enters into licensing agreements that are within the scope of ASC 606, under which it may license rights to research, develop, manufacture and commercialize its product candidates to third parties. The terms of these arrangements typically include payment to the Company of one or more of the following: non-refundable, upfront license fees; reimbursement of certain costs; customer option exercise fees; development, regulatory and commercial milestone payments; and royalties on net sales of licensed products. The Company may also enter into development and manufacturing service agreements with its collaborators.</w:t>
      </w:r>
    </w:p>
    <w:p>
      <w:pPr>
        <w:spacing w:after="0" w:line="119" w:lineRule="exact"/>
        <w:rPr>
          <w:sz w:val="20"/>
          <w:szCs w:val="20"/>
          <w:color w:val="auto"/>
        </w:rPr>
      </w:pPr>
    </w:p>
    <w:p>
      <w:pPr>
        <w:ind w:right="20" w:firstLine="625"/>
        <w:spacing w:after="0" w:line="261" w:lineRule="auto"/>
        <w:rPr>
          <w:sz w:val="20"/>
          <w:szCs w:val="20"/>
          <w:color w:val="auto"/>
        </w:rPr>
      </w:pPr>
      <w:r>
        <w:rPr>
          <w:rFonts w:ascii="Times New Roman" w:cs="Times New Roman" w:eastAsia="Times New Roman" w:hAnsi="Times New Roman"/>
          <w:sz w:val="17"/>
          <w:szCs w:val="17"/>
          <w:color w:val="auto"/>
        </w:rPr>
        <w:t>For each arrangement that results in revenues, the Company identifies all performance obligations, which may include a license to intellectual property and know-how, research and development activities, transition activities and/or manufacturing services. In order to determine the transaction price, in addition to any upfront payment, the Company estimates the amount of variable consideration at the outset of the contract either utilizing the expected value or most likely amount method, depending on the facts and circumstances relative to the contract. The Company constrains (reduces) the estimates of variable consideration such that it is probable that a significant reversal of previously recognized revenue will not occur. When determining if variable consideration should be constrained, management considers whether there are factors outside the Company’s control that could result in a significant reversal of revenue. In making these assessments, the Company considers the likelihood and magnitude of a potential reversal of revenue. These estimates are re-assessed each reporting period as required.</w:t>
      </w:r>
    </w:p>
    <w:p>
      <w:pPr>
        <w:spacing w:after="0" w:line="335"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Once the estimated transaction price is established, amounts are allocated to the performance obligations that have been identified. The transaction price is generally allocated to each separate performance obligation on a relative standalone selling price basis. The Company must develop assumptions that require judgment to determine the standalone selling price in</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59" w:right="339" w:bottom="1440" w:gutter="0" w:footer="0" w:header="0"/>
        </w:sectPr>
      </w:pPr>
    </w:p>
    <w:bookmarkStart w:id="90" w:name="page91"/>
    <w:bookmarkEnd w:id="90"/>
    <w:p>
      <w:pPr>
        <w:spacing w:after="0" w:line="267" w:lineRule="auto"/>
        <w:rPr>
          <w:sz w:val="20"/>
          <w:szCs w:val="20"/>
          <w:color w:val="auto"/>
        </w:rPr>
      </w:pPr>
      <w:r>
        <w:rPr>
          <w:rFonts w:ascii="Times New Roman" w:cs="Times New Roman" w:eastAsia="Times New Roman" w:hAnsi="Times New Roman"/>
          <w:sz w:val="17"/>
          <w:szCs w:val="17"/>
          <w:color w:val="auto"/>
        </w:rPr>
        <w:t>order to account for these agreements. To determine the standalone selling price, the Company’s assumptions may include (i) the probability of obtaining marketing approval for the product candidate, (ii) estimates regarding the timing and the expected costs to develop and commercialize the product candidate, and</w:t>
      </w:r>
    </w:p>
    <w:p>
      <w:pPr>
        <w:ind w:right="100" w:firstLine="4"/>
        <w:spacing w:after="0" w:line="263" w:lineRule="auto"/>
        <w:tabs>
          <w:tab w:leader="none" w:pos="304"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estimates of future cash flows from potential product sales with respect to the product candidate. Standalone selling prices used to perform the initial allocation are not updated after contract inception. The Company does not include a financing component to its estimated transaction price at contract inception unless it estimates that certain performance obligations will not be satisfied within one year.</w:t>
      </w:r>
    </w:p>
    <w:p>
      <w:pPr>
        <w:spacing w:after="0" w:line="120" w:lineRule="exact"/>
        <w:rPr>
          <w:sz w:val="20"/>
          <w:szCs w:val="20"/>
          <w:color w:val="auto"/>
        </w:rPr>
      </w:pPr>
    </w:p>
    <w:p>
      <w:pPr>
        <w:jc w:val="both"/>
        <w:ind w:right="60" w:firstLine="625"/>
        <w:spacing w:after="0" w:line="274" w:lineRule="auto"/>
        <w:rPr>
          <w:sz w:val="20"/>
          <w:szCs w:val="20"/>
          <w:color w:val="auto"/>
        </w:rPr>
      </w:pPr>
      <w:r>
        <w:rPr>
          <w:rFonts w:ascii="Times New Roman" w:cs="Times New Roman" w:eastAsia="Times New Roman" w:hAnsi="Times New Roman"/>
          <w:sz w:val="17"/>
          <w:szCs w:val="17"/>
          <w:color w:val="auto"/>
        </w:rPr>
        <w:t>Amounts received prior to revenue recognition are recorded as deferred revenue. Amounts expected to be recognized as revenue within the 12 months following the balance sheet date are classified as current portion of deferred revenue in the accompanying consolidated balance sheets. Amounts not expected to be recognized as revenue within the 12 months following the balance sheet date are classified as deferred revenue, net of current portion.</w:t>
      </w:r>
    </w:p>
    <w:p>
      <w:pPr>
        <w:spacing w:after="0" w:line="162" w:lineRule="exact"/>
        <w:rPr>
          <w:sz w:val="20"/>
          <w:szCs w:val="20"/>
          <w:color w:val="auto"/>
        </w:rPr>
      </w:pPr>
    </w:p>
    <w:p>
      <w:pPr>
        <w:ind w:firstLine="625"/>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Licenses. </w:t>
      </w:r>
      <w:r>
        <w:rPr>
          <w:rFonts w:ascii="Times New Roman" w:cs="Times New Roman" w:eastAsia="Times New Roman" w:hAnsi="Times New Roman"/>
          <w:sz w:val="17"/>
          <w:szCs w:val="17"/>
          <w:color w:val="252525"/>
        </w:rPr>
        <w:t>When the Company grants a license to its intellectual property, 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determines whether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252525"/>
        </w:rPr>
        <w:t>nature of the intellectual property to which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252525"/>
        </w:rPr>
        <w:t>customer will have rights is functional intellectual property (functional IP), which has significant standalone functionality, or symbolic intellectual property (symbolic IP) which does not have significant standalone functionality. Revenue from functional IP is recognized at the point in time when control of the distinct</w:t>
      </w:r>
    </w:p>
    <w:p>
      <w:pPr>
        <w:spacing w:after="0" w:line="257" w:lineRule="auto"/>
        <w:rPr>
          <w:sz w:val="20"/>
          <w:szCs w:val="20"/>
          <w:color w:val="auto"/>
        </w:rPr>
      </w:pPr>
      <w:r>
        <w:rPr>
          <w:rFonts w:ascii="Times New Roman" w:cs="Times New Roman" w:eastAsia="Times New Roman" w:hAnsi="Times New Roman"/>
          <w:sz w:val="17"/>
          <w:szCs w:val="17"/>
          <w:color w:val="252525"/>
        </w:rPr>
        <w:t>license is transferred to the customer. Revenue from symbolic IP is recognized over the access period to the Company’s intellectual property</w:t>
      </w:r>
      <w:r>
        <w:rPr>
          <w:rFonts w:ascii="Times New Roman" w:cs="Times New Roman" w:eastAsia="Times New Roman" w:hAnsi="Times New Roman"/>
          <w:sz w:val="20"/>
          <w:szCs w:val="20"/>
          <w:color w:val="252525"/>
        </w:rPr>
        <w:t>.</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If the license to the</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Company’s intellectual property is determined to be distinct from the other promises or performance obligations identified in the arrangement, the Company recognizes revenue from non-refundable, upfront fees allocated to the license when the license is transferred to the customer and when (or as) the customer is able to use and benefit from the license. In assessing whether a promise or performance obligation is distinct from the other promises, the Company considers factors such as the research, development, manufacturing and commercialization capabilities of the licensee and the availability of the associated expertise in the general marketplace. In addition, the Company considers whether the licensee can benefit from a promise for its intended purpose without the receipt of the remaining promise, whether the value of the promise is dependent on the unsatisfied promise, whether there are other vendors that could provide the remaining promise, and whether it is separately identifiable from the remaining promise. For licenses that are combined with other promises, the Company utilizes judgment to assess the nature of the combined performance obligation to determine whether the combined performance obligation is satisfied over time or at a point in time and, if over time, the appropriate method of measuring progress for purposes of recognizing revenue. The Company evaluates the measure of progress each reporting period and, if necessary, adjusts the measure of performance and related revenue recognition. The measure of progress, and thereby periods over which revenue should be recognized, are subject to estimates by management and may change over the course of the research and development and licensing agreement. Such a change could have a material impact on the amount of revenue the Company records in future periods.</w:t>
      </w:r>
    </w:p>
    <w:p>
      <w:pPr>
        <w:spacing w:after="0" w:line="126"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Research, Development and/or Manufacturing Services. </w:t>
      </w:r>
      <w:r>
        <w:rPr>
          <w:rFonts w:ascii="Times New Roman" w:cs="Times New Roman" w:eastAsia="Times New Roman" w:hAnsi="Times New Roman"/>
          <w:sz w:val="17"/>
          <w:szCs w:val="17"/>
          <w:color w:val="auto"/>
        </w:rPr>
        <w:t>The promises under the Company’s agreements may include research and development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manufacturing services to be performed by the Company on behalf of the counterparty. If these services are determined to be distinct from the other promises or performance obligations identified in the arrangement, the Company recognizes the transaction price allocated to these services as revenue over time based on an appropriate measure of progress when the performance by the Company does not create an asset with an alternative use and the Company has an enforceable right to payment for the performance completed to date. If these services are determined not to be distinct from the other promises or performance obligations identified in the arrangement, the Company recognizes the transaction price allocated to the combined performance obligation as the related performance obligations are satisfied.</w:t>
      </w:r>
    </w:p>
    <w:p>
      <w:pPr>
        <w:spacing w:after="0" w:line="173"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Customer Options. </w:t>
      </w:r>
      <w:r>
        <w:rPr>
          <w:rFonts w:ascii="Times New Roman" w:cs="Times New Roman" w:eastAsia="Times New Roman" w:hAnsi="Times New Roman"/>
          <w:sz w:val="17"/>
          <w:szCs w:val="17"/>
          <w:color w:val="auto"/>
        </w:rPr>
        <w:t>If an arrangement contains customer options, the Company evaluates whether the options are material rights because they allow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customer to acquire additional goods or services for free or at a discount. If the customer options are determined to represent a material right, the material right is recognized as a separate performance obligation at the outset of the arrangement. The Company allocates the transaction price to material rights based on the relative standalone selling price, which is determined using assumptions regarding estimated costs, discount rates, post-option development timeline, the probability of technical and regulatory success and the probability that the customer will exercise the option. Amounts allocated to a material right are not recognized as revenue until, at the earliest, the option is exercised. If the options are deemed not to be a material right, they are excluded as performance obligations at the outset of the arrangement.</w:t>
      </w:r>
    </w:p>
    <w:p>
      <w:pPr>
        <w:spacing w:after="0" w:line="173" w:lineRule="exact"/>
        <w:rPr>
          <w:sz w:val="20"/>
          <w:szCs w:val="20"/>
          <w:color w:val="auto"/>
        </w:rPr>
      </w:pPr>
    </w:p>
    <w:p>
      <w:pPr>
        <w:ind w:firstLine="62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Milestone Payments. </w:t>
      </w:r>
      <w:r>
        <w:rPr>
          <w:rFonts w:ascii="Times New Roman" w:cs="Times New Roman" w:eastAsia="Times New Roman" w:hAnsi="Times New Roman"/>
          <w:sz w:val="17"/>
          <w:szCs w:val="17"/>
          <w:color w:val="auto"/>
        </w:rPr>
        <w:t>At the inception of each arrangement that includes development milestone payments, the Company evaluates whether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milestones are considered probable of being achieved and estimates the amount to be included in the transaction price using the most likely amount method. If it is probable that a significant revenue reversal would not occur, the associated milestone value is included in the transaction price. Milestone payments that are not within the control of the Company or the licensee, such as regulatory approvals, are not considered probable of being achieved until those approvals are received. The Company evaluates factors such as the scientific, clinical, regulatory, commercial, and other risks that must be overcome to achieve the particular milestone in making this assessment. There is considerable judgment involved in determining whether it is probable that a significant revenue reversal would not occur. At the end of each subsequent reporting</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- 12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00"/>
          </w:cols>
          <w:pgMar w:left="320" w:top="863" w:right="379" w:bottom="1440" w:gutter="0" w:footer="0" w:header="0"/>
        </w:sectPr>
      </w:pPr>
    </w:p>
    <w:bookmarkStart w:id="91" w:name="page92"/>
    <w:bookmarkEnd w:id="91"/>
    <w:p>
      <w:pPr>
        <w:ind w:right="400"/>
        <w:spacing w:after="0" w:line="294" w:lineRule="auto"/>
        <w:rPr>
          <w:sz w:val="20"/>
          <w:szCs w:val="20"/>
          <w:color w:val="auto"/>
        </w:rPr>
      </w:pPr>
      <w:r>
        <w:rPr>
          <w:rFonts w:ascii="Times New Roman" w:cs="Times New Roman" w:eastAsia="Times New Roman" w:hAnsi="Times New Roman"/>
          <w:sz w:val="17"/>
          <w:szCs w:val="17"/>
          <w:color w:val="auto"/>
        </w:rPr>
        <w:t>period, the Company reevaluates the probability of achievement of all milestones subject to constraint and, if necessary, adjusts its estimate of the overall transaction price. Any such adjustments are recorded on a cumulative catch-up basis, which would affect revenues and earnings in the period of adjustment.</w:t>
      </w:r>
    </w:p>
    <w:p>
      <w:pPr>
        <w:spacing w:after="0" w:line="144" w:lineRule="exact"/>
        <w:rPr>
          <w:sz w:val="20"/>
          <w:szCs w:val="20"/>
          <w:color w:val="auto"/>
        </w:rPr>
      </w:pPr>
    </w:p>
    <w:p>
      <w:pPr>
        <w:ind w:firstLine="625"/>
        <w:spacing w:after="0" w:line="276" w:lineRule="auto"/>
        <w:rPr>
          <w:sz w:val="20"/>
          <w:szCs w:val="20"/>
          <w:color w:val="auto"/>
        </w:rPr>
      </w:pPr>
      <w:r>
        <w:rPr>
          <w:rFonts w:ascii="Times New Roman" w:cs="Times New Roman" w:eastAsia="Times New Roman" w:hAnsi="Times New Roman"/>
          <w:sz w:val="17"/>
          <w:szCs w:val="17"/>
          <w:i w:val="1"/>
          <w:iCs w:val="1"/>
          <w:color w:val="auto"/>
        </w:rPr>
        <w:t xml:space="preserve">Royalties. </w:t>
      </w:r>
      <w:r>
        <w:rPr>
          <w:rFonts w:ascii="Times New Roman" w:cs="Times New Roman" w:eastAsia="Times New Roman" w:hAnsi="Times New Roman"/>
          <w:sz w:val="17"/>
          <w:szCs w:val="17"/>
          <w:color w:val="auto"/>
        </w:rPr>
        <w:t>For arrangements that include sales-based royalties which are the result of a customer-vendor relationship and for which the license is deemed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the predominant item to which the royalties relate, the Company recognizes revenue at the later of (i) when the related sales occur, or (ii) when the performance obligation to which some or all of the royalty has been allocated has been satisfied or partially satisfied.</w:t>
      </w:r>
    </w:p>
    <w:p>
      <w:pPr>
        <w:spacing w:after="0" w:line="161" w:lineRule="exact"/>
        <w:rPr>
          <w:sz w:val="20"/>
          <w:szCs w:val="20"/>
          <w:color w:val="auto"/>
        </w:rPr>
      </w:pPr>
    </w:p>
    <w:p>
      <w:pPr>
        <w:ind w:right="80" w:firstLine="625"/>
        <w:spacing w:after="0" w:line="260" w:lineRule="auto"/>
        <w:rPr>
          <w:sz w:val="20"/>
          <w:szCs w:val="20"/>
          <w:color w:val="auto"/>
        </w:rPr>
      </w:pPr>
      <w:r>
        <w:rPr>
          <w:rFonts w:ascii="Times New Roman" w:cs="Times New Roman" w:eastAsia="Times New Roman" w:hAnsi="Times New Roman"/>
          <w:sz w:val="17"/>
          <w:szCs w:val="17"/>
          <w:color w:val="auto"/>
        </w:rPr>
        <w:t xml:space="preserve">The Company analyzes its collaboration arrangements to assess whether such arrangements involve joint operating activities performed by parties who are both active participants in the activities and are both exposed to significant risks and rewards dependent on the commercial success of such activities. Such arrangements generally are within the scope of ASC 808, </w:t>
      </w:r>
      <w:r>
        <w:rPr>
          <w:rFonts w:ascii="Times New Roman" w:cs="Times New Roman" w:eastAsia="Times New Roman" w:hAnsi="Times New Roman"/>
          <w:sz w:val="17"/>
          <w:szCs w:val="17"/>
          <w:i w:val="1"/>
          <w:iCs w:val="1"/>
          <w:color w:val="auto"/>
        </w:rPr>
        <w:t>Collaborative Arrangements</w:t>
      </w:r>
      <w:r>
        <w:rPr>
          <w:rFonts w:ascii="Times New Roman" w:cs="Times New Roman" w:eastAsia="Times New Roman" w:hAnsi="Times New Roman"/>
          <w:sz w:val="17"/>
          <w:szCs w:val="17"/>
          <w:color w:val="auto"/>
        </w:rPr>
        <w:t xml:space="preserve"> (ASC 808). While ASC 808 defines collaborative arrangements and provides guidance on income statement presentation, classification, and disclosures related to such arrangements, it does not address recognition and measurement matters, such as (1) determining the appropriate unit of accounting or (2) when the recognition criteria are met. Therefore, the accounting for these arrangements is either based on an analogy to other accounting literature or an accounting policy election by the Company. The Company accounts for certain components of the collaboration agreement that are reflective of a vendor-customer relationship (e.g., licensing arrangement) based on ASC 606. The Company accounts for other components based on a reasonable, rational and consistently applied accounting policy election. Reimbursements from the counter-party that are the result of a collaborative relationship with the counter-party, instead of a customer relationship, such as co-development activities, are recorded as a reduction to research and development expense as the services are performed.</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For a complete discussion of accounting for revenue from collaborative and other agreements, see Note 8, Revenue.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Product sales, net</w:t>
      </w:r>
    </w:p>
    <w:p>
      <w:pPr>
        <w:spacing w:after="0" w:line="171" w:lineRule="exact"/>
        <w:rPr>
          <w:sz w:val="20"/>
          <w:szCs w:val="20"/>
          <w:color w:val="auto"/>
        </w:rPr>
      </w:pPr>
    </w:p>
    <w:p>
      <w:pPr>
        <w:ind w:firstLine="625"/>
        <w:spacing w:after="0" w:line="263" w:lineRule="auto"/>
        <w:rPr>
          <w:sz w:val="20"/>
          <w:szCs w:val="20"/>
          <w:color w:val="auto"/>
        </w:rPr>
      </w:pPr>
      <w:r>
        <w:rPr>
          <w:rFonts w:ascii="Times New Roman" w:cs="Times New Roman" w:eastAsia="Times New Roman" w:hAnsi="Times New Roman"/>
          <w:sz w:val="17"/>
          <w:szCs w:val="17"/>
          <w:color w:val="auto"/>
        </w:rPr>
        <w:t>Prior to the sale to TerSera, the Company entered into a limited number of arrangements with specialty distributors in the United States to distribute MARGENZA. These arrangements are considered to be contracts with customers and are in the scope of ASC 606. The Company has written contracts with each of its customers that have a single performance obligation - to deliver products upon receipt of a customer order - and these obligations are satisfied when delivery occurs and the customer receives the product. The specialty distributors subsequently resell the Company’s product to healthcare providers. Product revenue is recorded net of applicable reserves for variable consideration, including discounts and other allowances. Shipping and handling costs for product shipments occur prior to the customer obtaining control of the goods and are recorded in cost of sales.</w:t>
      </w:r>
    </w:p>
    <w:p>
      <w:pPr>
        <w:spacing w:after="0" w:line="119" w:lineRule="exact"/>
        <w:rPr>
          <w:sz w:val="20"/>
          <w:szCs w:val="20"/>
          <w:color w:val="auto"/>
        </w:rPr>
      </w:pPr>
    </w:p>
    <w:p>
      <w:pPr>
        <w:ind w:right="160" w:firstLine="62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Reserves for Variable Consideration. </w:t>
      </w:r>
      <w:r>
        <w:rPr>
          <w:rFonts w:ascii="Times New Roman" w:cs="Times New Roman" w:eastAsia="Times New Roman" w:hAnsi="Times New Roman"/>
          <w:sz w:val="17"/>
          <w:szCs w:val="17"/>
          <w:color w:val="auto"/>
        </w:rPr>
        <w:t>Revenue from product sales is recorded at the net sales price, which includes estimates of variable consideration.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Components of variable consideration typically include discounts, product returns, provider chargebacks and discounts and government rebates. Variable consideration is estimated following the expected value method in accordance with ASC 606 and includes such factors as current contractual and statutory requirements, specific known market events and trends, industry data, and forecasted customer buying and payment patterns. The amount of variable consideration that is included in the transaction price may be constrained and is included in the net sales price only to the extent that it is probable that a significant reversal in the amount of the cumulative revenue recognized under the contract will not occur in a future period.</w:t>
      </w:r>
    </w:p>
    <w:p>
      <w:pPr>
        <w:spacing w:after="0" w:line="121" w:lineRule="exact"/>
        <w:rPr>
          <w:sz w:val="20"/>
          <w:szCs w:val="20"/>
          <w:color w:val="auto"/>
        </w:rPr>
      </w:pPr>
    </w:p>
    <w:p>
      <w:pPr>
        <w:ind w:firstLine="625"/>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Customer Discounts and Service Fees. </w:t>
      </w:r>
      <w:r>
        <w:rPr>
          <w:rFonts w:ascii="Times New Roman" w:cs="Times New Roman" w:eastAsia="Times New Roman" w:hAnsi="Times New Roman"/>
          <w:sz w:val="17"/>
          <w:szCs w:val="17"/>
          <w:color w:val="auto"/>
        </w:rPr>
        <w:t>The Company may provide customers with discounts which are explicitly stated in the contracts. These discounts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are recorded as a reduction of revenue in the period the related product revenue is recognized. In addition, these contracts may include written service arrangements whereby the Company pays fees to customers who provide services such as sales order management, data, contract administration and distribution services, at rates which the Company believes to be consistent with fair market value. The Company has determined such services received to date are not distinct from the Company’s sale of products to its customers and, therefore, these payments have been recorded as a reduction of revenue within the statement of operations.</w:t>
      </w:r>
    </w:p>
    <w:p>
      <w:pPr>
        <w:spacing w:after="0" w:line="331"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Product Returns. </w:t>
      </w:r>
      <w:r>
        <w:rPr>
          <w:rFonts w:ascii="Times New Roman" w:cs="Times New Roman" w:eastAsia="Times New Roman" w:hAnsi="Times New Roman"/>
          <w:sz w:val="17"/>
          <w:szCs w:val="17"/>
          <w:color w:val="auto"/>
        </w:rPr>
        <w:t>Consistent with industry practice, the Company offers the specialty distributors product return rights pursuant to written contracts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and/or Company returned goods policies. The Company estimates the amount of its product sales that may be returned by its customers and records an estimated liability and a reduction of revenue in the period the related product revenue is recognized. The Company currently estimates product returns using industry benchmarking as well as other information available, such as visibility into the inventory remaining in the distribution channel, since the Company does not have its own returns experience. The Company's estimates of product returns may be adjusted in the future based on actual returns experience, known or expected changes in the marketplace, or other factors.</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2" w:name="page93"/>
    <w:bookmarkEnd w:id="92"/>
    <w:p>
      <w:pPr>
        <w:ind w:right="40" w:firstLine="625"/>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Provider Chargebacks and Discounts. </w:t>
      </w:r>
      <w:r>
        <w:rPr>
          <w:rFonts w:ascii="Times New Roman" w:cs="Times New Roman" w:eastAsia="Times New Roman" w:hAnsi="Times New Roman"/>
          <w:sz w:val="17"/>
          <w:szCs w:val="17"/>
          <w:color w:val="auto"/>
        </w:rPr>
        <w:t>Chargebacks for fees and discounts to healthcare providers represent the estimated obligations resulting from</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contractual commitments to sell products to qualified healthcare providers at prices lower than the list prices charged to customers who directly purchase the product from the Company. In such cases, customers charge the Company for the difference between what they pay for the product and the ultimate selling price to the qualified healthcare providers. The reserve for chargebacks is established in the same period that the related revenue is recognized, resulting in a reduction of product revenue. Chargeback amounts are generally determined at the time of resale to the qualified healthcare provider by customers, and the Company generally issues credits for such amounts within a few weeks of the customer’s notification to the Company of the resale. Chargebacks consist of credits the Company expects to issue for units that remain in the distribution channel at each reporting period end that the Company expects will be sold to qualified healthcare providers and chargebacks that customers have claimed, but for which the Company has not yet issued a credit.</w:t>
      </w:r>
    </w:p>
    <w:p>
      <w:pPr>
        <w:spacing w:after="0" w:line="123" w:lineRule="exact"/>
        <w:rPr>
          <w:sz w:val="20"/>
          <w:szCs w:val="20"/>
          <w:color w:val="auto"/>
        </w:rPr>
      </w:pPr>
    </w:p>
    <w:p>
      <w:pPr>
        <w:ind w:right="120" w:firstLine="625"/>
        <w:spacing w:after="0" w:line="266" w:lineRule="auto"/>
        <w:rPr>
          <w:sz w:val="20"/>
          <w:szCs w:val="20"/>
          <w:color w:val="auto"/>
        </w:rPr>
      </w:pPr>
      <w:r>
        <w:rPr>
          <w:rFonts w:ascii="Times New Roman" w:cs="Times New Roman" w:eastAsia="Times New Roman" w:hAnsi="Times New Roman"/>
          <w:sz w:val="17"/>
          <w:szCs w:val="17"/>
          <w:i w:val="1"/>
          <w:iCs w:val="1"/>
          <w:color w:val="auto"/>
        </w:rPr>
        <w:t xml:space="preserve">Government Rebates. </w:t>
      </w:r>
      <w:r>
        <w:rPr>
          <w:rFonts w:ascii="Times New Roman" w:cs="Times New Roman" w:eastAsia="Times New Roman" w:hAnsi="Times New Roman"/>
          <w:sz w:val="17"/>
          <w:szCs w:val="17"/>
          <w:color w:val="auto"/>
        </w:rPr>
        <w:t>The Company is subject to discount and/or rebate obligations under state Medicaid programs, Medicare and contractual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agreements with and statutory obligations to certain Federal and State entities. These reserves are recorded in the same period the related revenue is recognized, resulting in a reduction of product revenue. The Company’s liability for these rebates consists of invoices received for claims from prior quarters that have not been paid or for which an invoice has not yet been received, estimates of claims for the current quarter, and estimates of future claims that will be made for product that has been recognized as revenue, but which remains in the distribution channel at the end of each reporting period.</w:t>
      </w:r>
    </w:p>
    <w:p>
      <w:pPr>
        <w:spacing w:after="0" w:line="117" w:lineRule="exact"/>
        <w:rPr>
          <w:sz w:val="20"/>
          <w:szCs w:val="20"/>
          <w:color w:val="auto"/>
        </w:rPr>
      </w:pPr>
    </w:p>
    <w:p>
      <w:pPr>
        <w:ind w:right="280" w:firstLine="625"/>
        <w:spacing w:after="0" w:line="274" w:lineRule="auto"/>
        <w:rPr>
          <w:sz w:val="20"/>
          <w:szCs w:val="20"/>
          <w:color w:val="auto"/>
        </w:rPr>
      </w:pPr>
      <w:r>
        <w:rPr>
          <w:rFonts w:ascii="Times New Roman" w:cs="Times New Roman" w:eastAsia="Times New Roman" w:hAnsi="Times New Roman"/>
          <w:sz w:val="17"/>
          <w:szCs w:val="17"/>
          <w:color w:val="auto"/>
        </w:rPr>
        <w:t>Customer discounts are recorded as a reduction of accounts receivable on the consolidated balance sheets. Allowance for product returns, provider chargebacks, government and other rebates and service fees are recorded as a component of accrued expenses and other current liabilities on the consolidated balance sheets.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Contract manufacturing revenue</w:t>
      </w:r>
    </w:p>
    <w:p>
      <w:pPr>
        <w:spacing w:after="0" w:line="171" w:lineRule="exact"/>
        <w:rPr>
          <w:sz w:val="20"/>
          <w:szCs w:val="20"/>
          <w:color w:val="auto"/>
        </w:rPr>
      </w:pPr>
    </w:p>
    <w:p>
      <w:pPr>
        <w:ind w:right="180" w:firstLine="625"/>
        <w:spacing w:after="0" w:line="279" w:lineRule="auto"/>
        <w:rPr>
          <w:sz w:val="20"/>
          <w:szCs w:val="20"/>
          <w:color w:val="auto"/>
        </w:rPr>
      </w:pPr>
      <w:r>
        <w:rPr>
          <w:rFonts w:ascii="Times New Roman" w:cs="Times New Roman" w:eastAsia="Times New Roman" w:hAnsi="Times New Roman"/>
          <w:sz w:val="17"/>
          <w:szCs w:val="17"/>
          <w:color w:val="auto"/>
        </w:rPr>
        <w:t>The Company enters into agreements with third parties to manufacture their drug substance at its Good Manufacturing Practice (GMP) facility. The terms of these arrangements can include an upfront payment to the Company to reserve manufacturing capacity, scheduled payments during the manufacturing</w:t>
      </w:r>
    </w:p>
    <w:p>
      <w:pPr>
        <w:spacing w:after="0" w:line="1" w:lineRule="exact"/>
        <w:rPr>
          <w:sz w:val="20"/>
          <w:szCs w:val="20"/>
          <w:color w:val="auto"/>
        </w:rPr>
      </w:pPr>
    </w:p>
    <w:p>
      <w:pPr>
        <w:ind w:right="100"/>
        <w:spacing w:after="0" w:line="265" w:lineRule="auto"/>
        <w:rPr>
          <w:sz w:val="20"/>
          <w:szCs w:val="20"/>
          <w:color w:val="auto"/>
        </w:rPr>
      </w:pPr>
      <w:r>
        <w:rPr>
          <w:rFonts w:ascii="Times New Roman" w:cs="Times New Roman" w:eastAsia="Times New Roman" w:hAnsi="Times New Roman"/>
          <w:sz w:val="17"/>
          <w:szCs w:val="17"/>
          <w:color w:val="auto"/>
        </w:rPr>
        <w:t>process and reimbursement for materials used to manufacture product. The Company recognizes revenue over time on a straight-line basis as the manufacturing services are performed, as the Company believes that its efforts in providing the manufacturing services are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are allocated to the related manufacturing activities and are recognized as revenue as those activities occur.</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Product Sales</w:t>
      </w:r>
    </w:p>
    <w:p>
      <w:pPr>
        <w:spacing w:after="0" w:line="173"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Prior to the sale to TerSera, cost of product sales related to sales of MARGENZA. These costs include material, manufacturing and shipping costs, as well as royalties payable on net sales of MARGENZA and inventory reserves. All product costs incurred prior to FDA approval of MARGENZA in December 2020 were expensed as research and development expense. As a result, cost of product sales was positively impacted as the Company sold through inventory that was expensed prior to FDA approval of MARGENZA.</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Cost of Manufacturing Services</w:t>
      </w:r>
    </w:p>
    <w:p>
      <w:pPr>
        <w:spacing w:after="0" w:line="173" w:lineRule="exact"/>
        <w:rPr>
          <w:sz w:val="20"/>
          <w:szCs w:val="20"/>
          <w:color w:val="auto"/>
        </w:rPr>
      </w:pPr>
    </w:p>
    <w:p>
      <w:pPr>
        <w:ind w:right="80" w:firstLine="625"/>
        <w:spacing w:after="0" w:line="294" w:lineRule="auto"/>
        <w:rPr>
          <w:sz w:val="20"/>
          <w:szCs w:val="20"/>
          <w:color w:val="auto"/>
        </w:rPr>
      </w:pPr>
      <w:r>
        <w:rPr>
          <w:rFonts w:ascii="Times New Roman" w:cs="Times New Roman" w:eastAsia="Times New Roman" w:hAnsi="Times New Roman"/>
          <w:sz w:val="17"/>
          <w:szCs w:val="17"/>
          <w:color w:val="auto"/>
        </w:rPr>
        <w:t>Cost of manufacturing services consists of the costs to provide manufacturing services to produce certain bulk drug substance under manufacturing and clinical supply agreements with third parties, including salaries and benefits and related stock-based compensation, materials, overhead and other related costs.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Expense, Including Clinical Trial Accruals/Expenses</w:t>
      </w:r>
    </w:p>
    <w:p>
      <w:pPr>
        <w:spacing w:after="0" w:line="173"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Research and development expenditures are expensed as incurred. Research and development costs primarily consist of employee related expenses, including salaries and benefits, expenses incurred under agreements with contract research organizations (CROs), investigative sites and consultants that conduct the Company's clinical trials, the cost of acquiring and manufacturing clinical trial materials, including costs incurred under agreements with contract manufacturing organizations (CMOs), and other allocated expenses, license fees for and milestone payments related to in-licensed products and technologies, stock-based compensation expense, and costs associated with non-clinical activities and regulatory approvals.</w:t>
      </w:r>
    </w:p>
    <w:p>
      <w:pPr>
        <w:spacing w:after="0" w:line="119" w:lineRule="exact"/>
        <w:rPr>
          <w:sz w:val="20"/>
          <w:szCs w:val="20"/>
          <w:color w:val="auto"/>
        </w:rPr>
      </w:pPr>
    </w:p>
    <w:p>
      <w:pPr>
        <w:ind w:right="180" w:firstLine="625"/>
        <w:spacing w:after="0" w:line="274" w:lineRule="auto"/>
        <w:rPr>
          <w:sz w:val="20"/>
          <w:szCs w:val="20"/>
          <w:color w:val="auto"/>
        </w:rPr>
      </w:pPr>
      <w:r>
        <w:rPr>
          <w:rFonts w:ascii="Times New Roman" w:cs="Times New Roman" w:eastAsia="Times New Roman" w:hAnsi="Times New Roman"/>
          <w:sz w:val="17"/>
          <w:szCs w:val="17"/>
          <w:color w:val="auto"/>
        </w:rPr>
        <w:t>Right-to-develop agreements may contain cost-sharing provisions whereby the Company and the collaborator share the cost of research and development activities. Reimbursement of research and development expenses received in connection with these agreements is recorded as a reduction of such expenses.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F - 14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18" w:right="359" w:bottom="1440" w:gutter="0" w:footer="0" w:header="0"/>
        </w:sectPr>
      </w:pPr>
    </w:p>
    <w:bookmarkStart w:id="93" w:name="page94"/>
    <w:bookmarkEnd w:id="93"/>
    <w:p>
      <w:pPr>
        <w:ind w:right="120" w:firstLine="625"/>
        <w:spacing w:after="0" w:line="259" w:lineRule="auto"/>
        <w:rPr>
          <w:sz w:val="20"/>
          <w:szCs w:val="20"/>
          <w:color w:val="auto"/>
        </w:rPr>
      </w:pPr>
      <w:r>
        <w:rPr>
          <w:rFonts w:ascii="Times New Roman" w:cs="Times New Roman" w:eastAsia="Times New Roman" w:hAnsi="Times New Roman"/>
          <w:sz w:val="17"/>
          <w:szCs w:val="17"/>
          <w:color w:val="auto"/>
        </w:rPr>
        <w:t>Clinical trial expenses are a significant component of research and development expense, and the Company outsources a significant portion of these costs to third parties. Third party clinical trial expenses include investigator fees, site and patient costs, CRO costs, costs for central laboratory testing, data management and CMO costs. The accrual for site and patient costs includes inputs such as estimates of patient enrollment, patient cycles incurred, clinical site activations, and other pass-through costs. These inputs are required to be estimated due to a lag in receiving the actual clinical information from third parties. Payments for these activities are based on the terms of the individual arrangements, which may differ from the pattern of costs incurred, and are reflected on the consolidated balance sheets as a prepaid asset or accrued expenses. These third party agreements are generally cancelable, and related costs are recorded as</w:t>
      </w:r>
    </w:p>
    <w:p>
      <w:pPr>
        <w:spacing w:after="0" w:line="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7"/>
          <w:szCs w:val="17"/>
          <w:color w:val="auto"/>
        </w:rPr>
        <w:t>research and development expenses as incurred</w:t>
      </w:r>
      <w:r>
        <w:rPr>
          <w:rFonts w:ascii="Times New Roman" w:cs="Times New Roman" w:eastAsia="Times New Roman" w:hAnsi="Times New Roman"/>
          <w:sz w:val="20"/>
          <w:szCs w:val="20"/>
          <w:color w:val="auto"/>
        </w:rPr>
        <w:t>.</w:t>
      </w:r>
      <w:r>
        <w:rPr>
          <w:rFonts w:ascii="Times New Roman" w:cs="Times New Roman" w:eastAsia="Times New Roman" w:hAnsi="Times New Roman"/>
          <w:sz w:val="17"/>
          <w:szCs w:val="17"/>
          <w:color w:val="auto"/>
        </w:rPr>
        <w:t xml:space="preserve"> Non-refundable advance clinical payments for goods or services that will be used or rendered for future research and development activities are recorded as a prepaid asset and recognized as expense as the related goods are delivered or the related services are performed. When evaluating the adequacy of the accrued expenses, management analyzes progress of the studies, including the phase or completion of events, invoices received and contracted costs. Significant judgments and estimates may be made in determining the accrued balances at the end of any reporting period. Actual results could differ from the estimates made. The historical clinical accrual estimates have not been materially different from the actual costs.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71"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 xml:space="preserve">The Company determines whether an arrangement is or contains a lease at the inception of an arrangement under ASC 842,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For leases where the Company is the lessee, right-of-use (ROU) assets represent the Company’s right to use an underlying asset for the lease term and lease liabilities represent an obligation to make lease payments arising from the lease. ROU assets and lease liabilities are recognized at the lease commencement date based on the present value of lease payments over the lease term. The interest rate implicit in lease contracts is typically not readily determinable. As such, the Company utilizes the appropriate incremental borrowing rate, which is the rate incurred to borrow on a collateralized basis over a similar term of the lease for which the rate is estimated. Certain adjustments to the ROU asset may be required for items such as initial direct costs paid or incentives received. The lease terms used to calculate the ROU asset and related lease liabilities include options to extend or terminate the lease when it is reasonably certain that the Company will exercise that option. Lease expense for operating leases is recognized on a straight-line basis over the lease term as an operating expense while the expense for finance leases is recognized as depreciation expense and interest expense using the accelerated interest method of recognition.</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Comprehensive Loss</w:t>
      </w:r>
    </w:p>
    <w:p>
      <w:pPr>
        <w:spacing w:after="0" w:line="173" w:lineRule="exact"/>
        <w:rPr>
          <w:sz w:val="20"/>
          <w:szCs w:val="20"/>
          <w:color w:val="auto"/>
        </w:rPr>
      </w:pPr>
    </w:p>
    <w:p>
      <w:pPr>
        <w:ind w:right="300" w:firstLine="625"/>
        <w:spacing w:after="0" w:line="294" w:lineRule="auto"/>
        <w:rPr>
          <w:sz w:val="20"/>
          <w:szCs w:val="20"/>
          <w:color w:val="auto"/>
        </w:rPr>
      </w:pPr>
      <w:r>
        <w:rPr>
          <w:rFonts w:ascii="Times New Roman" w:cs="Times New Roman" w:eastAsia="Times New Roman" w:hAnsi="Times New Roman"/>
          <w:sz w:val="17"/>
          <w:szCs w:val="17"/>
          <w:color w:val="252525"/>
        </w:rPr>
        <w:t>Comprehensive loss represents net loss adjusted for the change during the periods attributed to unrealized gains and losses on available-for-sale debt securities.</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Net Loss Per Share</w:t>
      </w:r>
    </w:p>
    <w:p>
      <w:pPr>
        <w:spacing w:after="0" w:line="173" w:lineRule="exact"/>
        <w:rPr>
          <w:sz w:val="20"/>
          <w:szCs w:val="20"/>
          <w:color w:val="auto"/>
        </w:rPr>
      </w:pPr>
    </w:p>
    <w:p>
      <w:pPr>
        <w:ind w:right="240" w:firstLine="625"/>
        <w:spacing w:after="0" w:line="271" w:lineRule="auto"/>
        <w:rPr>
          <w:sz w:val="20"/>
          <w:szCs w:val="20"/>
          <w:color w:val="auto"/>
        </w:rPr>
      </w:pPr>
      <w:r>
        <w:rPr>
          <w:rFonts w:ascii="Times New Roman" w:cs="Times New Roman" w:eastAsia="Times New Roman" w:hAnsi="Times New Roman"/>
          <w:sz w:val="17"/>
          <w:szCs w:val="17"/>
          <w:color w:val="auto"/>
        </w:rPr>
        <w:t>Basic and diluted loss per common share is computed by dividing net loss by the weighted average number of common shares outstanding during the period. All stock options and restricted stock units (RSUs) are excluded from the per share calculations as such securities were anti-dilutive for all periods presented. The following table presents the number of stock options and RSUs that were excluded from the calculation of net loss per share:</w:t>
      </w:r>
    </w:p>
    <w:tbl>
      <w:tblPr>
        <w:tblLayout w:type="fixed"/>
        <w:tblInd w:w="0" w:type="dxa"/>
        <w:tblCellMar>
          <w:top w:w="0" w:type="dxa"/>
          <w:left w:w="0" w:type="dxa"/>
          <w:bottom w:w="0" w:type="dxa"/>
          <w:right w:w="0" w:type="dxa"/>
        </w:tblCellMar>
      </w:tblPr>
      <w:tr>
        <w:trPr>
          <w:trHeight w:val="229"/>
        </w:trPr>
        <w:tc>
          <w:tcPr>
            <w:tcW w:w="4840" w:type="dxa"/>
            <w:vAlign w:val="bottom"/>
          </w:tcPr>
          <w:p>
            <w:pPr>
              <w:spacing w:after="0"/>
              <w:rPr>
                <w:sz w:val="19"/>
                <w:szCs w:val="19"/>
                <w:color w:val="auto"/>
              </w:rPr>
            </w:pPr>
          </w:p>
        </w:tc>
        <w:tc>
          <w:tcPr>
            <w:tcW w:w="188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900" w:type="dxa"/>
            <w:vAlign w:val="bottom"/>
            <w:tcBorders>
              <w:bottom w:val="single" w:sz="8" w:color="auto"/>
            </w:tcBorders>
          </w:tcPr>
          <w:p>
            <w:pPr>
              <w:spacing w:after="0"/>
              <w:rPr>
                <w:sz w:val="19"/>
                <w:szCs w:val="19"/>
                <w:color w:val="auto"/>
              </w:rPr>
            </w:pPr>
          </w:p>
        </w:tc>
      </w:tr>
      <w:tr>
        <w:trPr>
          <w:trHeight w:val="214"/>
        </w:trPr>
        <w:tc>
          <w:tcPr>
            <w:tcW w:w="4840" w:type="dxa"/>
            <w:vAlign w:val="bottom"/>
          </w:tcPr>
          <w:p>
            <w:pPr>
              <w:spacing w:after="0"/>
              <w:rPr>
                <w:sz w:val="18"/>
                <w:szCs w:val="18"/>
                <w:color w:val="auto"/>
              </w:rPr>
            </w:pPr>
          </w:p>
        </w:tc>
        <w:tc>
          <w:tcPr>
            <w:tcW w:w="1880" w:type="dxa"/>
            <w:vAlign w:val="bottom"/>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2040" w:type="dxa"/>
            <w:vAlign w:val="bottom"/>
            <w:gridSpan w:val="2"/>
          </w:tcPr>
          <w:p>
            <w:pPr>
              <w:jc w:val="right"/>
              <w:ind w:right="6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60" w:type="dxa"/>
            <w:vAlign w:val="bottom"/>
          </w:tcPr>
          <w:p>
            <w:pPr>
              <w:spacing w:after="0"/>
              <w:rPr>
                <w:sz w:val="18"/>
                <w:szCs w:val="18"/>
                <w:color w:val="auto"/>
              </w:rPr>
            </w:pPr>
          </w:p>
        </w:tc>
        <w:tc>
          <w:tcPr>
            <w:tcW w:w="1900" w:type="dxa"/>
            <w:vAlign w:val="bottom"/>
          </w:tcPr>
          <w:p>
            <w:pPr>
              <w:jc w:val="right"/>
              <w:ind w:right="69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4"/>
        </w:trPr>
        <w:tc>
          <w:tcPr>
            <w:tcW w:w="48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 options and RSUs</w:t>
            </w:r>
          </w:p>
        </w:tc>
        <w:tc>
          <w:tcPr>
            <w:tcW w:w="188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rPr>
              <w:t>14,008,511</w:t>
            </w:r>
          </w:p>
        </w:tc>
        <w:tc>
          <w:tcPr>
            <w:tcW w:w="160" w:type="dxa"/>
            <w:vAlign w:val="bottom"/>
            <w:tcBorders>
              <w:top w:val="single" w:sz="8" w:color="CCEEFF"/>
            </w:tcBorders>
            <w:shd w:val="clear" w:color="auto" w:fill="CCEEFF"/>
          </w:tcPr>
          <w:p>
            <w:pPr>
              <w:spacing w:after="0"/>
              <w:rPr>
                <w:sz w:val="18"/>
                <w:szCs w:val="18"/>
                <w:color w:val="auto"/>
              </w:rPr>
            </w:pPr>
          </w:p>
        </w:tc>
        <w:tc>
          <w:tcPr>
            <w:tcW w:w="1880" w:type="dxa"/>
            <w:vAlign w:val="bottom"/>
            <w:tcBorders>
              <w:top w:val="single" w:sz="8" w:color="auto"/>
            </w:tcBorders>
            <w:shd w:val="clear" w:color="auto" w:fill="CCEEFF"/>
          </w:tcPr>
          <w:p>
            <w:pPr>
              <w:jc w:val="right"/>
              <w:ind w:right="453"/>
              <w:spacing w:after="0"/>
              <w:rPr>
                <w:sz w:val="20"/>
                <w:szCs w:val="20"/>
                <w:color w:val="auto"/>
              </w:rPr>
            </w:pPr>
            <w:r>
              <w:rPr>
                <w:rFonts w:ascii="Times New Roman" w:cs="Times New Roman" w:eastAsia="Times New Roman" w:hAnsi="Times New Roman"/>
                <w:sz w:val="17"/>
                <w:szCs w:val="17"/>
                <w:color w:val="auto"/>
              </w:rPr>
              <w:t>13,129,251</w:t>
            </w:r>
          </w:p>
        </w:tc>
        <w:tc>
          <w:tcPr>
            <w:tcW w:w="160" w:type="dxa"/>
            <w:vAlign w:val="bottom"/>
            <w:tcBorders>
              <w:top w:val="single" w:sz="8" w:color="CCEEFF"/>
            </w:tcBorders>
            <w:shd w:val="clear" w:color="auto" w:fill="CCEEFF"/>
          </w:tcPr>
          <w:p>
            <w:pPr>
              <w:spacing w:after="0"/>
              <w:rPr>
                <w:sz w:val="18"/>
                <w:szCs w:val="18"/>
                <w:color w:val="auto"/>
              </w:rPr>
            </w:pPr>
          </w:p>
        </w:tc>
        <w:tc>
          <w:tcPr>
            <w:tcW w:w="1900" w:type="dxa"/>
            <w:vAlign w:val="bottom"/>
            <w:tcBorders>
              <w:top w:val="single" w:sz="8" w:color="auto"/>
            </w:tcBorders>
            <w:shd w:val="clear" w:color="auto" w:fill="CCEEFF"/>
          </w:tcPr>
          <w:p>
            <w:pPr>
              <w:jc w:val="right"/>
              <w:ind w:right="473"/>
              <w:spacing w:after="0"/>
              <w:rPr>
                <w:sz w:val="20"/>
                <w:szCs w:val="20"/>
                <w:color w:val="auto"/>
              </w:rPr>
            </w:pPr>
            <w:r>
              <w:rPr>
                <w:rFonts w:ascii="Times New Roman" w:cs="Times New Roman" w:eastAsia="Times New Roman" w:hAnsi="Times New Roman"/>
                <w:sz w:val="17"/>
                <w:szCs w:val="17"/>
                <w:color w:val="auto"/>
              </w:rPr>
              <w:t>10,514,013</w:t>
            </w:r>
          </w:p>
        </w:tc>
      </w:tr>
    </w:tbl>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252525"/>
        </w:rPr>
        <w:t>Recent Accounting Pronouncements Not Yet Adopted</w:t>
      </w:r>
    </w:p>
    <w:p>
      <w:pPr>
        <w:spacing w:after="0" w:line="249"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252525"/>
        </w:rPr>
        <w:t>In November 2024, the FASB issued Accounting Standards Update (ASU) No. 2024-03, Disaggregation of Income Statement Expense. The standard requires further disaggregation of relevant expense captions in a separate note to the financial statements. The standard is effective for fiscal years beginning after December 15, 2026 and interim periods within fiscal years beginning after December 15, 2027. Early adoption is permitted. The Company is currently assessing the impact of adopting this guidance on its consolidated financial statements.</w:t>
      </w:r>
    </w:p>
    <w:p>
      <w:pPr>
        <w:spacing w:after="0" w:line="195" w:lineRule="exact"/>
        <w:rPr>
          <w:sz w:val="20"/>
          <w:szCs w:val="20"/>
          <w:color w:val="auto"/>
        </w:rPr>
      </w:pPr>
    </w:p>
    <w:p>
      <w:pPr>
        <w:ind w:right="60" w:firstLine="625"/>
        <w:spacing w:after="0" w:line="272" w:lineRule="auto"/>
        <w:rPr>
          <w:sz w:val="20"/>
          <w:szCs w:val="20"/>
          <w:color w:val="auto"/>
        </w:rPr>
      </w:pPr>
      <w:r>
        <w:rPr>
          <w:rFonts w:ascii="Times New Roman" w:cs="Times New Roman" w:eastAsia="Times New Roman" w:hAnsi="Times New Roman"/>
          <w:sz w:val="17"/>
          <w:szCs w:val="17"/>
          <w:color w:val="252525"/>
        </w:rPr>
        <w:t>In December 2023, the FASB issued ASU No. 2023-09, Income Taxes (Topic 740). The standard requires disaggregation of the effective rate reconciliation into standard categories, enhances disclosure of income taxes paid, and modifies other income tax-related disclosures. The standard is effective for fiscal years beginning after December 15, 2024. The Company is currently assessing the impact of adopting this guidance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7"/>
          <w:szCs w:val="17"/>
          <w:i w:val="1"/>
          <w:iCs w:val="1"/>
          <w:color w:val="252525"/>
        </w:rPr>
        <w:t>Recently Adopted Accounting Pronouncements</w:t>
      </w:r>
    </w:p>
    <w:p>
      <w:pPr>
        <w:spacing w:after="0" w:line="249" w:lineRule="exact"/>
        <w:rPr>
          <w:sz w:val="20"/>
          <w:szCs w:val="20"/>
          <w:color w:val="auto"/>
        </w:rPr>
      </w:pPr>
    </w:p>
    <w:p>
      <w:pPr>
        <w:ind w:right="40" w:firstLine="625"/>
        <w:spacing w:after="0" w:line="265" w:lineRule="auto"/>
        <w:rPr>
          <w:sz w:val="20"/>
          <w:szCs w:val="20"/>
          <w:color w:val="auto"/>
        </w:rPr>
      </w:pPr>
      <w:r>
        <w:rPr>
          <w:rFonts w:ascii="Times New Roman" w:cs="Times New Roman" w:eastAsia="Times New Roman" w:hAnsi="Times New Roman"/>
          <w:sz w:val="17"/>
          <w:szCs w:val="17"/>
          <w:color w:val="252525"/>
        </w:rPr>
        <w:t>In November 2023, the FASB issued ASU 2023-07, Segment Reporting (Topic 280): Improvements to Reportable Segment Disclosures, which is intended to improve reportable segment disclosures, primarily through enhanced disclosures about significant segment expenses, as well as how the chief operating decision maker (CODM) uses the reported measure(s) of segment profit or loss in assessing performance. The ASU also requires all annual disclosures currently required by Topic 280 to be included in interim periods. The Company adopted the standard in the fourth quarter of 2024. The adoption did not have a material impact on its consolidated financial statements. See Note 13, Segment Reporting, for additional information.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52525"/>
        </w:rPr>
        <w:t>3. Marketable Securities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7"/>
          <w:szCs w:val="17"/>
          <w:color w:val="252525"/>
        </w:rPr>
        <w:t>Available-for-sale marketable securities as of December 31, 2024 and 2023 were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55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8"/>
          </w:tcPr>
          <w:p>
            <w:pPr>
              <w:ind w:left="480"/>
              <w:spacing w:after="0"/>
              <w:rPr>
                <w:sz w:val="20"/>
                <w:szCs w:val="20"/>
                <w:color w:val="auto"/>
              </w:rPr>
            </w:pPr>
            <w:r>
              <w:rPr>
                <w:rFonts w:ascii="Times New Roman" w:cs="Times New Roman" w:eastAsia="Times New Roman" w:hAnsi="Times New Roman"/>
                <w:sz w:val="17"/>
                <w:szCs w:val="17"/>
                <w:b w:val="1"/>
                <w:bCs w:val="1"/>
                <w:color w:val="auto"/>
              </w:rPr>
              <w:t>December 31, 2024</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80"/>
              <w:spacing w:after="0" w:line="163" w:lineRule="exact"/>
              <w:rPr>
                <w:sz w:val="20"/>
                <w:szCs w:val="20"/>
                <w:color w:val="auto"/>
              </w:rPr>
            </w:pPr>
            <w:r>
              <w:rPr>
                <w:rFonts w:ascii="Times New Roman" w:cs="Times New Roman" w:eastAsia="Times New Roman" w:hAnsi="Times New Roman"/>
                <w:sz w:val="17"/>
                <w:szCs w:val="17"/>
                <w:b w:val="1"/>
                <w:bCs w:val="1"/>
                <w:color w:val="auto"/>
              </w:rPr>
              <w:t>Gross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300"/>
              <w:spacing w:after="0" w:line="163" w:lineRule="exact"/>
              <w:rPr>
                <w:sz w:val="20"/>
                <w:szCs w:val="20"/>
                <w:color w:val="auto"/>
              </w:rPr>
            </w:pPr>
            <w:r>
              <w:rPr>
                <w:rFonts w:ascii="Times New Roman" w:cs="Times New Roman" w:eastAsia="Times New Roman" w:hAnsi="Times New Roman"/>
                <w:sz w:val="17"/>
                <w:szCs w:val="17"/>
                <w:b w:val="1"/>
                <w:bCs w:val="1"/>
                <w:color w:val="auto"/>
                <w:w w:val="98"/>
              </w:rPr>
              <w:t>Gross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Fair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80"/>
              <w:spacing w:after="0" w:line="169"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Cost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Gains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right="28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7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562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Government-sponsored enterprises</w:t>
            </w:r>
          </w:p>
        </w:tc>
        <w:tc>
          <w:tcPr>
            <w:tcW w:w="200" w:type="dxa"/>
            <w:vAlign w:val="bottom"/>
            <w:tcBorders>
              <w:top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gridSpan w:val="3"/>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16,832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5580" w:type="dxa"/>
            <w:vAlign w:val="bottom"/>
            <w:tcBorders>
              <w:top w:val="single" w:sz="8" w:color="CCEEFF"/>
              <w:bottom w:val="single" w:sz="8" w:color="CCEEFF"/>
            </w:tcBorders>
            <w:shd w:val="clear" w:color="auto" w:fill="CCEEFF"/>
          </w:tcPr>
          <w:p>
            <w:pPr>
              <w:ind w:left="300"/>
              <w:spacing w:after="0"/>
              <w:rPr>
                <w:sz w:val="20"/>
                <w:szCs w:val="20"/>
                <w:color w:val="auto"/>
              </w:rPr>
            </w:pPr>
            <w:r>
              <w:rPr>
                <w:rFonts w:ascii="Times New Roman" w:cs="Times New Roman" w:eastAsia="Times New Roman" w:hAnsi="Times New Roman"/>
                <w:sz w:val="17"/>
                <w:szCs w:val="17"/>
                <w:color w:val="auto"/>
              </w:rPr>
              <w:t>Total</w:t>
            </w:r>
          </w:p>
        </w:tc>
        <w:tc>
          <w:tcPr>
            <w:tcW w:w="200" w:type="dxa"/>
            <w:vAlign w:val="bottom"/>
            <w:tcBorders>
              <w:top w:val="single" w:sz="8" w:color="auto"/>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auto"/>
            </w:tcBorders>
            <w:gridSpan w:val="2"/>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18,827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40" w:type="dxa"/>
            <w:vAlign w:val="bottom"/>
          </w:tcPr>
          <w:p>
            <w:pPr>
              <w:spacing w:after="0"/>
              <w:rPr>
                <w:sz w:val="24"/>
                <w:szCs w:val="24"/>
                <w:color w:val="auto"/>
              </w:rPr>
            </w:pPr>
          </w:p>
        </w:tc>
        <w:tc>
          <w:tcPr>
            <w:tcW w:w="5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8"/>
          </w:tcPr>
          <w:p>
            <w:pPr>
              <w:ind w:left="500"/>
              <w:spacing w:after="0"/>
              <w:rPr>
                <w:sz w:val="20"/>
                <w:szCs w:val="20"/>
                <w:color w:val="auto"/>
              </w:rPr>
            </w:pPr>
            <w:r>
              <w:rPr>
                <w:rFonts w:ascii="Times New Roman" w:cs="Times New Roman" w:eastAsia="Times New Roman" w:hAnsi="Times New Roman"/>
                <w:sz w:val="17"/>
                <w:szCs w:val="17"/>
                <w:b w:val="1"/>
                <w:bCs w:val="1"/>
                <w:color w:val="auto"/>
              </w:rPr>
              <w:t>December 31, 2023</w:t>
            </w: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7"/>
                <w:szCs w:val="17"/>
                <w:b w:val="1"/>
                <w:bCs w:val="1"/>
                <w:color w:val="auto"/>
              </w:rPr>
              <w:t>Amortized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40"/>
              <w:spacing w:after="0" w:line="163" w:lineRule="exact"/>
              <w:rPr>
                <w:sz w:val="20"/>
                <w:szCs w:val="20"/>
                <w:color w:val="auto"/>
              </w:rPr>
            </w:pPr>
            <w:r>
              <w:rPr>
                <w:rFonts w:ascii="Times New Roman" w:cs="Times New Roman" w:eastAsia="Times New Roman" w:hAnsi="Times New Roman"/>
                <w:sz w:val="17"/>
                <w:szCs w:val="17"/>
                <w:b w:val="1"/>
                <w:bCs w:val="1"/>
                <w:color w:val="auto"/>
              </w:rPr>
              <w:t>Gross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40"/>
              <w:spacing w:after="0" w:line="163" w:lineRule="exact"/>
              <w:rPr>
                <w:sz w:val="20"/>
                <w:szCs w:val="20"/>
                <w:color w:val="auto"/>
              </w:rPr>
            </w:pPr>
            <w:r>
              <w:rPr>
                <w:rFonts w:ascii="Times New Roman" w:cs="Times New Roman" w:eastAsia="Times New Roman" w:hAnsi="Times New Roman"/>
                <w:sz w:val="17"/>
                <w:szCs w:val="17"/>
                <w:b w:val="1"/>
                <w:bCs w:val="1"/>
                <w:color w:val="auto"/>
              </w:rPr>
              <w:t>Gross</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restart"/>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Fair</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0" w:type="dxa"/>
            <w:vAlign w:val="bottom"/>
          </w:tcPr>
          <w:p>
            <w:pPr>
              <w:spacing w:after="0"/>
              <w:rPr>
                <w:sz w:val="14"/>
                <w:szCs w:val="14"/>
                <w:color w:val="auto"/>
              </w:rPr>
            </w:pPr>
          </w:p>
        </w:tc>
        <w:tc>
          <w:tcPr>
            <w:tcW w:w="5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20" w:type="dxa"/>
            <w:vAlign w:val="bottom"/>
            <w:gridSpan w:val="3"/>
            <w:vMerge w:val="continue"/>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40"/>
              <w:spacing w:after="0" w:line="169"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40" w:type="dxa"/>
            <w:vAlign w:val="bottom"/>
            <w:gridSpan w:val="3"/>
          </w:tcPr>
          <w:p>
            <w:pPr>
              <w:jc w:val="center"/>
              <w:ind w:right="240"/>
              <w:spacing w:after="0" w:line="169" w:lineRule="exact"/>
              <w:rPr>
                <w:sz w:val="20"/>
                <w:szCs w:val="20"/>
                <w:color w:val="auto"/>
              </w:rPr>
            </w:pPr>
            <w:r>
              <w:rPr>
                <w:rFonts w:ascii="Times New Roman" w:cs="Times New Roman" w:eastAsia="Times New Roman" w:hAnsi="Times New Roman"/>
                <w:sz w:val="17"/>
                <w:szCs w:val="17"/>
                <w:b w:val="1"/>
                <w:bCs w:val="1"/>
                <w:color w:val="auto"/>
              </w:rPr>
              <w:t>Unrealized</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Cost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Gains</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3"/>
          </w:tcPr>
          <w:p>
            <w:pPr>
              <w:jc w:val="center"/>
              <w:ind w:right="240"/>
              <w:spacing w:after="0"/>
              <w:rPr>
                <w:sz w:val="20"/>
                <w:szCs w:val="20"/>
                <w:color w:val="auto"/>
              </w:rPr>
            </w:pPr>
            <w:r>
              <w:rPr>
                <w:rFonts w:ascii="Times New Roman" w:cs="Times New Roman" w:eastAsia="Times New Roman" w:hAnsi="Times New Roman"/>
                <w:sz w:val="17"/>
                <w:szCs w:val="17"/>
                <w:b w:val="1"/>
                <w:bCs w:val="1"/>
                <w:color w:val="auto"/>
              </w:rPr>
              <w:t>Losses</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Value</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55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U.S. Treasury securities</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31,179</w:t>
            </w:r>
          </w:p>
        </w:tc>
        <w:tc>
          <w:tcPr>
            <w:tcW w:w="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5580" w:type="dxa"/>
            <w:vAlign w:val="bottom"/>
          </w:tcPr>
          <w:p>
            <w:pPr>
              <w:spacing w:after="0"/>
              <w:rPr>
                <w:sz w:val="20"/>
                <w:szCs w:val="20"/>
                <w:color w:val="auto"/>
              </w:rPr>
            </w:pPr>
            <w:r>
              <w:rPr>
                <w:rFonts w:ascii="Times New Roman" w:cs="Times New Roman" w:eastAsia="Times New Roman" w:hAnsi="Times New Roman"/>
                <w:sz w:val="17"/>
                <w:szCs w:val="17"/>
                <w:color w:val="auto"/>
              </w:rPr>
              <w:t>Government-sponsored enterprises</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45,043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0" w:type="dxa"/>
            <w:vAlign w:val="bottom"/>
          </w:tcPr>
          <w:p>
            <w:pPr>
              <w:spacing w:after="0"/>
              <w:rPr>
                <w:sz w:val="19"/>
                <w:szCs w:val="19"/>
                <w:color w:val="auto"/>
              </w:rPr>
            </w:pPr>
          </w:p>
        </w:tc>
        <w:tc>
          <w:tcPr>
            <w:tcW w:w="55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Corporate debt securities</w:t>
            </w: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52,637</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52,627</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40" w:type="dxa"/>
            <w:vAlign w:val="bottom"/>
          </w:tcPr>
          <w:p>
            <w:pPr>
              <w:spacing w:after="0"/>
              <w:rPr>
                <w:sz w:val="18"/>
                <w:szCs w:val="18"/>
                <w:color w:val="auto"/>
              </w:rPr>
            </w:pPr>
          </w:p>
        </w:tc>
        <w:tc>
          <w:tcPr>
            <w:tcW w:w="55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128,855</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(22)</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128,849</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5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8" w:lineRule="exact"/>
        <w:rPr>
          <w:sz w:val="20"/>
          <w:szCs w:val="20"/>
          <w:color w:val="auto"/>
        </w:rPr>
      </w:pPr>
    </w:p>
    <w:p>
      <w:pPr>
        <w:ind w:right="40" w:firstLine="625"/>
        <w:spacing w:after="0" w:line="261" w:lineRule="auto"/>
        <w:rPr>
          <w:sz w:val="20"/>
          <w:szCs w:val="20"/>
          <w:color w:val="auto"/>
        </w:rPr>
      </w:pPr>
      <w:r>
        <w:rPr>
          <w:rFonts w:ascii="Times New Roman" w:cs="Times New Roman" w:eastAsia="Times New Roman" w:hAnsi="Times New Roman"/>
          <w:sz w:val="17"/>
          <w:szCs w:val="17"/>
          <w:color w:val="auto"/>
        </w:rPr>
        <w:t xml:space="preserve">All of the Company's available-for-sale securities held at December 31, 2024 and 2023 had contractual maturities of less than one year. All of the Company’s available-for-sale marketable debt securities in an unrealized loss position as of December 31, 2023 were in a loss position for less than twelve months. Unrealized losses on available-for-sale debt securities as of December 31, 2023 </w:t>
      </w:r>
      <w:r>
        <w:rPr>
          <w:rFonts w:ascii="Times New Roman" w:cs="Times New Roman" w:eastAsia="Times New Roman" w:hAnsi="Times New Roman"/>
          <w:sz w:val="17"/>
          <w:szCs w:val="17"/>
          <w:color w:val="252525"/>
        </w:rPr>
        <w:t>were not</w:t>
      </w:r>
      <w:r>
        <w:rPr>
          <w:rFonts w:ascii="Times New Roman" w:cs="Times New Roman" w:eastAsia="Times New Roman" w:hAnsi="Times New Roman"/>
          <w:sz w:val="17"/>
          <w:szCs w:val="17"/>
          <w:color w:val="auto"/>
        </w:rPr>
        <w:t xml:space="preserve"> significant and were primarily due to changes in interest rates, including market credit spreads, and not due to increased credit risks associated with specific securities. Accordingly, no allowance for credit losses related to the Company's available-for-sale debt securities was recorded for the years ended </w:t>
      </w:r>
      <w:r>
        <w:rPr>
          <w:rFonts w:ascii="Times New Roman" w:cs="Times New Roman" w:eastAsia="Times New Roman" w:hAnsi="Times New Roman"/>
          <w:sz w:val="17"/>
          <w:szCs w:val="17"/>
          <w:color w:val="252525"/>
        </w:rPr>
        <w:t>December 31, 2024 and</w:t>
      </w:r>
      <w:r>
        <w:rPr>
          <w:rFonts w:ascii="Times New Roman" w:cs="Times New Roman" w:eastAsia="Times New Roman" w:hAnsi="Times New Roman"/>
          <w:sz w:val="17"/>
          <w:szCs w:val="17"/>
          <w:color w:val="auto"/>
        </w:rPr>
        <w:t xml:space="preserve"> 2023. The Company does not intend to sell these investments and it is not more likely than not that the Company will be required to sell the investments before recovery of their amortized cost bases, which may be at maturity. The Company recorded interest income of $5.6 million, $4.0 million and $1.7 million during the years ended December 31, 2024, 2023 and 2022, respectively, which is included in interest and other income on the consolidated statements of operations and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Inventory, Net</w:t>
      </w:r>
    </w:p>
    <w:p>
      <w:pPr>
        <w:spacing w:after="0" w:line="171" w:lineRule="exact"/>
        <w:rPr>
          <w:sz w:val="20"/>
          <w:szCs w:val="20"/>
          <w:color w:val="auto"/>
        </w:rPr>
      </w:pPr>
    </w:p>
    <w:p>
      <w:pPr>
        <w:ind w:right="240" w:firstLine="547"/>
        <w:spacing w:after="0" w:line="274" w:lineRule="auto"/>
        <w:rPr>
          <w:sz w:val="20"/>
          <w:szCs w:val="20"/>
          <w:color w:val="auto"/>
        </w:rPr>
      </w:pPr>
      <w:r>
        <w:rPr>
          <w:rFonts w:ascii="Times New Roman" w:cs="Times New Roman" w:eastAsia="Times New Roman" w:hAnsi="Times New Roman"/>
          <w:sz w:val="17"/>
          <w:szCs w:val="17"/>
          <w:color w:val="auto"/>
        </w:rPr>
        <w:t>All of the Company's inventory relates to the manufacturing of MARGENZA. In November 2024, the Company sold global rights to MARGENZA to TerSera. As part of this transaction, the Company transferred all its inventory to TerSera, resulting in no inventory balance on the Company’s consolidated balance sheet as of December 31, 2024. The following table sets forth the Company's inventory as of December 31, 2023, net of reserves (in thousands):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560" w:type="dxa"/>
            <w:vAlign w:val="bottom"/>
          </w:tcPr>
          <w:p>
            <w:pPr>
              <w:spacing w:after="0"/>
              <w:rPr>
                <w:sz w:val="19"/>
                <w:szCs w:val="19"/>
                <w:color w:val="auto"/>
              </w:rPr>
            </w:pPr>
          </w:p>
        </w:tc>
        <w:tc>
          <w:tcPr>
            <w:tcW w:w="31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Work in process</w:t>
            </w:r>
          </w:p>
        </w:tc>
        <w:tc>
          <w:tcPr>
            <w:tcW w:w="5200" w:type="dxa"/>
            <w:vAlign w:val="bottom"/>
            <w:gridSpan w:val="2"/>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w:t>
            </w:r>
          </w:p>
        </w:tc>
        <w:tc>
          <w:tcPr>
            <w:tcW w:w="1120" w:type="dxa"/>
            <w:vAlign w:val="bottom"/>
          </w:tcPr>
          <w:p>
            <w:pPr>
              <w:spacing w:after="0"/>
              <w:rPr>
                <w:sz w:val="19"/>
                <w:szCs w:val="19"/>
                <w:color w:val="auto"/>
              </w:rPr>
            </w:pPr>
          </w:p>
        </w:tc>
      </w:tr>
      <w:tr>
        <w:trPr>
          <w:trHeight w:val="221"/>
        </w:trPr>
        <w:tc>
          <w:tcPr>
            <w:tcW w:w="560" w:type="dxa"/>
            <w:vAlign w:val="bottom"/>
          </w:tcPr>
          <w:p>
            <w:pPr>
              <w:spacing w:after="0"/>
              <w:rPr>
                <w:sz w:val="19"/>
                <w:szCs w:val="19"/>
                <w:color w:val="auto"/>
              </w:rPr>
            </w:pPr>
          </w:p>
        </w:tc>
        <w:tc>
          <w:tcPr>
            <w:tcW w:w="3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Finished goods</w:t>
            </w:r>
          </w:p>
        </w:tc>
        <w:tc>
          <w:tcPr>
            <w:tcW w:w="43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960</w:t>
            </w:r>
          </w:p>
        </w:tc>
        <w:tc>
          <w:tcPr>
            <w:tcW w:w="1120" w:type="dxa"/>
            <w:vAlign w:val="bottom"/>
          </w:tcPr>
          <w:p>
            <w:pPr>
              <w:spacing w:after="0"/>
              <w:rPr>
                <w:sz w:val="19"/>
                <w:szCs w:val="19"/>
                <w:color w:val="auto"/>
              </w:rPr>
            </w:pPr>
          </w:p>
        </w:tc>
      </w:tr>
      <w:tr>
        <w:trPr>
          <w:trHeight w:val="239"/>
        </w:trPr>
        <w:tc>
          <w:tcPr>
            <w:tcW w:w="560" w:type="dxa"/>
            <w:vAlign w:val="bottom"/>
          </w:tcPr>
          <w:p>
            <w:pPr>
              <w:spacing w:after="0"/>
              <w:rPr>
                <w:sz w:val="20"/>
                <w:szCs w:val="20"/>
                <w:color w:val="auto"/>
              </w:rPr>
            </w:pPr>
          </w:p>
        </w:tc>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inventory, net</w:t>
            </w:r>
          </w:p>
        </w:tc>
        <w:tc>
          <w:tcPr>
            <w:tcW w:w="43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693"/>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1,221</w:t>
            </w:r>
          </w:p>
        </w:tc>
        <w:tc>
          <w:tcPr>
            <w:tcW w:w="1120" w:type="dxa"/>
            <w:vAlign w:val="bottom"/>
          </w:tcPr>
          <w:p>
            <w:pPr>
              <w:spacing w:after="0"/>
              <w:rPr>
                <w:sz w:val="20"/>
                <w:szCs w:val="20"/>
                <w:color w:val="auto"/>
              </w:rPr>
            </w:pPr>
          </w:p>
        </w:tc>
      </w:tr>
      <w:tr>
        <w:trPr>
          <w:trHeight w:val="20"/>
        </w:trPr>
        <w:tc>
          <w:tcPr>
            <w:tcW w:w="560" w:type="dxa"/>
            <w:vAlign w:val="bottom"/>
          </w:tcPr>
          <w:p>
            <w:pPr>
              <w:spacing w:after="0" w:line="20" w:lineRule="exact"/>
              <w:rPr>
                <w:sz w:val="1"/>
                <w:szCs w:val="1"/>
                <w:color w:val="auto"/>
              </w:rPr>
            </w:pPr>
          </w:p>
        </w:tc>
        <w:tc>
          <w:tcPr>
            <w:tcW w:w="3100" w:type="dxa"/>
            <w:vAlign w:val="bottom"/>
            <w:tcBorders>
              <w:top w:val="single" w:sz="8" w:color="CCEEFF"/>
            </w:tcBorders>
          </w:tcPr>
          <w:p>
            <w:pPr>
              <w:spacing w:after="0" w:line="20" w:lineRule="exact"/>
              <w:rPr>
                <w:sz w:val="1"/>
                <w:szCs w:val="1"/>
                <w:color w:val="auto"/>
              </w:rPr>
            </w:pPr>
          </w:p>
        </w:tc>
        <w:tc>
          <w:tcPr>
            <w:tcW w:w="43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779"/>
        </w:trPr>
        <w:tc>
          <w:tcPr>
            <w:tcW w:w="5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5200" w:type="dxa"/>
            <w:vAlign w:val="bottom"/>
            <w:gridSpan w:val="2"/>
          </w:tcPr>
          <w:p>
            <w:pPr>
              <w:jc w:val="right"/>
              <w:ind w:right="2933"/>
              <w:spacing w:after="0"/>
              <w:rPr>
                <w:sz w:val="20"/>
                <w:szCs w:val="20"/>
                <w:color w:val="auto"/>
              </w:rPr>
            </w:pPr>
            <w:r>
              <w:rPr>
                <w:rFonts w:ascii="Times New Roman" w:cs="Times New Roman" w:eastAsia="Times New Roman" w:hAnsi="Times New Roman"/>
                <w:sz w:val="17"/>
                <w:szCs w:val="17"/>
                <w:color w:val="auto"/>
              </w:rPr>
              <w:t>F - 16</w:t>
            </w:r>
          </w:p>
        </w:tc>
        <w:tc>
          <w:tcPr>
            <w:tcW w:w="126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10"/>
        </w:trPr>
        <w:tc>
          <w:tcPr>
            <w:tcW w:w="560" w:type="dxa"/>
            <w:vAlign w:val="bottom"/>
            <w:tcBorders>
              <w:bottom w:val="single" w:sz="8" w:color="9A9A9A"/>
            </w:tcBorders>
          </w:tcPr>
          <w:p>
            <w:pPr>
              <w:spacing w:after="0"/>
              <w:rPr>
                <w:sz w:val="9"/>
                <w:szCs w:val="9"/>
                <w:color w:val="auto"/>
              </w:rPr>
            </w:pPr>
          </w:p>
        </w:tc>
        <w:tc>
          <w:tcPr>
            <w:tcW w:w="3100" w:type="dxa"/>
            <w:vAlign w:val="bottom"/>
            <w:tcBorders>
              <w:bottom w:val="single" w:sz="8" w:color="9A9A9A"/>
            </w:tcBorders>
          </w:tcPr>
          <w:p>
            <w:pPr>
              <w:spacing w:after="0"/>
              <w:rPr>
                <w:sz w:val="9"/>
                <w:szCs w:val="9"/>
                <w:color w:val="auto"/>
              </w:rPr>
            </w:pPr>
          </w:p>
        </w:tc>
        <w:tc>
          <w:tcPr>
            <w:tcW w:w="4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126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96" w:right="339" w:bottom="1440" w:gutter="0" w:footer="0" w:header="0"/>
        </w:sectPr>
      </w:pPr>
    </w:p>
    <w:bookmarkStart w:id="95" w:name="page96"/>
    <w:bookmarkEnd w:id="95"/>
    <w:p>
      <w:pPr>
        <w:ind w:right="20" w:firstLine="625"/>
        <w:spacing w:after="0" w:line="268" w:lineRule="auto"/>
        <w:rPr>
          <w:sz w:val="20"/>
          <w:szCs w:val="20"/>
          <w:color w:val="auto"/>
        </w:rPr>
      </w:pPr>
      <w:r>
        <w:rPr>
          <w:rFonts w:ascii="Times New Roman" w:cs="Times New Roman" w:eastAsia="Times New Roman" w:hAnsi="Times New Roman"/>
          <w:sz w:val="17"/>
          <w:szCs w:val="17"/>
          <w:color w:val="auto"/>
        </w:rPr>
        <w:t>Prior to FDA approval of MARGENZA in December 2020, the cost of materials and expenses associated with the manufacturing of MARGENZA were recorded as research and development expense. Subsequent to FDA approval, the Company began capitalizing inventory costs related to the manufacture of MARGENZA. The inventory balance as of December 31, 2023 is net of a reserve of $3.1 million, for unsaleable inventory. These reserves are reflected in cost of product sales during the period they are recorded.</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7"/>
          </w:tcPr>
          <w:p>
            <w:pPr>
              <w:ind w:left="60"/>
              <w:spacing w:after="0"/>
              <w:rPr>
                <w:sz w:val="20"/>
                <w:szCs w:val="20"/>
                <w:color w:val="auto"/>
              </w:rPr>
            </w:pPr>
            <w:r>
              <w:rPr>
                <w:rFonts w:ascii="Times New Roman" w:cs="Times New Roman" w:eastAsia="Times New Roman" w:hAnsi="Times New Roman"/>
                <w:sz w:val="17"/>
                <w:szCs w:val="17"/>
                <w:b w:val="1"/>
                <w:bCs w:val="1"/>
                <w:color w:val="auto"/>
              </w:rPr>
              <w:t>Inventory Reserves (in thousands)</w:t>
            </w:r>
          </w:p>
        </w:tc>
        <w:tc>
          <w:tcPr>
            <w:tcW w:w="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7"/>
                <w:szCs w:val="17"/>
                <w:b w:val="1"/>
                <w:bCs w:val="1"/>
                <w:color w:val="auto"/>
                <w:w w:val="99"/>
              </w:rPr>
              <w:t>Balance at</w:t>
            </w:r>
          </w:p>
        </w:tc>
        <w:tc>
          <w:tcPr>
            <w:tcW w:w="180" w:type="dxa"/>
            <w:vAlign w:val="bottom"/>
          </w:tcPr>
          <w:p>
            <w:pPr>
              <w:spacing w:after="0"/>
              <w:rPr>
                <w:sz w:val="14"/>
                <w:szCs w:val="14"/>
                <w:color w:val="auto"/>
              </w:rPr>
            </w:pPr>
          </w:p>
        </w:tc>
        <w:tc>
          <w:tcPr>
            <w:tcW w:w="1400" w:type="dxa"/>
            <w:vAlign w:val="bottom"/>
            <w:gridSpan w:val="2"/>
          </w:tcPr>
          <w:p>
            <w:pPr>
              <w:jc w:val="center"/>
              <w:ind w:right="320"/>
              <w:spacing w:after="0" w:line="163" w:lineRule="exact"/>
              <w:rPr>
                <w:sz w:val="20"/>
                <w:szCs w:val="20"/>
                <w:color w:val="auto"/>
              </w:rPr>
            </w:pPr>
            <w:r>
              <w:rPr>
                <w:rFonts w:ascii="Times New Roman" w:cs="Times New Roman" w:eastAsia="Times New Roman" w:hAnsi="Times New Roman"/>
                <w:sz w:val="17"/>
                <w:szCs w:val="17"/>
                <w:b w:val="1"/>
                <w:bCs w:val="1"/>
                <w:color w:val="auto"/>
              </w:rPr>
              <w:t>Additions</w:t>
            </w: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20" w:type="dxa"/>
            <w:vAlign w:val="bottom"/>
            <w:gridSpan w:val="4"/>
            <w:vMerge w:val="restart"/>
          </w:tcPr>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Balance at End of</w:t>
            </w:r>
          </w:p>
        </w:tc>
        <w:tc>
          <w:tcPr>
            <w:tcW w:w="0" w:type="dxa"/>
            <w:vAlign w:val="bottom"/>
          </w:tcPr>
          <w:p>
            <w:pPr>
              <w:spacing w:after="0"/>
              <w:rPr>
                <w:sz w:val="1"/>
                <w:szCs w:val="1"/>
                <w:color w:val="auto"/>
              </w:rPr>
            </w:pPr>
          </w:p>
        </w:tc>
      </w:tr>
      <w:tr>
        <w:trPr>
          <w:trHeight w:val="169"/>
        </w:trPr>
        <w:tc>
          <w:tcPr>
            <w:tcW w:w="50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gridSpan w:val="2"/>
          </w:tcPr>
          <w:p>
            <w:pPr>
              <w:jc w:val="center"/>
              <w:ind w:right="320"/>
              <w:spacing w:after="0" w:line="169" w:lineRule="exact"/>
              <w:rPr>
                <w:sz w:val="20"/>
                <w:szCs w:val="20"/>
                <w:color w:val="auto"/>
              </w:rPr>
            </w:pPr>
            <w:r>
              <w:rPr>
                <w:rFonts w:ascii="Times New Roman" w:cs="Times New Roman" w:eastAsia="Times New Roman" w:hAnsi="Times New Roman"/>
                <w:sz w:val="17"/>
                <w:szCs w:val="17"/>
                <w:b w:val="1"/>
                <w:bCs w:val="1"/>
                <w:color w:val="auto"/>
              </w:rPr>
              <w:t>Charged to</w:t>
            </w:r>
          </w:p>
        </w:tc>
        <w:tc>
          <w:tcPr>
            <w:tcW w:w="220" w:type="dxa"/>
            <w:vAlign w:val="bottom"/>
          </w:tcPr>
          <w:p>
            <w:pPr>
              <w:spacing w:after="0"/>
              <w:rPr>
                <w:sz w:val="14"/>
                <w:szCs w:val="14"/>
                <w:color w:val="auto"/>
              </w:rPr>
            </w:pPr>
          </w:p>
        </w:tc>
        <w:tc>
          <w:tcPr>
            <w:tcW w:w="136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b w:val="1"/>
                <w:bCs w:val="1"/>
                <w:color w:val="auto"/>
              </w:rPr>
              <w:t>Deductions</w:t>
            </w:r>
          </w:p>
        </w:tc>
        <w:tc>
          <w:tcPr>
            <w:tcW w:w="14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p>
        </w:tc>
        <w:tc>
          <w:tcPr>
            <w:tcW w:w="1580" w:type="dxa"/>
            <w:vAlign w:val="bottom"/>
            <w:gridSpan w:val="3"/>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9"/>
              </w:rPr>
              <w:t>Beginning of Year</w:t>
            </w:r>
          </w:p>
        </w:tc>
        <w:tc>
          <w:tcPr>
            <w:tcW w:w="18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Expenses</w:t>
            </w:r>
          </w:p>
        </w:tc>
        <w:tc>
          <w:tcPr>
            <w:tcW w:w="220" w:type="dxa"/>
            <w:vAlign w:val="bottom"/>
          </w:tcPr>
          <w:p>
            <w:pPr>
              <w:spacing w:after="0"/>
              <w:rPr>
                <w:sz w:val="20"/>
                <w:szCs w:val="20"/>
                <w:color w:val="auto"/>
              </w:rPr>
            </w:pPr>
          </w:p>
        </w:tc>
        <w:tc>
          <w:tcPr>
            <w:tcW w:w="1360" w:type="dxa"/>
            <w:vAlign w:val="bottom"/>
            <w:gridSpan w:val="4"/>
            <w:vMerge w:val="continue"/>
          </w:tcPr>
          <w:p>
            <w:pPr>
              <w:spacing w:after="0"/>
              <w:rPr>
                <w:sz w:val="20"/>
                <w:szCs w:val="20"/>
                <w:color w:val="auto"/>
              </w:rPr>
            </w:pPr>
          </w:p>
        </w:tc>
        <w:tc>
          <w:tcPr>
            <w:tcW w:w="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gridSpan w:val="2"/>
          </w:tcPr>
          <w:p>
            <w:pPr>
              <w:jc w:val="center"/>
              <w:ind w:right="520"/>
              <w:spacing w:after="0"/>
              <w:rPr>
                <w:sz w:val="20"/>
                <w:szCs w:val="20"/>
                <w:color w:val="auto"/>
              </w:rPr>
            </w:pPr>
            <w:r>
              <w:rPr>
                <w:rFonts w:ascii="Times New Roman" w:cs="Times New Roman" w:eastAsia="Times New Roman" w:hAnsi="Times New Roman"/>
                <w:sz w:val="17"/>
                <w:szCs w:val="17"/>
                <w:b w:val="1"/>
                <w:bCs w:val="1"/>
                <w:color w:val="auto"/>
                <w:w w:val="94"/>
              </w:rPr>
              <w:t>Year</w:t>
            </w:r>
          </w:p>
        </w:tc>
        <w:tc>
          <w:tcPr>
            <w:tcW w:w="0" w:type="dxa"/>
            <w:vAlign w:val="bottom"/>
          </w:tcPr>
          <w:p>
            <w:pPr>
              <w:spacing w:after="0"/>
              <w:rPr>
                <w:sz w:val="1"/>
                <w:szCs w:val="1"/>
                <w:color w:val="auto"/>
              </w:rPr>
            </w:pPr>
          </w:p>
        </w:tc>
      </w:tr>
      <w:tr>
        <w:trPr>
          <w:trHeight w:val="214"/>
        </w:trPr>
        <w:tc>
          <w:tcPr>
            <w:tcW w:w="5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3,119</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(3,119)</w:t>
            </w:r>
          </w:p>
        </w:tc>
        <w:tc>
          <w:tcPr>
            <w:tcW w:w="12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auto"/>
            </w:tcBorders>
            <w:gridSpan w:val="2"/>
            <w:shd w:val="clear" w:color="auto" w:fill="CCEEFF"/>
          </w:tcPr>
          <w:p>
            <w:pPr>
              <w:jc w:val="right"/>
              <w:ind w:right="33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top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1"/>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2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(1,798)</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2,035</w:t>
            </w: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2,882</w:t>
            </w: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ind w:left="66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4,917</w:t>
            </w:r>
          </w:p>
        </w:tc>
        <w:tc>
          <w:tcPr>
            <w:tcW w:w="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638"/>
        </w:trPr>
        <w:tc>
          <w:tcPr>
            <w:tcW w:w="508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5. Property, Equipment and Software</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6660" w:type="dxa"/>
            <w:vAlign w:val="bottom"/>
            <w:gridSpan w:val="4"/>
          </w:tcPr>
          <w:p>
            <w:pPr>
              <w:ind w:left="620"/>
              <w:spacing w:after="0"/>
              <w:rPr>
                <w:sz w:val="20"/>
                <w:szCs w:val="20"/>
                <w:color w:val="auto"/>
              </w:rPr>
            </w:pPr>
            <w:r>
              <w:rPr>
                <w:rFonts w:ascii="Times New Roman" w:cs="Times New Roman" w:eastAsia="Times New Roman" w:hAnsi="Times New Roman"/>
                <w:sz w:val="17"/>
                <w:szCs w:val="17"/>
                <w:color w:val="auto"/>
              </w:rPr>
              <w:t>Property, equipment and software consists of the following (in thousands):</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60" w:type="dxa"/>
            <w:vAlign w:val="bottom"/>
            <w:tcBorders>
              <w:bottom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4"/>
        </w:trPr>
        <w:tc>
          <w:tcPr>
            <w:tcW w:w="508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20" w:type="dxa"/>
            <w:vAlign w:val="bottom"/>
            <w:tcBorders>
              <w:bottom w:val="single" w:sz="8" w:color="auto"/>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353"/>
              <w:spacing w:after="0"/>
              <w:rPr>
                <w:sz w:val="20"/>
                <w:szCs w:val="20"/>
                <w:color w:val="auto"/>
              </w:rPr>
            </w:pPr>
            <w:r>
              <w:rPr>
                <w:rFonts w:ascii="Times New Roman" w:cs="Times New Roman" w:eastAsia="Times New Roman" w:hAnsi="Times New Roman"/>
                <w:sz w:val="17"/>
                <w:szCs w:val="17"/>
                <w:b w:val="1"/>
                <w:bCs w:val="1"/>
                <w:color w:val="auto"/>
                <w:w w:val="99"/>
              </w:rPr>
              <w:t>2023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Computer equipment</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3,661</w:t>
            </w: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Software</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10,926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Furniture and office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697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Motor vehicles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50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Lab equipment</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46,140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46,452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Leasehold improvements</w:t>
            </w: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44,097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48,620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Construction in progress</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1,216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equipment and software</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106,787</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110,241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2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(88,687)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(88,394)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08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Property, equipment and software, net</w:t>
            </w: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18,100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21,847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0" w:lineRule="exact"/>
        <w:rPr>
          <w:sz w:val="20"/>
          <w:szCs w:val="20"/>
          <w:color w:val="auto"/>
        </w:rPr>
      </w:pPr>
    </w:p>
    <w:p>
      <w:pPr>
        <w:ind w:right="280" w:firstLine="625"/>
        <w:spacing w:after="0" w:line="294" w:lineRule="auto"/>
        <w:rPr>
          <w:sz w:val="20"/>
          <w:szCs w:val="20"/>
          <w:color w:val="auto"/>
        </w:rPr>
      </w:pPr>
      <w:r>
        <w:rPr>
          <w:rFonts w:ascii="Times New Roman" w:cs="Times New Roman" w:eastAsia="Times New Roman" w:hAnsi="Times New Roman"/>
          <w:sz w:val="17"/>
          <w:szCs w:val="17"/>
          <w:color w:val="auto"/>
        </w:rPr>
        <w:t>Depreciation and amortization expense related to property, equipment and software for the years ended December 31, 2024, 2023 and 2022 was $7.5 million, $9.6 million and $11.9 million, respectively.</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Commitments and Contingencies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Leases</w:t>
      </w:r>
    </w:p>
    <w:p>
      <w:pPr>
        <w:spacing w:after="0" w:line="186" w:lineRule="exact"/>
        <w:rPr>
          <w:sz w:val="20"/>
          <w:szCs w:val="20"/>
          <w:color w:val="auto"/>
        </w:rPr>
      </w:pPr>
    </w:p>
    <w:p>
      <w:pPr>
        <w:ind w:right="20" w:firstLine="625"/>
        <w:spacing w:after="0" w:line="268" w:lineRule="auto"/>
        <w:rPr>
          <w:sz w:val="20"/>
          <w:szCs w:val="20"/>
          <w:color w:val="auto"/>
        </w:rPr>
      </w:pPr>
      <w:r>
        <w:rPr>
          <w:rFonts w:ascii="Times New Roman" w:cs="Times New Roman" w:eastAsia="Times New Roman" w:hAnsi="Times New Roman"/>
          <w:sz w:val="17"/>
          <w:szCs w:val="17"/>
          <w:color w:val="252525"/>
        </w:rPr>
        <w:t>The Company has non-cancelable operating leases for manufacturing, laboratory, office and warehouse space in Maryland. The Company’s leases each have one or more five-year options to renew</w:t>
      </w:r>
      <w:r>
        <w:rPr>
          <w:rFonts w:ascii="Times New Roman" w:cs="Times New Roman" w:eastAsia="Times New Roman" w:hAnsi="Times New Roman"/>
          <w:sz w:val="17"/>
          <w:szCs w:val="17"/>
          <w:color w:val="000000"/>
        </w:rPr>
        <w:t>. In October 2024, the Company amended the existing lease for one of its laboratory spaces to extend the lease term</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through 2029 in exchange for certain concessions from the lessor. This amendment was accounted for as a lease modification, and the right-of-use asset and lease liability were remeasured at the modification date, resulting in an increase to both balances of approximately $3.0 million.</w:t>
      </w:r>
    </w:p>
    <w:p>
      <w:pPr>
        <w:spacing w:after="0" w:line="1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presents supplemental balance sheet information related to operating leases: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3960" w:type="dxa"/>
            <w:vAlign w:val="bottom"/>
          </w:tcPr>
          <w:p>
            <w:pPr>
              <w:spacing w:after="0"/>
              <w:rPr>
                <w:sz w:val="19"/>
                <w:szCs w:val="19"/>
                <w:color w:val="auto"/>
              </w:rPr>
            </w:pPr>
          </w:p>
        </w:tc>
        <w:tc>
          <w:tcPr>
            <w:tcW w:w="1960" w:type="dxa"/>
            <w:vAlign w:val="bottom"/>
            <w:tcBorders>
              <w:bottom w:val="single" w:sz="8" w:color="auto"/>
            </w:tcBorders>
            <w:gridSpan w:val="3"/>
          </w:tcPr>
          <w:p>
            <w:pPr>
              <w:ind w:left="920"/>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80" w:type="dxa"/>
            <w:vAlign w:val="bottom"/>
            <w:tcBorders>
              <w:bottom w:val="single" w:sz="8" w:color="auto"/>
            </w:tcBorders>
          </w:tcPr>
          <w:p>
            <w:pPr>
              <w:spacing w:after="0"/>
              <w:rPr>
                <w:sz w:val="19"/>
                <w:szCs w:val="19"/>
                <w:color w:val="auto"/>
              </w:rPr>
            </w:pPr>
          </w:p>
        </w:tc>
      </w:tr>
      <w:tr>
        <w:trPr>
          <w:trHeight w:val="214"/>
        </w:trPr>
        <w:tc>
          <w:tcPr>
            <w:tcW w:w="4440" w:type="dxa"/>
            <w:vAlign w:val="bottom"/>
            <w:tcBorders>
              <w:bottom w:val="single" w:sz="8" w:color="CCEEFF"/>
            </w:tcBorders>
          </w:tcPr>
          <w:p>
            <w:pPr>
              <w:spacing w:after="0"/>
              <w:rPr>
                <w:sz w:val="18"/>
                <w:szCs w:val="18"/>
                <w:color w:val="auto"/>
              </w:rPr>
            </w:pPr>
          </w:p>
        </w:tc>
        <w:tc>
          <w:tcPr>
            <w:tcW w:w="3960" w:type="dxa"/>
            <w:vAlign w:val="bottom"/>
            <w:tcBorders>
              <w:bottom w:val="single" w:sz="8" w:color="CCEEFF"/>
            </w:tcBorders>
          </w:tcPr>
          <w:p>
            <w:pPr>
              <w:spacing w:after="0"/>
              <w:rPr>
                <w:sz w:val="18"/>
                <w:szCs w:val="18"/>
                <w:color w:val="auto"/>
              </w:rPr>
            </w:pPr>
          </w:p>
        </w:tc>
        <w:tc>
          <w:tcPr>
            <w:tcW w:w="13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rPr>
              <w:t>2024</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27"/>
        </w:trPr>
        <w:tc>
          <w:tcPr>
            <w:tcW w:w="4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Weighted-average remaining lease term (in years)</w:t>
            </w:r>
          </w:p>
        </w:tc>
        <w:tc>
          <w:tcPr>
            <w:tcW w:w="5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r>
      <w:tr>
        <w:trPr>
          <w:trHeight w:val="227"/>
        </w:trPr>
        <w:tc>
          <w:tcPr>
            <w:tcW w:w="4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discount rate</w:t>
            </w:r>
          </w:p>
        </w:tc>
        <w:tc>
          <w:tcPr>
            <w:tcW w:w="5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12.0 %</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12.0 %</w:t>
            </w:r>
          </w:p>
        </w:tc>
      </w:tr>
      <w:tr>
        <w:trPr>
          <w:trHeight w:val="815"/>
        </w:trPr>
        <w:tc>
          <w:tcPr>
            <w:tcW w:w="4440" w:type="dxa"/>
            <w:vAlign w:val="bottom"/>
          </w:tcPr>
          <w:p>
            <w:pPr>
              <w:spacing w:after="0"/>
              <w:rPr>
                <w:sz w:val="24"/>
                <w:szCs w:val="24"/>
                <w:color w:val="auto"/>
              </w:rPr>
            </w:pPr>
          </w:p>
        </w:tc>
        <w:tc>
          <w:tcPr>
            <w:tcW w:w="5920" w:type="dxa"/>
            <w:vAlign w:val="bottom"/>
            <w:gridSpan w:val="4"/>
          </w:tcPr>
          <w:p>
            <w:pPr>
              <w:ind w:left="980"/>
              <w:spacing w:after="0"/>
              <w:rPr>
                <w:sz w:val="20"/>
                <w:szCs w:val="20"/>
                <w:color w:val="auto"/>
              </w:rPr>
            </w:pPr>
            <w:r>
              <w:rPr>
                <w:rFonts w:ascii="Times New Roman" w:cs="Times New Roman" w:eastAsia="Times New Roman" w:hAnsi="Times New Roman"/>
                <w:sz w:val="17"/>
                <w:szCs w:val="17"/>
                <w:color w:val="auto"/>
              </w:rPr>
              <w:t>F - 17</w:t>
            </w:r>
          </w:p>
        </w:tc>
        <w:tc>
          <w:tcPr>
            <w:tcW w:w="880" w:type="dxa"/>
            <w:vAlign w:val="bottom"/>
          </w:tcPr>
          <w:p>
            <w:pPr>
              <w:spacing w:after="0"/>
              <w:rPr>
                <w:sz w:val="24"/>
                <w:szCs w:val="24"/>
                <w:color w:val="auto"/>
              </w:rPr>
            </w:pPr>
          </w:p>
        </w:tc>
      </w:tr>
      <w:tr>
        <w:trPr>
          <w:trHeight w:val="110"/>
        </w:trPr>
        <w:tc>
          <w:tcPr>
            <w:tcW w:w="4440" w:type="dxa"/>
            <w:vAlign w:val="bottom"/>
            <w:tcBorders>
              <w:bottom w:val="single" w:sz="8" w:color="9A9A9A"/>
            </w:tcBorders>
          </w:tcPr>
          <w:p>
            <w:pPr>
              <w:spacing w:after="0"/>
              <w:rPr>
                <w:sz w:val="9"/>
                <w:szCs w:val="9"/>
                <w:color w:val="auto"/>
              </w:rPr>
            </w:pPr>
          </w:p>
        </w:tc>
        <w:tc>
          <w:tcPr>
            <w:tcW w:w="39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50" w:right="339" w:bottom="1440" w:gutter="0" w:footer="0" w:header="0"/>
        </w:sectPr>
      </w:pPr>
    </w:p>
    <w:bookmarkStart w:id="96" w:name="page97"/>
    <w:bookmarkEnd w:id="96"/>
    <w:p>
      <w:pPr>
        <w:ind w:right="700" w:firstLine="625"/>
        <w:spacing w:after="0" w:line="294" w:lineRule="auto"/>
        <w:rPr>
          <w:sz w:val="20"/>
          <w:szCs w:val="20"/>
          <w:color w:val="auto"/>
        </w:rPr>
      </w:pPr>
      <w:r>
        <w:rPr>
          <w:rFonts w:ascii="Times New Roman" w:cs="Times New Roman" w:eastAsia="Times New Roman" w:hAnsi="Times New Roman"/>
          <w:sz w:val="17"/>
          <w:szCs w:val="17"/>
          <w:color w:val="252525"/>
        </w:rPr>
        <w:t xml:space="preserve">During the years ended December 31, 2024 and </w:t>
      </w:r>
      <w:r>
        <w:rPr>
          <w:rFonts w:ascii="Times New Roman" w:cs="Times New Roman" w:eastAsia="Times New Roman" w:hAnsi="Times New Roman"/>
          <w:sz w:val="17"/>
          <w:szCs w:val="17"/>
          <w:color w:val="000000"/>
        </w:rPr>
        <w:t>2023, t</w:t>
      </w:r>
      <w:r>
        <w:rPr>
          <w:rFonts w:ascii="Times New Roman" w:cs="Times New Roman" w:eastAsia="Times New Roman" w:hAnsi="Times New Roman"/>
          <w:sz w:val="17"/>
          <w:szCs w:val="17"/>
          <w:color w:val="252525"/>
        </w:rPr>
        <w:t xml:space="preserve">he Company made cash payments for operating leases of $3.8 million and $5.9 million, respectively. As of December 31, 2024 and </w:t>
      </w:r>
      <w:r>
        <w:rPr>
          <w:rFonts w:ascii="Times New Roman" w:cs="Times New Roman" w:eastAsia="Times New Roman" w:hAnsi="Times New Roman"/>
          <w:sz w:val="17"/>
          <w:szCs w:val="17"/>
          <w:color w:val="000000"/>
        </w:rPr>
        <w:t>2023,</w:t>
      </w:r>
      <w:r>
        <w:rPr>
          <w:rFonts w:ascii="Times New Roman" w:cs="Times New Roman" w:eastAsia="Times New Roman" w:hAnsi="Times New Roman"/>
          <w:sz w:val="17"/>
          <w:szCs w:val="17"/>
          <w:color w:val="252525"/>
        </w:rPr>
        <w:t xml:space="preserve"> the Company’s ROU assets were valued at $24.5 million and $23.8 million,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8680" w:type="dxa"/>
            <w:vAlign w:val="bottom"/>
          </w:tcPr>
          <w:p>
            <w:pPr>
              <w:ind w:left="620"/>
              <w:spacing w:after="0"/>
              <w:rPr>
                <w:sz w:val="20"/>
                <w:szCs w:val="20"/>
                <w:color w:val="auto"/>
              </w:rPr>
            </w:pPr>
            <w:r>
              <w:rPr>
                <w:rFonts w:ascii="Times New Roman" w:cs="Times New Roman" w:eastAsia="Times New Roman" w:hAnsi="Times New Roman"/>
                <w:sz w:val="17"/>
                <w:szCs w:val="17"/>
                <w:color w:val="auto"/>
              </w:rPr>
              <w:t xml:space="preserve">The components of lease cost for the years ended </w:t>
            </w:r>
            <w:r>
              <w:rPr>
                <w:rFonts w:ascii="Times New Roman" w:cs="Times New Roman" w:eastAsia="Times New Roman" w:hAnsi="Times New Roman"/>
                <w:sz w:val="17"/>
                <w:szCs w:val="17"/>
                <w:color w:val="252525"/>
              </w:rPr>
              <w:t>December 31, 2024</w:t>
            </w:r>
            <w:r>
              <w:rPr>
                <w:rFonts w:ascii="Times New Roman" w:cs="Times New Roman" w:eastAsia="Times New Roman" w:hAnsi="Times New Roman"/>
                <w:sz w:val="17"/>
                <w:szCs w:val="17"/>
                <w:color w:val="auto"/>
              </w:rPr>
              <w:t xml:space="preserve"> and 2023 were as follows (in thousands):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48"/>
        </w:trPr>
        <w:tc>
          <w:tcPr>
            <w:tcW w:w="868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228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7"/>
                <w:szCs w:val="17"/>
                <w:b w:val="1"/>
                <w:bCs w:val="1"/>
                <w:color w:val="auto"/>
              </w:rPr>
              <w:t>December 31,</w:t>
            </w:r>
          </w:p>
        </w:tc>
      </w:tr>
      <w:tr>
        <w:trPr>
          <w:trHeight w:val="214"/>
        </w:trPr>
        <w:tc>
          <w:tcPr>
            <w:tcW w:w="86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7"/>
                <w:szCs w:val="17"/>
                <w:b w:val="1"/>
                <w:bCs w:val="1"/>
                <w:color w:val="auto"/>
              </w:rPr>
              <w:t>2024</w:t>
            </w:r>
          </w:p>
        </w:tc>
        <w:tc>
          <w:tcPr>
            <w:tcW w:w="6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7"/>
                <w:szCs w:val="17"/>
                <w:b w:val="1"/>
                <w:bCs w:val="1"/>
                <w:color w:val="auto"/>
              </w:rPr>
              <w:t>2023</w:t>
            </w:r>
          </w:p>
        </w:tc>
      </w:tr>
      <w:tr>
        <w:trPr>
          <w:trHeight w:val="227"/>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w w:val="99"/>
              </w:rPr>
              <w:t>6,610</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7,459</w:t>
            </w:r>
          </w:p>
        </w:tc>
      </w:tr>
      <w:tr>
        <w:trPr>
          <w:trHeight w:val="221"/>
        </w:trPr>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w:t>
            </w:r>
          </w:p>
        </w:tc>
        <w:tc>
          <w:tcPr>
            <w:tcW w:w="280" w:type="dxa"/>
            <w:vAlign w:val="bottom"/>
          </w:tcPr>
          <w:p>
            <w:pPr>
              <w:spacing w:after="0"/>
              <w:rPr>
                <w:sz w:val="19"/>
                <w:szCs w:val="19"/>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7"/>
                <w:szCs w:val="17"/>
                <w:color w:val="auto"/>
                <w:w w:val="99"/>
              </w:rPr>
              <w:t>1,114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1,316</w:t>
            </w:r>
          </w:p>
        </w:tc>
      </w:tr>
      <w:tr>
        <w:trPr>
          <w:trHeight w:val="247"/>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gridSpan w:val="2"/>
            <w:shd w:val="clear" w:color="auto" w:fill="CCEEFF"/>
          </w:tcPr>
          <w:p>
            <w:pPr>
              <w:ind w:left="420"/>
              <w:spacing w:after="0"/>
              <w:rPr>
                <w:sz w:val="20"/>
                <w:szCs w:val="20"/>
                <w:color w:val="auto"/>
              </w:rPr>
            </w:pPr>
            <w:r>
              <w:rPr>
                <w:rFonts w:ascii="Times New Roman" w:cs="Times New Roman" w:eastAsia="Times New Roman" w:hAnsi="Times New Roman"/>
                <w:sz w:val="17"/>
                <w:szCs w:val="17"/>
                <w:color w:val="auto"/>
              </w:rPr>
              <w:t>(1,145)</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r>
      <w:tr>
        <w:trPr>
          <w:trHeight w:val="214"/>
        </w:trPr>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lease cost</w:t>
            </w: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0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w w:val="99"/>
              </w:rPr>
              <w:t>6,579</w:t>
            </w:r>
          </w:p>
        </w:tc>
        <w:tc>
          <w:tcPr>
            <w:tcW w:w="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7,666</w:t>
            </w:r>
          </w:p>
        </w:tc>
      </w:tr>
      <w:tr>
        <w:trPr>
          <w:trHeight w:val="20"/>
        </w:trPr>
        <w:tc>
          <w:tcPr>
            <w:tcW w:w="8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448"/>
        </w:trPr>
        <w:tc>
          <w:tcPr>
            <w:tcW w:w="896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 xml:space="preserve">As of </w:t>
            </w:r>
            <w:r>
              <w:rPr>
                <w:rFonts w:ascii="Times New Roman" w:cs="Times New Roman" w:eastAsia="Times New Roman" w:hAnsi="Times New Roman"/>
                <w:sz w:val="17"/>
                <w:szCs w:val="17"/>
                <w:color w:val="252525"/>
              </w:rPr>
              <w:t>December 31, 2024</w:t>
            </w:r>
            <w:r>
              <w:rPr>
                <w:rFonts w:ascii="Times New Roman" w:cs="Times New Roman" w:eastAsia="Times New Roman" w:hAnsi="Times New Roman"/>
                <w:sz w:val="17"/>
                <w:szCs w:val="17"/>
                <w:color w:val="auto"/>
              </w:rPr>
              <w:t>, the maturities of the Company’s operating lease liabilities were as follows (in thousands):</w:t>
            </w: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82"/>
        </w:trPr>
        <w:tc>
          <w:tcPr>
            <w:tcW w:w="86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221"/>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28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ind w:left="900"/>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5,185</w:t>
            </w:r>
          </w:p>
        </w:tc>
      </w:tr>
      <w:tr>
        <w:trPr>
          <w:trHeight w:val="221"/>
        </w:trPr>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5,507</w:t>
            </w:r>
          </w:p>
        </w:tc>
      </w:tr>
      <w:tr>
        <w:trPr>
          <w:trHeight w:val="221"/>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6,258</w:t>
            </w:r>
          </w:p>
        </w:tc>
      </w:tr>
      <w:tr>
        <w:trPr>
          <w:trHeight w:val="221"/>
        </w:trPr>
        <w:tc>
          <w:tcPr>
            <w:tcW w:w="86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2028</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7,413</w:t>
            </w:r>
          </w:p>
        </w:tc>
      </w:tr>
      <w:tr>
        <w:trPr>
          <w:trHeight w:val="221"/>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2029</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6,346</w:t>
            </w:r>
          </w:p>
        </w:tc>
      </w:tr>
      <w:tr>
        <w:trPr>
          <w:trHeight w:val="221"/>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Thereafter</w:t>
            </w: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39,773</w:t>
            </w:r>
          </w:p>
        </w:tc>
      </w:tr>
      <w:tr>
        <w:trPr>
          <w:trHeight w:val="214"/>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payments</w:t>
            </w: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70,482</w:t>
            </w:r>
          </w:p>
        </w:tc>
      </w:tr>
      <w:tr>
        <w:trPr>
          <w:trHeight w:val="221"/>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imputed interest</w:t>
            </w:r>
          </w:p>
        </w:tc>
        <w:tc>
          <w:tcPr>
            <w:tcW w:w="280" w:type="dxa"/>
            <w:vAlign w:val="bottom"/>
            <w:tcBorders>
              <w:bottom w:val="single" w:sz="8" w:color="CCEEFF"/>
            </w:tcBorders>
          </w:tcPr>
          <w:p>
            <w:pPr>
              <w:spacing w:after="0"/>
              <w:rPr>
                <w:sz w:val="19"/>
                <w:szCs w:val="19"/>
                <w:color w:val="auto"/>
              </w:rPr>
            </w:pPr>
          </w:p>
        </w:tc>
        <w:tc>
          <w:tcPr>
            <w:tcW w:w="90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(33,021)</w:t>
            </w:r>
          </w:p>
        </w:tc>
      </w:tr>
      <w:tr>
        <w:trPr>
          <w:trHeight w:val="239"/>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lease liabilities</w:t>
            </w:r>
          </w:p>
        </w:tc>
        <w:tc>
          <w:tcPr>
            <w:tcW w:w="2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8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37,461</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In-licensing arrangement</w:t>
      </w:r>
    </w:p>
    <w:p>
      <w:pPr>
        <w:spacing w:after="0" w:line="173" w:lineRule="exact"/>
        <w:rPr>
          <w:sz w:val="20"/>
          <w:szCs w:val="20"/>
          <w:color w:val="auto"/>
        </w:rPr>
      </w:pPr>
    </w:p>
    <w:p>
      <w:pPr>
        <w:ind w:firstLine="625"/>
        <w:spacing w:after="0" w:line="211" w:lineRule="exact"/>
        <w:rPr>
          <w:sz w:val="20"/>
          <w:szCs w:val="20"/>
          <w:color w:val="auto"/>
        </w:rPr>
      </w:pPr>
      <w:r>
        <w:rPr>
          <w:rFonts w:ascii="Times New Roman" w:cs="Times New Roman" w:eastAsia="Times New Roman" w:hAnsi="Times New Roman"/>
          <w:sz w:val="17"/>
          <w:szCs w:val="17"/>
          <w:color w:val="auto"/>
        </w:rPr>
        <w:t>In January 2022, the Company entered into a non-exclusive license agreement with Synaffix B.V., a Lonza company, (Synaffix) to develop, manufacture and commercialize up to three antibody-drug conjugate targets using Synaffix’s proprietary technology. The Company made an upfront payment to Synaffix upon contract execution. In March 2023, the Company and Synaffix amended the agreement, adding four additional targets. Assuming all seven targets are successfully developed and commercialized, the Company would be obligated to pay up to $2.8 billion for development, regulatory and sales milestones. Finally, pursuant to the terms of this license agreement, as amended, upon commencement of commercial sales of any products developed from these targets, the Company would be required to pay Synaffix tiered royalties in the low</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single digit percentages on net sales of the respective products. The Company may terminate this agreement at any time with 30 days’ notice to Synaffix. Amounts paid to Synaffix under this agreement are recorded as research and development expense in the consolidated statement of operations. The Company incurred $4.7 million, $2.8 million and $1.0 million in expense under this agreement during the years ended December 31, 2024, 2023 and 2022, respectively.</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Securities Litigation</w:t>
      </w:r>
    </w:p>
    <w:p>
      <w:pPr>
        <w:spacing w:after="0" w:line="173" w:lineRule="exact"/>
        <w:rPr>
          <w:sz w:val="20"/>
          <w:szCs w:val="20"/>
          <w:color w:val="auto"/>
        </w:rPr>
      </w:pPr>
    </w:p>
    <w:p>
      <w:pPr>
        <w:ind w:right="120" w:firstLine="625"/>
        <w:spacing w:after="0" w:line="264" w:lineRule="auto"/>
        <w:rPr>
          <w:sz w:val="20"/>
          <w:szCs w:val="20"/>
          <w:color w:val="auto"/>
        </w:rPr>
      </w:pPr>
      <w:r>
        <w:rPr>
          <w:rFonts w:ascii="Times New Roman" w:cs="Times New Roman" w:eastAsia="Times New Roman" w:hAnsi="Times New Roman"/>
          <w:sz w:val="17"/>
          <w:szCs w:val="17"/>
          <w:color w:val="auto"/>
        </w:rPr>
        <w:t>In July 2024, a putative securities class action suit, entitled Crain v. MacroGenics, Inc. (Case No. 24-cv-02184), was filed in the U.S. District Court for the District of Maryland against the Company and Scott Koenig, M.D., Ph.D., the Company’s President, Chief Executive Officer and a member of the Company’s Board of Directors, alleging violations of securities laws during 2024. The suit asserted certain claims under Section 10 and Rule 10b-5 of the Securities and Exchange Act of 1934 based on alleged misstatements or omissions concerning the Company's TAMARACK Phase 2 study of vobramitamab duocarmazine in patients with metastatic castration-resistant prostate cancer. On December 20, 2024, the District Court issued an Order dismissing the case, without prejudice.</w:t>
      </w:r>
    </w:p>
    <w:p>
      <w:pPr>
        <w:spacing w:after="0" w:line="331"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On December 9, 2024, a shareholder derivative suit, entitled Gregora v. Heiden et al. (Case No. 24-cv-03546), was filed in the U.S. District Court for the District of Maryland against certain of the Company’s officers and directors and naming the Company as a nominal defendant. The suit asserts certain claims under Section 10(b) and Rule 10b-5 of the Securities and Exchange Act of 1934 and for breach of fiduciary duty, aiding and abetting breach of fiduciary duty, unjust enrichment, and waste of corporate assets based on the same facts as the Securities Class Action. On March 10, 2025, the plaintiff filed a notice of voluntary dismissal.</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97" w:name="page98"/>
    <w:bookmarkEnd w:id="97"/>
    <w:p>
      <w:pPr>
        <w:jc w:val="both"/>
        <w:ind w:firstLine="625"/>
        <w:spacing w:after="0" w:line="274" w:lineRule="auto"/>
        <w:rPr>
          <w:sz w:val="20"/>
          <w:szCs w:val="20"/>
          <w:color w:val="auto"/>
        </w:rPr>
      </w:pPr>
      <w:r>
        <w:rPr>
          <w:rFonts w:ascii="Times New Roman" w:cs="Times New Roman" w:eastAsia="Times New Roman" w:hAnsi="Times New Roman"/>
          <w:sz w:val="17"/>
          <w:szCs w:val="17"/>
          <w:color w:val="auto"/>
        </w:rPr>
        <w:t>On December 11, 2024, a shareholder derivative suit, entitled Cottle v. MacroGenics, Inc., et al. (Case No. 8:24-cv-03578), was filed in the U.S. District Court for the District of Maryland against the same defendants and alleging similar claims as the Gregora derivative action. On March 20, 2025, the parties filed a stipulation of dismissal without prejudice.</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 Stockholders' Equity</w:t>
      </w:r>
    </w:p>
    <w:p>
      <w:pPr>
        <w:spacing w:after="0" w:line="171" w:lineRule="exact"/>
        <w:rPr>
          <w:sz w:val="20"/>
          <w:szCs w:val="20"/>
          <w:color w:val="auto"/>
        </w:rPr>
      </w:pPr>
    </w:p>
    <w:p>
      <w:pPr>
        <w:ind w:right="660" w:firstLine="625"/>
        <w:spacing w:after="0" w:line="274" w:lineRule="auto"/>
        <w:rPr>
          <w:sz w:val="20"/>
          <w:szCs w:val="20"/>
          <w:color w:val="auto"/>
        </w:rPr>
      </w:pPr>
      <w:r>
        <w:rPr>
          <w:rFonts w:ascii="Times New Roman" w:cs="Times New Roman" w:eastAsia="Times New Roman" w:hAnsi="Times New Roman"/>
          <w:sz w:val="17"/>
          <w:szCs w:val="17"/>
          <w:color w:val="auto"/>
        </w:rPr>
        <w:t>The Company's amended and restated certificate of incorporation authorizes 125,000,000 shares of common stock, and 5,000,000 shares of undesignated preferred stock, both with a par value of $0.01 per share. There were no shares of undesignated preferred stock issued or outstanding as of December 31, 2024 or 2023.</w:t>
      </w:r>
    </w:p>
    <w:p>
      <w:pPr>
        <w:spacing w:after="0" w:line="112" w:lineRule="exact"/>
        <w:rPr>
          <w:sz w:val="20"/>
          <w:szCs w:val="20"/>
          <w:color w:val="auto"/>
        </w:rPr>
      </w:pPr>
    </w:p>
    <w:p>
      <w:pPr>
        <w:ind w:right="240" w:firstLine="625"/>
        <w:spacing w:after="0" w:line="268" w:lineRule="auto"/>
        <w:rPr>
          <w:sz w:val="20"/>
          <w:szCs w:val="20"/>
          <w:color w:val="auto"/>
        </w:rPr>
      </w:pPr>
      <w:r>
        <w:rPr>
          <w:rFonts w:ascii="Times New Roman" w:cs="Times New Roman" w:eastAsia="Times New Roman" w:hAnsi="Times New Roman"/>
          <w:sz w:val="17"/>
          <w:szCs w:val="17"/>
          <w:color w:val="auto"/>
        </w:rPr>
        <w:t>In March 2023, the Company entered into a sales agreement with an agent to sell, from time to time, shares of its common stock having an aggregate sales price of up to $100.0 million through an “at the market offering” (ATM Offering) as defined in Rule 415 under the Securities Act of 1933, as amended. During the year ended December 31, 2023, the Company sold 95,000 shares of common stock at a weighted average price per share of $6.60, resulting in net proceeds of approximately $0.6 million, net of offering expenses. No shares were sold under the ATM offering during the year ended December 31,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Revenue</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Collaborative and Other Agreements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Incyte Corporation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Incyte License Agreement</w:t>
      </w:r>
    </w:p>
    <w:p>
      <w:pPr>
        <w:spacing w:after="0" w:line="171" w:lineRule="exact"/>
        <w:rPr>
          <w:sz w:val="20"/>
          <w:szCs w:val="20"/>
          <w:color w:val="auto"/>
        </w:rPr>
      </w:pPr>
    </w:p>
    <w:p>
      <w:pPr>
        <w:ind w:right="240" w:firstLine="625"/>
        <w:spacing w:after="0" w:line="260" w:lineRule="auto"/>
        <w:rPr>
          <w:sz w:val="20"/>
          <w:szCs w:val="20"/>
          <w:color w:val="auto"/>
        </w:rPr>
      </w:pPr>
      <w:r>
        <w:rPr>
          <w:rFonts w:ascii="Times New Roman" w:cs="Times New Roman" w:eastAsia="Times New Roman" w:hAnsi="Times New Roman"/>
          <w:sz w:val="17"/>
          <w:szCs w:val="17"/>
          <w:color w:val="auto"/>
        </w:rPr>
        <w:t>In 2017, the Company entered into an exclusive global collaboration and license agreement with Incyte, which was amended in March 2018, April 2022, July 2022, and July 2024, for retifanlimab, an investigational monoclonal antibody that inhibits PD-1 (Incyte License Agreement). Incyte has obtained exclusive worldwide rights for the development and commercialization of retifanlimab in all indications, while the Company retains the right to develop its pipeline assets in combination with retifanlimab. Under the terms of the Incyte License Agreement, Incyte paid the Company an upfront payment of $150.0 million in 2017. The Company manufactures a portion of Incyte’s global commercial supply of retifanlimab. In March 2023, the FDA approved Incyte's Biologics License Application (BLA) for ZYNYZ (retifanlimab-dlwr) for the treatment of adults with metastatic or recurrent locally advanced Merkel cell carcinoma. Incyte has stated it is pursuing development of retifanlimab in potentially registration-enabling studies, including in patients with squamous cell carcinoma of the anal canal, MSI-high endometrial cancer and non-small cell lung cancer. Incyte is also pursuing development of retifanlimab in combination with multiple product candidates from its pipeline.</w:t>
      </w:r>
    </w:p>
    <w:p>
      <w:pPr>
        <w:spacing w:after="0" w:line="74" w:lineRule="exact"/>
        <w:rPr>
          <w:sz w:val="20"/>
          <w:szCs w:val="20"/>
          <w:color w:val="auto"/>
        </w:rPr>
      </w:pPr>
    </w:p>
    <w:p>
      <w:pPr>
        <w:ind w:firstLine="625"/>
        <w:spacing w:after="0" w:line="258" w:lineRule="auto"/>
        <w:rPr>
          <w:sz w:val="20"/>
          <w:szCs w:val="20"/>
          <w:color w:val="auto"/>
        </w:rPr>
      </w:pPr>
      <w:r>
        <w:rPr>
          <w:rFonts w:ascii="Times New Roman" w:cs="Times New Roman" w:eastAsia="Times New Roman" w:hAnsi="Times New Roman"/>
          <w:sz w:val="17"/>
          <w:szCs w:val="17"/>
          <w:color w:val="auto"/>
        </w:rPr>
        <w:t xml:space="preserve">Under the terms of the Incyte License Agreement, as amended, Incyte will lead global development of retifanlimab. From the inception of the Incyte License Agreement through </w:t>
      </w:r>
      <w:r>
        <w:rPr>
          <w:rFonts w:ascii="Times New Roman" w:cs="Times New Roman" w:eastAsia="Times New Roman" w:hAnsi="Times New Roman"/>
          <w:sz w:val="17"/>
          <w:szCs w:val="17"/>
          <w:color w:val="252525"/>
        </w:rPr>
        <w:t>December 31, 2024</w:t>
      </w:r>
      <w:r>
        <w:rPr>
          <w:rFonts w:ascii="Times New Roman" w:cs="Times New Roman" w:eastAsia="Times New Roman" w:hAnsi="Times New Roman"/>
          <w:sz w:val="17"/>
          <w:szCs w:val="17"/>
          <w:color w:val="auto"/>
        </w:rPr>
        <w:t>, the Company has recognized $215.0 million for certain development and regulatory milestones under the Incyte License Agreement, including $15.0 million received following the FDA approval of ZYNYZ and $100.0 million received in August 2024 upon entering into an amendment to the Incyte License Agreement pursuant to which certain development milestones were deemed to have been met. Assuming successful development and commercialization by Incyte in multiple indications, the Company is eligible to receive up to an additional $210.0 million in development and regulatory milestones, and up to $330.0 million in commercial milestones. The Company is also eligible to receive tiered royalties of 15% to 24% on global net sales. The Company retains the right to develop its pipeline assets in combination with retifanlimab, with Incyte commercializing retifanlimab and the Company commercializing its asset(s), if any such potential combinations are approved. In addition, the Company retains the right to manufacture a portion of both companies' global commercial supply needs of retifanlimab, subject to the separate commercial supply agreement.</w:t>
      </w:r>
    </w:p>
    <w:p>
      <w:pPr>
        <w:spacing w:after="0" w:line="2" w:lineRule="exact"/>
        <w:rPr>
          <w:sz w:val="20"/>
          <w:szCs w:val="20"/>
          <w:color w:val="auto"/>
        </w:rPr>
      </w:pPr>
    </w:p>
    <w:p>
      <w:pPr>
        <w:ind w:right="80" w:firstLine="729"/>
        <w:spacing w:after="0" w:line="258" w:lineRule="auto"/>
        <w:rPr>
          <w:sz w:val="20"/>
          <w:szCs w:val="20"/>
          <w:color w:val="auto"/>
        </w:rPr>
      </w:pPr>
      <w:r>
        <w:rPr>
          <w:rFonts w:ascii="Times New Roman" w:cs="Times New Roman" w:eastAsia="Times New Roman" w:hAnsi="Times New Roman"/>
          <w:sz w:val="17"/>
          <w:szCs w:val="17"/>
          <w:color w:val="auto"/>
        </w:rPr>
        <w:t>The Company evaluated the Incyte License Agreement under the provisions of ASC 606 at inception and identified the following two performance obligations under the agreement: (i) the license of retifanlimab and (ii) the performance of certain clinical activities through a brief technology transfer period. The Company determined that the license and clinical activities are separate performance obligations because they are capable of being distinct, and are distinct in the context of the contract. The license has standalone functionality as it is sublicensable, Incyte has significant capabilities in performing clinical trials, and Incyte is capable of performing these activities without the Company's involvement; the Company performed the activities during the transfer period as a matter of convenience. The Company determined that the transaction price of the Incyte License Agreement at inception was $154.0 million, consisting of the consideration to which the Company was entitled in exchange for the license and an estimate of the consideration for clinical activities to be performed. The transaction price was allocated to each performance obligation based on their relative standalone selling price. The standalone selling price of the</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98" w:right="359" w:bottom="1440" w:gutter="0" w:footer="0" w:header="0"/>
        </w:sectPr>
      </w:pPr>
    </w:p>
    <w:bookmarkStart w:id="98" w:name="page99"/>
    <w:bookmarkEnd w:id="98"/>
    <w:p>
      <w:pPr>
        <w:spacing w:after="0" w:line="259" w:lineRule="auto"/>
        <w:rPr>
          <w:sz w:val="20"/>
          <w:szCs w:val="20"/>
          <w:color w:val="auto"/>
        </w:rPr>
      </w:pPr>
      <w:r>
        <w:rPr>
          <w:rFonts w:ascii="Times New Roman" w:cs="Times New Roman" w:eastAsia="Times New Roman" w:hAnsi="Times New Roman"/>
          <w:sz w:val="17"/>
          <w:szCs w:val="17"/>
          <w:color w:val="auto"/>
        </w:rPr>
        <w:t xml:space="preserve">license was determined using the adjusted market assessment approach considering similar collaboration and license agreements. The standalone selling price for the agreed-upon clinical activities to be performed was determined using the expected cost approach based on similar arrangements the Company has with other parties. The potential development and regulatory milestone payments are </w:t>
      </w:r>
      <w:r>
        <w:rPr>
          <w:rFonts w:ascii="Times New Roman" w:cs="Times New Roman" w:eastAsia="Times New Roman" w:hAnsi="Times New Roman"/>
          <w:sz w:val="17"/>
          <w:szCs w:val="17"/>
          <w:color w:val="252525"/>
        </w:rPr>
        <w:t>fully constrained until the Company concludes that achievement of the milestone 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 xml:space="preserve">probable and that recognition of revenue related to the milestone will not result in a significant reversal in amounts recognized in future periods, </w:t>
      </w:r>
      <w:r>
        <w:rPr>
          <w:rFonts w:ascii="Times New Roman" w:cs="Times New Roman" w:eastAsia="Times New Roman" w:hAnsi="Times New Roman"/>
          <w:sz w:val="17"/>
          <w:szCs w:val="17"/>
          <w:color w:val="000000"/>
        </w:rPr>
        <w:t>and as such have</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 xml:space="preserve">been excluded from the transaction price. Any consideration related to sales-based milestones and royalties will be recognized when the related sales occur, as they were determined to relate predominantly to the license granted to Incyte and, therefore, have also been excluded from the transaction price. The Company re-assesses the transaction price in each reporting period and when events whose outcomes are resolved or other changes in circumstances occur. In July 2024, the Company and Incyte executed Amendment No. 4 to the Incyte License Agreement pursuant to which certain development milestones were deemed to have been met. The Company evaluated the amendment as a contract modification under the provisions of ASC 606 which resulted in $100.0 million of revenue being recognized during the year ended December 31, 2024. </w:t>
      </w:r>
      <w:r>
        <w:rPr>
          <w:rFonts w:ascii="Times New Roman" w:cs="Times New Roman" w:eastAsia="Times New Roman" w:hAnsi="Times New Roman"/>
          <w:sz w:val="17"/>
          <w:szCs w:val="17"/>
          <w:color w:val="252525"/>
        </w:rPr>
        <w:t>From 2018 through December 31, 2024</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52525"/>
        </w:rPr>
        <w:t>it became probable that a significant reversal of cumulative</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color w:val="252525"/>
        </w:rPr>
        <w:t xml:space="preserve">revenue would not occur for development milestones totaling </w:t>
      </w:r>
      <w:r>
        <w:rPr>
          <w:rFonts w:ascii="Times New Roman" w:cs="Times New Roman" w:eastAsia="Times New Roman" w:hAnsi="Times New Roman"/>
          <w:sz w:val="17"/>
          <w:szCs w:val="17"/>
          <w:color w:val="000000"/>
        </w:rPr>
        <w:t>$215.0 million</w:t>
      </w:r>
      <w:r>
        <w:rPr>
          <w:rFonts w:ascii="Times New Roman" w:cs="Times New Roman" w:eastAsia="Times New Roman" w:hAnsi="Times New Roman"/>
          <w:sz w:val="17"/>
          <w:szCs w:val="17"/>
          <w:color w:val="252525"/>
        </w:rPr>
        <w:t xml:space="preserve"> related to clinical and regulatory activities related to the further advancement of retifanlimab. </w:t>
      </w:r>
      <w:r>
        <w:rPr>
          <w:rFonts w:ascii="Times New Roman" w:cs="Times New Roman" w:eastAsia="Times New Roman" w:hAnsi="Times New Roman"/>
          <w:sz w:val="17"/>
          <w:szCs w:val="17"/>
          <w:color w:val="000000"/>
        </w:rPr>
        <w:t>Therefore</w:t>
      </w:r>
      <w:r>
        <w:rPr>
          <w:rFonts w:ascii="Times New Roman" w:cs="Times New Roman" w:eastAsia="Times New Roman" w:hAnsi="Times New Roman"/>
          <w:sz w:val="17"/>
          <w:szCs w:val="17"/>
          <w:color w:val="252525"/>
        </w:rPr>
        <w:t xml:space="preserve"> the associated consideration was added to the estimated transaction price and was recognized as revenue.</w:t>
      </w:r>
    </w:p>
    <w:p>
      <w:pPr>
        <w:spacing w:after="0" w:line="125" w:lineRule="exact"/>
        <w:rPr>
          <w:sz w:val="20"/>
          <w:szCs w:val="20"/>
          <w:color w:val="auto"/>
        </w:rPr>
      </w:pPr>
    </w:p>
    <w:p>
      <w:pPr>
        <w:ind w:firstLine="729"/>
        <w:spacing w:after="0" w:line="268" w:lineRule="auto"/>
        <w:rPr>
          <w:sz w:val="20"/>
          <w:szCs w:val="20"/>
          <w:color w:val="auto"/>
        </w:rPr>
      </w:pPr>
      <w:r>
        <w:rPr>
          <w:rFonts w:ascii="Times New Roman" w:cs="Times New Roman" w:eastAsia="Times New Roman" w:hAnsi="Times New Roman"/>
          <w:sz w:val="17"/>
          <w:szCs w:val="17"/>
          <w:color w:val="252525"/>
        </w:rPr>
        <w:t xml:space="preserve">The Company recognized the </w:t>
      </w:r>
      <w:r>
        <w:rPr>
          <w:rFonts w:ascii="Times New Roman" w:cs="Times New Roman" w:eastAsia="Times New Roman" w:hAnsi="Times New Roman"/>
          <w:sz w:val="17"/>
          <w:szCs w:val="17"/>
          <w:color w:val="000000"/>
        </w:rPr>
        <w:t>$150.0 million</w:t>
      </w:r>
      <w:r>
        <w:rPr>
          <w:rFonts w:ascii="Times New Roman" w:cs="Times New Roman" w:eastAsia="Times New Roman" w:hAnsi="Times New Roman"/>
          <w:sz w:val="17"/>
          <w:szCs w:val="17"/>
          <w:color w:val="252525"/>
        </w:rPr>
        <w:t xml:space="preserve"> allocated to the </w:t>
      </w:r>
      <w:r>
        <w:rPr>
          <w:rFonts w:ascii="Times New Roman" w:cs="Times New Roman" w:eastAsia="Times New Roman" w:hAnsi="Times New Roman"/>
          <w:sz w:val="17"/>
          <w:szCs w:val="17"/>
          <w:color w:val="000000"/>
        </w:rPr>
        <w:t>license when it satisfied its performance obligation and transferred the license to Incyte in</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2017. The $4.0 million allocated to the clinical activities was recognized ratably as services were performed during 2017 and 2018. The Company recognized revenue of $100.6 million, $15.0 million and $30.0 million under the Incyte License Agreement during the years ended December 31, 2024, 2023 and 2022, respectively. The revenue is primarily related to development milestones and includes royalties on ZYNYZ sales beginning in late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Incyte Clinical Supply Agreement</w:t>
      </w:r>
    </w:p>
    <w:p>
      <w:pPr>
        <w:spacing w:after="0" w:line="171" w:lineRule="exact"/>
        <w:rPr>
          <w:sz w:val="20"/>
          <w:szCs w:val="20"/>
          <w:color w:val="auto"/>
        </w:rPr>
      </w:pPr>
    </w:p>
    <w:p>
      <w:pPr>
        <w:ind w:right="20" w:firstLine="729"/>
        <w:spacing w:after="0" w:line="261" w:lineRule="auto"/>
        <w:rPr>
          <w:sz w:val="20"/>
          <w:szCs w:val="20"/>
          <w:color w:val="auto"/>
        </w:rPr>
      </w:pPr>
      <w:r>
        <w:rPr>
          <w:rFonts w:ascii="Times New Roman" w:cs="Times New Roman" w:eastAsia="Times New Roman" w:hAnsi="Times New Roman"/>
          <w:sz w:val="17"/>
          <w:szCs w:val="17"/>
          <w:color w:val="auto"/>
        </w:rPr>
        <w:t xml:space="preserve">In 2018, the Company entered into an agreement with Incyte, under which the Company is to perform development and manufacturing services for Incyte’s clinical needs of retifanlimab (Incyte Clinical Supply Agreement). The Company evaluated the Incyte Clinical Supply Agreement under ASC 606 and identified one performance obligation under the agreement: to perform services related to the development and manufacturing of the clinical supply of retifanlimab. The transaction price is based on the costs incurred to develop and manufacture drug product and drug substance,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hours expended) related to the manufacturing services. During the years ended </w:t>
      </w:r>
      <w:r>
        <w:rPr>
          <w:rFonts w:ascii="Times New Roman" w:cs="Times New Roman" w:eastAsia="Times New Roman" w:hAnsi="Times New Roman"/>
          <w:sz w:val="17"/>
          <w:szCs w:val="17"/>
          <w:color w:val="252525"/>
        </w:rPr>
        <w:t>December 31, 2024</w:t>
      </w:r>
      <w:r>
        <w:rPr>
          <w:rFonts w:ascii="Times New Roman" w:cs="Times New Roman" w:eastAsia="Times New Roman" w:hAnsi="Times New Roman"/>
          <w:sz w:val="17"/>
          <w:szCs w:val="17"/>
          <w:color w:val="auto"/>
        </w:rPr>
        <w:t>, 2023 and 2022, the Company recognized revenue of $0.2 million, $1.9 million and $0.7 million, respectively, for services performed under the Incyte Clinical Supply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Incyte Commercial Supply Agreement</w:t>
      </w:r>
    </w:p>
    <w:p>
      <w:pPr>
        <w:spacing w:after="0" w:line="171" w:lineRule="exact"/>
        <w:rPr>
          <w:sz w:val="20"/>
          <w:szCs w:val="20"/>
          <w:color w:val="auto"/>
        </w:rPr>
      </w:pPr>
    </w:p>
    <w:p>
      <w:pPr>
        <w:ind w:right="20" w:firstLine="729"/>
        <w:spacing w:after="0" w:line="260" w:lineRule="auto"/>
        <w:rPr>
          <w:sz w:val="20"/>
          <w:szCs w:val="20"/>
          <w:color w:val="auto"/>
        </w:rPr>
      </w:pPr>
      <w:r>
        <w:rPr>
          <w:rFonts w:ascii="Times New Roman" w:cs="Times New Roman" w:eastAsia="Times New Roman" w:hAnsi="Times New Roman"/>
          <w:sz w:val="17"/>
          <w:szCs w:val="17"/>
          <w:color w:val="auto"/>
        </w:rPr>
        <w:t xml:space="preserve">In 2020, the Company entered into an agreement with Incyte pursuant to which the Company is entitled to manufacture a portion of the global commercial supply needs for retifanlimab (Incyte Commercial Supply Agreement). Unless terminated earlier, the term of the Incyte Commercial Supply Agreement will expire upon the expiration of Incyte’s obligation to pay royalties under the Incyte License Agreement. The Company evaluated this agreement under ASC 606 and identified one performance obligation under the agreement: to perform services related to manufacturing the commercial supply of retifanlimab. The transaction price is based on a fixed price per batch of bulk drug substance to be manufactured and is recognized over time as the services are provided, as the performance by the Company does not create an asset with an alternative use and the Company has an enforceable right to payment for the performance completed to date. The transaction price is being recognized using the input method reflecting the costs incurred (including resources consumed and labor costs incurred) related to the manufacturing services. During the years ended </w:t>
      </w:r>
      <w:r>
        <w:rPr>
          <w:rFonts w:ascii="Times New Roman" w:cs="Times New Roman" w:eastAsia="Times New Roman" w:hAnsi="Times New Roman"/>
          <w:sz w:val="17"/>
          <w:szCs w:val="17"/>
          <w:color w:val="252525"/>
        </w:rPr>
        <w:t>December 31, 2024,</w:t>
      </w:r>
      <w:r>
        <w:rPr>
          <w:rFonts w:ascii="Times New Roman" w:cs="Times New Roman" w:eastAsia="Times New Roman" w:hAnsi="Times New Roman"/>
          <w:sz w:val="17"/>
          <w:szCs w:val="17"/>
          <w:color w:val="auto"/>
        </w:rPr>
        <w:t xml:space="preserve"> 2023, and 2022, the Company recognized revenue of $1.8 million, $4.2 million and $0.3 million, respectively, for services performed under the Incyte Commercial Supply Agreement.</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Gilead Sciences, Inc.</w:t>
      </w:r>
    </w:p>
    <w:p>
      <w:pPr>
        <w:spacing w:after="0" w:line="160"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In 2022, the Company and Gilead entered into an exclusive option and collaboration agreement (Gilead Agreement) to develop and commercialize MGD024, an investigational, bispecific antibody that binds CD123 and CD3, and create bispecific cancer antibodies using the Company’s DART platform and undertake their early development under a maximum of two separate bispecific cancer target research programs. Under the agreement, the Company will continue the ongoing phase 1 trial for MGD024 according to a development plan, during which Gilead will have the right to exercise an option granted to Gilead to obtain an exclusive license under the Company’s intellectual property to develop and commercialize MGD024 and other</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99" w:name="page100"/>
    <w:bookmarkEnd w:id="99"/>
    <w:p>
      <w:pPr>
        <w:ind w:right="20"/>
        <w:spacing w:after="0" w:line="262" w:lineRule="auto"/>
        <w:rPr>
          <w:sz w:val="20"/>
          <w:szCs w:val="20"/>
          <w:color w:val="auto"/>
        </w:rPr>
      </w:pPr>
      <w:r>
        <w:rPr>
          <w:rFonts w:ascii="Times New Roman" w:cs="Times New Roman" w:eastAsia="Times New Roman" w:hAnsi="Times New Roman"/>
          <w:sz w:val="17"/>
          <w:szCs w:val="17"/>
          <w:color w:val="auto"/>
        </w:rPr>
        <w:t>bispecific antibodies of MacroGenics that bind CD123 and CD3 (CD123 Option). The agreement also granted Gilead the right, within its first two years, to nominate a bispecific cancer target set for up to two research programs conducted by the Company and to exercise separate options to obtain an exclusive license for the development, commercialization and exploitation of molecules created under each research program (Research Program Option). Gilead nominated the first of the two research programs in September 2023. In January 2024, the parties amended the Gilead Agreement to revise certain matters related to intellectual property in the performance of the research plans under the agreement. On August 30, 2024, the parties amended the agreement by entering into a second letter agreement under which Gilead will pay the Company to conduct certain research and which extends the period for Gilead to select its second research target combination.</w:t>
      </w:r>
    </w:p>
    <w:p>
      <w:pPr>
        <w:spacing w:after="0" w:line="121"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Under the terms of the Gilead Agreement, as amended, in October 2022 Gilead paid the Company an upfront payment of $60.0 million. Assuming Gilead exercises the CD123 Option and Research Program Option and successfully develops and commercializes MGD024, or other CD123 products developed under the agreement, and products result from the two additional research programs, the Company would be eligible to receive up to $1.7 billion in target nomination, option fees, and development, regulatory and commercial milestones. Assuming exercise of the CD123 Option, the Company will also be eligible to receive tiered, low double-digit royalties on worldwide net sales of MGD024 (or other CD123 products developed under the agreement) and assuming exercise of the Research Program Option, a flat royalty on worldwide net sales of any products resulting from the two research programs.</w:t>
      </w:r>
    </w:p>
    <w:p>
      <w:pPr>
        <w:spacing w:after="0" w:line="121" w:lineRule="exact"/>
        <w:rPr>
          <w:sz w:val="20"/>
          <w:szCs w:val="20"/>
          <w:color w:val="auto"/>
        </w:rPr>
      </w:pPr>
    </w:p>
    <w:p>
      <w:pPr>
        <w:ind w:firstLine="625"/>
        <w:spacing w:after="0" w:line="267" w:lineRule="auto"/>
        <w:rPr>
          <w:sz w:val="20"/>
          <w:szCs w:val="20"/>
          <w:color w:val="auto"/>
        </w:rPr>
      </w:pPr>
      <w:r>
        <w:rPr>
          <w:rFonts w:ascii="Times New Roman" w:cs="Times New Roman" w:eastAsia="Times New Roman" w:hAnsi="Times New Roman"/>
          <w:sz w:val="17"/>
          <w:szCs w:val="17"/>
          <w:color w:val="auto"/>
        </w:rPr>
        <w:t>The Company evaluated the Gilead Agreement under the provisions of ASC 606 and identified the following material promises under the agreement: (i) a license to perform any activities allocated to Gilead under the MGD024 development plan; (ii) development activities regarding MGD024, including manufacturing, research and early clinical development activities, necessary to deliver an informational package of development and clinical data, information and materials specified in the Gilead Agreement during the period in which Gilead can exercise the CD123 Option; (iii) the CD123 Option and (iv) the Research Program Option.</w:t>
      </w:r>
    </w:p>
    <w:p>
      <w:pPr>
        <w:spacing w:after="0" w:line="328" w:lineRule="exact"/>
        <w:rPr>
          <w:sz w:val="20"/>
          <w:szCs w:val="20"/>
          <w:color w:val="auto"/>
        </w:rPr>
      </w:pPr>
    </w:p>
    <w:p>
      <w:pPr>
        <w:ind w:right="340" w:firstLine="625"/>
        <w:spacing w:after="0" w:line="263" w:lineRule="auto"/>
        <w:rPr>
          <w:sz w:val="20"/>
          <w:szCs w:val="20"/>
          <w:color w:val="auto"/>
        </w:rPr>
      </w:pPr>
      <w:r>
        <w:rPr>
          <w:rFonts w:ascii="Times New Roman" w:cs="Times New Roman" w:eastAsia="Times New Roman" w:hAnsi="Times New Roman"/>
          <w:sz w:val="17"/>
          <w:szCs w:val="17"/>
          <w:color w:val="auto"/>
        </w:rPr>
        <w:t>The Company concluded that the license under the MGD024 development plan and development activities are not distinct from one another, as the license has limited value without the Company’s performance of the development activities. Therefore, the Company determined that the development term license and development activities should be combined into a single performance obligation (Development Activities). The CD123 Option is considered a material right as the value of the exclusive license exceeds the payment to be made by Gilead if they exercise their option to obtain an exclusive license to develop and commercialize MGD024 or an alternative CD123 product, and is therefore a distinct performance obligation. The Company determined that the Research Program Option does not provide a material right, as there is no discount on its standalone selling price.</w:t>
      </w:r>
    </w:p>
    <w:p>
      <w:pPr>
        <w:spacing w:after="0" w:line="121" w:lineRule="exact"/>
        <w:rPr>
          <w:sz w:val="20"/>
          <w:szCs w:val="20"/>
          <w:color w:val="auto"/>
        </w:rPr>
      </w:pPr>
    </w:p>
    <w:p>
      <w:pPr>
        <w:ind w:firstLine="625"/>
        <w:spacing w:after="0" w:line="274" w:lineRule="auto"/>
        <w:rPr>
          <w:sz w:val="20"/>
          <w:szCs w:val="20"/>
          <w:color w:val="auto"/>
        </w:rPr>
      </w:pPr>
      <w:r>
        <w:rPr>
          <w:rFonts w:ascii="Times New Roman" w:cs="Times New Roman" w:eastAsia="Times New Roman" w:hAnsi="Times New Roman"/>
          <w:sz w:val="17"/>
          <w:szCs w:val="17"/>
          <w:color w:val="auto"/>
        </w:rPr>
        <w:t>In accordance with ASC 606, the Company determined that the initial transaction price under the Gilead Agreement was $60.0 million, consisting of the upfront, non-refundable payment paid by Gilead. The CD123 Option and Research Program Option payments are excluded from the initial transaction price at contract inception along with any future development, regulatory, and commercial milestone payments (including royalties) following the CD123 Option and</w:t>
      </w:r>
    </w:p>
    <w:p>
      <w:pPr>
        <w:spacing w:after="0" w:line="8" w:lineRule="exact"/>
        <w:rPr>
          <w:sz w:val="20"/>
          <w:szCs w:val="20"/>
          <w:color w:val="auto"/>
        </w:rPr>
      </w:pPr>
    </w:p>
    <w:p>
      <w:pPr>
        <w:ind w:right="20"/>
        <w:spacing w:after="0" w:line="287" w:lineRule="auto"/>
        <w:rPr>
          <w:sz w:val="20"/>
          <w:szCs w:val="20"/>
          <w:color w:val="auto"/>
        </w:rPr>
      </w:pPr>
      <w:r>
        <w:rPr>
          <w:rFonts w:ascii="Times New Roman" w:cs="Times New Roman" w:eastAsia="Times New Roman" w:hAnsi="Times New Roman"/>
          <w:sz w:val="17"/>
          <w:szCs w:val="17"/>
          <w:color w:val="auto"/>
        </w:rPr>
        <w:t>Research Program Option exercise. The Company reassesses the amount of variable consideration included in the transaction price every reporting period. The Company allocated the $60.0 million upfront payment in the transaction price to the Development Activities and the CD123 Option based on each performance obligation’s relative standalone selling price. The standalone selling price for the Development Activities was calculated using an expected cost-plus margin approach for the pre-option development timeline. For the standalone selling price of the CD123 Option, the Company utilized an income-based approach which</w:t>
      </w:r>
    </w:p>
    <w:p>
      <w:pPr>
        <w:spacing w:after="0" w:line="3" w:lineRule="exact"/>
        <w:rPr>
          <w:sz w:val="20"/>
          <w:szCs w:val="20"/>
          <w:color w:val="auto"/>
        </w:rPr>
      </w:pPr>
    </w:p>
    <w:p>
      <w:pPr>
        <w:ind w:right="460"/>
        <w:spacing w:after="0" w:line="294" w:lineRule="auto"/>
        <w:rPr>
          <w:sz w:val="20"/>
          <w:szCs w:val="20"/>
          <w:color w:val="auto"/>
        </w:rPr>
      </w:pPr>
      <w:r>
        <w:rPr>
          <w:rFonts w:ascii="Times New Roman" w:cs="Times New Roman" w:eastAsia="Times New Roman" w:hAnsi="Times New Roman"/>
          <w:sz w:val="17"/>
          <w:szCs w:val="17"/>
          <w:color w:val="auto"/>
        </w:rPr>
        <w:t>included the following key assumptions: post-option development timeline and costs, forecasted revenues, discount rates and probabilities of technical and regulatory success.</w:t>
      </w:r>
    </w:p>
    <w:p>
      <w:pPr>
        <w:spacing w:after="0" w:line="94" w:lineRule="exact"/>
        <w:rPr>
          <w:sz w:val="20"/>
          <w:szCs w:val="20"/>
          <w:color w:val="auto"/>
        </w:rPr>
      </w:pPr>
    </w:p>
    <w:p>
      <w:pPr>
        <w:ind w:right="380" w:firstLine="625"/>
        <w:spacing w:after="0" w:line="265" w:lineRule="auto"/>
        <w:rPr>
          <w:sz w:val="20"/>
          <w:szCs w:val="20"/>
          <w:color w:val="auto"/>
        </w:rPr>
      </w:pPr>
      <w:r>
        <w:rPr>
          <w:rFonts w:ascii="Times New Roman" w:cs="Times New Roman" w:eastAsia="Times New Roman" w:hAnsi="Times New Roman"/>
          <w:sz w:val="17"/>
          <w:szCs w:val="17"/>
          <w:color w:val="auto"/>
        </w:rPr>
        <w:t>The Company is recognizing revenue related to the Development Activities performance obligation over the estimated period to complete the Development Activities using an input method reflecting the costs incurred (including resources consumed and labor hours expended) related to the Development Activities. The Company has deferred revenue recognition related to the CD123 Option. If Gilead exercises the CD123 Option and obtains an exclusive license, the Company will recognize revenue as it fulfills its obligations under the Gilead Agreement. If the CD123 Option is not exercised, the Company will recognize the entirety of the revenue in the period when the CD123 Option expires.</w:t>
      </w:r>
    </w:p>
    <w:p>
      <w:pPr>
        <w:spacing w:after="0" w:line="119" w:lineRule="exact"/>
        <w:rPr>
          <w:sz w:val="20"/>
          <w:szCs w:val="20"/>
          <w:color w:val="auto"/>
        </w:rPr>
      </w:pPr>
    </w:p>
    <w:p>
      <w:pPr>
        <w:ind w:right="60" w:firstLine="625"/>
        <w:spacing w:after="0" w:line="268" w:lineRule="auto"/>
        <w:rPr>
          <w:sz w:val="20"/>
          <w:szCs w:val="20"/>
          <w:color w:val="auto"/>
        </w:rPr>
      </w:pPr>
      <w:r>
        <w:rPr>
          <w:rFonts w:ascii="Times New Roman" w:cs="Times New Roman" w:eastAsia="Times New Roman" w:hAnsi="Times New Roman"/>
          <w:sz w:val="17"/>
          <w:szCs w:val="17"/>
          <w:color w:val="auto"/>
        </w:rPr>
        <w:t xml:space="preserve">During the years ended </w:t>
      </w:r>
      <w:r>
        <w:rPr>
          <w:rFonts w:ascii="Times New Roman" w:cs="Times New Roman" w:eastAsia="Times New Roman" w:hAnsi="Times New Roman"/>
          <w:sz w:val="17"/>
          <w:szCs w:val="17"/>
          <w:color w:val="252525"/>
        </w:rPr>
        <w:t>December 31, 2024</w:t>
      </w:r>
      <w:r>
        <w:rPr>
          <w:rFonts w:ascii="Times New Roman" w:cs="Times New Roman" w:eastAsia="Times New Roman" w:hAnsi="Times New Roman"/>
          <w:sz w:val="17"/>
          <w:szCs w:val="17"/>
          <w:color w:val="auto"/>
        </w:rPr>
        <w:t xml:space="preserve">, 2023, and 2022, the Company recorded revenue of $1.5 million, $1.5 million, and $0.2 million, respectively, related to the Gilead Agreement. As of </w:t>
      </w:r>
      <w:r>
        <w:rPr>
          <w:rFonts w:ascii="Times New Roman" w:cs="Times New Roman" w:eastAsia="Times New Roman" w:hAnsi="Times New Roman"/>
          <w:sz w:val="17"/>
          <w:szCs w:val="17"/>
          <w:color w:val="252525"/>
        </w:rPr>
        <w:t>December 31, 2024</w:t>
      </w:r>
      <w:r>
        <w:rPr>
          <w:rFonts w:ascii="Times New Roman" w:cs="Times New Roman" w:eastAsia="Times New Roman" w:hAnsi="Times New Roman"/>
          <w:sz w:val="17"/>
          <w:szCs w:val="17"/>
          <w:color w:val="auto"/>
        </w:rPr>
        <w:t>, $56.8 million in revenue was deferred under this agreement, $1.3 million of which was current and $55.5 million of which was non-current. As of December 31, 2023, $58.3 million in revenue was deferred under this agreement, $2.2 million of which was current and $56.1 million of which was non-current.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100" w:name="page101"/>
    <w:bookmarkEnd w:id="100"/>
    <w:p>
      <w:pPr>
        <w:ind w:firstLine="625"/>
        <w:spacing w:after="0" w:line="260" w:lineRule="auto"/>
        <w:rPr>
          <w:sz w:val="20"/>
          <w:szCs w:val="20"/>
          <w:color w:val="auto"/>
        </w:rPr>
      </w:pPr>
      <w:r>
        <w:rPr>
          <w:rFonts w:ascii="Times New Roman" w:cs="Times New Roman" w:eastAsia="Times New Roman" w:hAnsi="Times New Roman"/>
          <w:sz w:val="17"/>
          <w:szCs w:val="17"/>
          <w:color w:val="auto"/>
        </w:rPr>
        <w:t>In September 2023, the Company and Gilead executed a Letter Agreement through which Gilead nominated the first of the two research programs contemplated in the Gilead Agreement (First Research Program), the Company granted Gilead a research license, and the parties agreed on a research plan for the First Research Program under which the Company will provide research and development services. Gilead paid the Company a $15.7 million nomination fee. The Company evaluated the Letter Agreement under the terms of ASC 606, and concluded that it is a modification to the Gilead Agreement that results in a separate contract since the modification is for additional goods and services that are distinct and at standalone selling price. The Company determined that the license and the related research and development activities were not distinct from one another, as the license has limited value without the performance of the research and development activities. As such, the Company determined that these should be combined into a single performance obligation. Gilead also has the exclusive option to pay the Company $10.0 million to obtain a license to exploit the research molecule and research product with respect to the First Research Program. The Company determined that this exclusive option does not provide a material right, as there is no discount on its standalone selling price.</w:t>
      </w:r>
    </w:p>
    <w:p>
      <w:pPr>
        <w:spacing w:after="0" w:line="126" w:lineRule="exact"/>
        <w:rPr>
          <w:sz w:val="20"/>
          <w:szCs w:val="20"/>
          <w:color w:val="auto"/>
        </w:rPr>
      </w:pPr>
    </w:p>
    <w:p>
      <w:pPr>
        <w:ind w:right="40" w:firstLine="625"/>
        <w:spacing w:after="0" w:line="263" w:lineRule="auto"/>
        <w:rPr>
          <w:sz w:val="20"/>
          <w:szCs w:val="20"/>
          <w:color w:val="auto"/>
        </w:rPr>
      </w:pPr>
      <w:r>
        <w:rPr>
          <w:rFonts w:ascii="Times New Roman" w:cs="Times New Roman" w:eastAsia="Times New Roman" w:hAnsi="Times New Roman"/>
          <w:sz w:val="17"/>
          <w:szCs w:val="17"/>
          <w:color w:val="auto"/>
        </w:rPr>
        <w:t>In accordance with ASC 606, the Company determined that the initial transaction price for the First Research Program agreement was $15.7 million, consisting of the non-refundable payment paid by Gilead. The Company is recognizing revenue over the estimated period to complete the services using the input method reflecting the costs incurred (including resources consumed and labor hours expended) related to the research and development services. In June 2024, the Company received variable consideration totaling $3.3 million from Gilead upon achievement of a research plan milestone. The variable consideration was added to the transaction price and allocated to the performance obligation to determine the amount of related revenue to be recognized. A proportional amount was recognized based on the input cost to cost measurement of work completed to date.</w:t>
      </w:r>
    </w:p>
    <w:p>
      <w:pPr>
        <w:spacing w:after="0" w:line="121" w:lineRule="exact"/>
        <w:rPr>
          <w:sz w:val="20"/>
          <w:szCs w:val="20"/>
          <w:color w:val="auto"/>
        </w:rPr>
      </w:pPr>
    </w:p>
    <w:p>
      <w:pPr>
        <w:ind w:right="40" w:firstLine="625"/>
        <w:spacing w:after="0" w:line="274" w:lineRule="auto"/>
        <w:rPr>
          <w:sz w:val="20"/>
          <w:szCs w:val="20"/>
          <w:color w:val="auto"/>
        </w:rPr>
      </w:pPr>
      <w:r>
        <w:rPr>
          <w:rFonts w:ascii="Times New Roman" w:cs="Times New Roman" w:eastAsia="Times New Roman" w:hAnsi="Times New Roman"/>
          <w:sz w:val="17"/>
          <w:szCs w:val="17"/>
          <w:color w:val="auto"/>
        </w:rPr>
        <w:t xml:space="preserve">During the years ended </w:t>
      </w:r>
      <w:r>
        <w:rPr>
          <w:rFonts w:ascii="Times New Roman" w:cs="Times New Roman" w:eastAsia="Times New Roman" w:hAnsi="Times New Roman"/>
          <w:sz w:val="17"/>
          <w:szCs w:val="17"/>
          <w:color w:val="252525"/>
        </w:rPr>
        <w:t>December 31, 2024, and</w:t>
      </w:r>
      <w:r>
        <w:rPr>
          <w:rFonts w:ascii="Times New Roman" w:cs="Times New Roman" w:eastAsia="Times New Roman" w:hAnsi="Times New Roman"/>
          <w:sz w:val="17"/>
          <w:szCs w:val="17"/>
          <w:color w:val="auto"/>
        </w:rPr>
        <w:t xml:space="preserve"> 2023, the Company recorded revenue of $7.8 million and $0.8 million, respectively, related to the First Research Program. As of December 31, 2024, $11.0 million </w:t>
      </w:r>
      <w:r>
        <w:rPr>
          <w:rFonts w:ascii="Times New Roman" w:cs="Times New Roman" w:eastAsia="Times New Roman" w:hAnsi="Times New Roman"/>
          <w:sz w:val="17"/>
          <w:szCs w:val="17"/>
          <w:color w:val="252525"/>
        </w:rPr>
        <w:t>in revenue was deferred under this agreement, all of which was current</w:t>
      </w:r>
      <w:r>
        <w:rPr>
          <w:rFonts w:ascii="Times New Roman" w:cs="Times New Roman" w:eastAsia="Times New Roman" w:hAnsi="Times New Roman"/>
          <w:sz w:val="17"/>
          <w:szCs w:val="17"/>
          <w:color w:val="auto"/>
        </w:rPr>
        <w:t>. As of December 31, 2023, $14.9 million in revenue was deferred under this agreement, $11.8 million of which was current and $3.1 million of which was non-current.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Zai Lab US LLC</w:t>
      </w:r>
    </w:p>
    <w:p>
      <w:pPr>
        <w:spacing w:after="0" w:line="173"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In 2021, the Company entered into a collaboration and license agreement with Zai Lab US LLC (Zai Lab Limited and Zai Lab US LLC, either singularly or collectively are referred to herein as Zai Lab) involving collaboration programs and license-only programs (collectively, the Programs) encompassing four separate immuno-oncology molecules (2021 Zai Lab Agreement). During 2022, the Company and Zai Lab agreed to discontinue research and development of the lead program, and in August 2023, the parties mutually agreed to terminate the 2021 Zai Lab Agreement.</w:t>
      </w:r>
    </w:p>
    <w:p>
      <w:pPr>
        <w:spacing w:after="0" w:line="117" w:lineRule="exact"/>
        <w:rPr>
          <w:sz w:val="20"/>
          <w:szCs w:val="20"/>
          <w:color w:val="auto"/>
        </w:rPr>
      </w:pPr>
    </w:p>
    <w:p>
      <w:pPr>
        <w:ind w:right="180" w:firstLine="625"/>
        <w:spacing w:after="0" w:line="274" w:lineRule="auto"/>
        <w:rPr>
          <w:sz w:val="20"/>
          <w:szCs w:val="20"/>
          <w:color w:val="auto"/>
        </w:rPr>
      </w:pPr>
      <w:r>
        <w:rPr>
          <w:rFonts w:ascii="Times New Roman" w:cs="Times New Roman" w:eastAsia="Times New Roman" w:hAnsi="Times New Roman"/>
          <w:sz w:val="17"/>
          <w:szCs w:val="17"/>
          <w:color w:val="auto"/>
        </w:rPr>
        <w:t xml:space="preserve">In November 2024, the Company received $7.0 million from Zai Lab in fulfillment of a milestone. This was recognized as revenue for the year ended </w:t>
      </w:r>
      <w:r>
        <w:rPr>
          <w:rFonts w:ascii="Times New Roman" w:cs="Times New Roman" w:eastAsia="Times New Roman" w:hAnsi="Times New Roman"/>
          <w:sz w:val="17"/>
          <w:szCs w:val="17"/>
          <w:color w:val="252525"/>
        </w:rPr>
        <w:t xml:space="preserve">December 31, 2024. </w:t>
      </w:r>
      <w:r>
        <w:rPr>
          <w:rFonts w:ascii="Times New Roman" w:cs="Times New Roman" w:eastAsia="Times New Roman" w:hAnsi="Times New Roman"/>
          <w:sz w:val="17"/>
          <w:szCs w:val="17"/>
          <w:color w:val="000000"/>
        </w:rPr>
        <w:t>During the year ended December 31, 2023, no revenue was recognized under the 2021 Zai Lab Agreement and during the year ended</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December 31, 2022, the Company recognized revenue of $16.8 million under the 2021 Zai Lab Agreement.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Provention Bio, Inc.</w:t>
      </w:r>
    </w:p>
    <w:p>
      <w:pPr>
        <w:spacing w:after="0" w:line="173" w:lineRule="exact"/>
        <w:rPr>
          <w:sz w:val="20"/>
          <w:szCs w:val="20"/>
          <w:color w:val="auto"/>
        </w:rPr>
      </w:pPr>
    </w:p>
    <w:p>
      <w:pPr>
        <w:ind w:right="120" w:firstLine="625"/>
        <w:spacing w:after="0" w:line="260" w:lineRule="auto"/>
        <w:rPr>
          <w:sz w:val="20"/>
          <w:szCs w:val="20"/>
          <w:color w:val="auto"/>
        </w:rPr>
      </w:pPr>
      <w:r>
        <w:rPr>
          <w:rFonts w:ascii="Times New Roman" w:cs="Times New Roman" w:eastAsia="Times New Roman" w:hAnsi="Times New Roman"/>
          <w:sz w:val="17"/>
          <w:szCs w:val="17"/>
          <w:color w:val="auto"/>
        </w:rPr>
        <w:t>In 2018, the Company entered into a license agreement with Provention pursuant to which the Company granted Provention exclusive global rights for the purpose of developing and commercializing MGD010 (renamed PRV-3279), a CD32B x CD79B DART molecule being developed for the treatment of autoimmune indications (Provention License Agreement). As partial consideration for the Provention License Agreement, Provention granted the Company a warrant to purchase shares of Provention’s common stock at an exercise price of $2.50 per share. If Provention successfully develops, obtains regulatory approval for, and commercializes PRV-3279, the Company will be eligible to receive up to $65.0 million in development and regulatory milestones and up to $225.0 million in commercial milestones. As of December 31, 2024, the Company has not recognized any milestone revenue under this agreement. If commercialized, the Company would be eligible to receive single-digit royalties on net sales of the product. The license agreement may be terminated by either party upon a material breach or bankruptcy of the other party, by Provention without cause upon prior notice to the Company, and by the Company in the event that Provention challenges the validity of any licensed patent under the agreement, but only with respect to the challenged patent.</w:t>
      </w:r>
    </w:p>
    <w:p>
      <w:pPr>
        <w:spacing w:after="0" w:line="126" w:lineRule="exact"/>
        <w:rPr>
          <w:sz w:val="20"/>
          <w:szCs w:val="20"/>
          <w:color w:val="auto"/>
        </w:rPr>
      </w:pPr>
    </w:p>
    <w:p>
      <w:pPr>
        <w:ind w:right="60" w:firstLine="625"/>
        <w:spacing w:after="0" w:line="265" w:lineRule="auto"/>
        <w:rPr>
          <w:sz w:val="20"/>
          <w:szCs w:val="20"/>
          <w:color w:val="auto"/>
        </w:rPr>
      </w:pPr>
      <w:r>
        <w:rPr>
          <w:rFonts w:ascii="Times New Roman" w:cs="Times New Roman" w:eastAsia="Times New Roman" w:hAnsi="Times New Roman"/>
          <w:sz w:val="17"/>
          <w:szCs w:val="17"/>
          <w:color w:val="auto"/>
        </w:rPr>
        <w:t>Also, in 2018, the Company entered into the Provention Asset Purchase Agreement (Provention APA) pursuant to which Provention acquired the Company’s interest in teplizumab (renamed PRV-031), a monoclonal antibody being developed for the treatment of type 1 diabetes. As partial consideration for the Provention APA, Provention granted the Company a warrant to purchase shares of Provention’s common stock at an exercise price of $2.50 per share. Under the Provention APA, Provention is obligated to pay the Company contingent milestone payments totaling $170.0 million upon the achievement of certain regulatory milestones. In addition, Provention is obligated to make contingent milestone payments to the Company</w:t>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20"/>
          </w:cols>
          <w:pgMar w:left="320" w:top="1020" w:right="359" w:bottom="1440" w:gutter="0" w:footer="0" w:header="0"/>
        </w:sectPr>
      </w:pPr>
    </w:p>
    <w:bookmarkStart w:id="101" w:name="page102"/>
    <w:bookmarkEnd w:id="101"/>
    <w:p>
      <w:pPr>
        <w:ind w:right="40"/>
        <w:spacing w:after="0" w:line="258" w:lineRule="auto"/>
        <w:rPr>
          <w:sz w:val="20"/>
          <w:szCs w:val="20"/>
          <w:color w:val="auto"/>
        </w:rPr>
      </w:pPr>
      <w:r>
        <w:rPr>
          <w:rFonts w:ascii="Times New Roman" w:cs="Times New Roman" w:eastAsia="Times New Roman" w:hAnsi="Times New Roman"/>
          <w:sz w:val="17"/>
          <w:szCs w:val="17"/>
          <w:color w:val="auto"/>
        </w:rPr>
        <w:t>totaling $225.0 million upon the achievement of certain commercial milestones as well as single-digit royalties on net sales of the product. The FDA approved the BLA for TZIELD in November 2022, and the Company recognized $60.0 million in revenue related to this regulatory milestone during the year ended December 31, 2022. In November 2022, the Company and Provention amended the Provention APA. Under this amendment, the milestone for first approval was split into four equal payments, all of which were received prior to June 30, 2023. Provention has also agreed to pay third-party obligations, including low single-digit royalties, of which a portion is creditable against royalties payable to the Company, aggregate milestone payments of up to approximately $1.3 million and other consideration, for certain third-party intellectual property under agreements Provention assumed pursuant to the Provention APA. Further, Provention is required to pay the Company a low double-digit percentage of certain consideration to the extent it is received in connection with a future grant of rights to PRV-031 by Provention to a third party.</w:t>
      </w:r>
    </w:p>
    <w:p>
      <w:pPr>
        <w:spacing w:after="0" w:line="4" w:lineRule="exact"/>
        <w:rPr>
          <w:sz w:val="20"/>
          <w:szCs w:val="20"/>
          <w:color w:val="auto"/>
        </w:rPr>
      </w:pPr>
    </w:p>
    <w:p>
      <w:pPr>
        <w:ind w:right="20" w:firstLine="625"/>
        <w:spacing w:after="0" w:line="256" w:lineRule="auto"/>
        <w:rPr>
          <w:sz w:val="20"/>
          <w:szCs w:val="20"/>
          <w:color w:val="auto"/>
        </w:rPr>
      </w:pPr>
      <w:r>
        <w:rPr>
          <w:rFonts w:ascii="Times New Roman" w:cs="Times New Roman" w:eastAsia="Times New Roman" w:hAnsi="Times New Roman"/>
          <w:sz w:val="17"/>
          <w:szCs w:val="17"/>
          <w:color w:val="auto"/>
        </w:rPr>
        <w:t xml:space="preserve">The Company evaluated the Provention License Agreement and Provention APA under the provisions of ASC 606 and determined that they should be accounted for as a single contract and identified two performance obligations within that contract: (i) the license of MGD010 and (ii) the title to teplizumab. The Company determined that the transaction price of the Provention agreements was $6.1 million, based on the Black-Scholes valuation of the warrants to purchase a total of 2,432,688 shares of Provention's common stock. The transaction price was allocated to each performance obligation based on the number of shares of common stock the Company is entitled to purchase under each warrant. The potential development and regulatory milestone payments are fully constrained until the Company concludes that achievement of the milestone is probable and that recognition of revenue related to the milestone will not result in a significant reversal in amounts recognized in future periods, and as such were excluded from the initial transaction price. Any consideration related to sales-based milestones and royalties will be recognized when the related sales occur, therefore they have also been excluded from the transaction price. The Company re-assesses the transaction price in each reporting period and when events whose outcomes are resolved or other changes in circumstances occur. The Company recognized revenue of $6.1 million when it satisfied its performance obligations under the agreements and transferred the MGD010 license and teplizumab assets to Provention in 2018. In 2019, the Company exercised the warrants on a cashless basis, and subsequently sold all the shares of Provention common stock acquired through the exercise. No shares of Provention stock were held subsequent to the sale of stock in 2019. During the year ended December 31, 2022, </w:t>
      </w:r>
      <w:r>
        <w:rPr>
          <w:rFonts w:ascii="Times New Roman" w:cs="Times New Roman" w:eastAsia="Times New Roman" w:hAnsi="Times New Roman"/>
          <w:sz w:val="17"/>
          <w:szCs w:val="17"/>
          <w:color w:val="252525"/>
        </w:rPr>
        <w:t>it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 xml:space="preserve">became probable that a significant reversal of cumulative revenue would not occur for a regulatory milestone of </w:t>
      </w:r>
      <w:r>
        <w:rPr>
          <w:rFonts w:ascii="Times New Roman" w:cs="Times New Roman" w:eastAsia="Times New Roman" w:hAnsi="Times New Roman"/>
          <w:sz w:val="17"/>
          <w:szCs w:val="17"/>
          <w:color w:val="000000"/>
        </w:rPr>
        <w:t>$60.0 million</w:t>
      </w:r>
      <w:r>
        <w:rPr>
          <w:rFonts w:ascii="Times New Roman" w:cs="Times New Roman" w:eastAsia="Times New Roman" w:hAnsi="Times New Roman"/>
          <w:sz w:val="17"/>
          <w:szCs w:val="17"/>
          <w:color w:val="252525"/>
        </w:rPr>
        <w:t>, t</w:t>
      </w:r>
      <w:r>
        <w:rPr>
          <w:rFonts w:ascii="Times New Roman" w:cs="Times New Roman" w:eastAsia="Times New Roman" w:hAnsi="Times New Roman"/>
          <w:sz w:val="17"/>
          <w:szCs w:val="17"/>
          <w:color w:val="000000"/>
        </w:rPr>
        <w:t>herefore</w:t>
      </w:r>
      <w:r>
        <w:rPr>
          <w:rFonts w:ascii="Times New Roman" w:cs="Times New Roman" w:eastAsia="Times New Roman" w:hAnsi="Times New Roman"/>
          <w:sz w:val="17"/>
          <w:szCs w:val="17"/>
          <w:color w:val="252525"/>
        </w:rPr>
        <w:t xml:space="preserve"> the associated consideration was added to the estimated transaction price and was recognized as revenue. </w:t>
      </w:r>
      <w:r>
        <w:rPr>
          <w:rFonts w:ascii="Times New Roman" w:cs="Times New Roman" w:eastAsia="Times New Roman" w:hAnsi="Times New Roman"/>
          <w:sz w:val="17"/>
          <w:szCs w:val="17"/>
          <w:color w:val="000000"/>
        </w:rPr>
        <w:t>During the year ended December 31, 2024, no revenue was</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recognized under these agreements. During the years ended December 31, 2023 and 2022, the Company recognized revenue of $5.6 million and $60.0 million, respectively, under these agreements.</w:t>
      </w:r>
    </w:p>
    <w:p>
      <w:pPr>
        <w:spacing w:after="0" w:line="344" w:lineRule="exact"/>
        <w:rPr>
          <w:sz w:val="20"/>
          <w:szCs w:val="20"/>
          <w:color w:val="auto"/>
        </w:rPr>
      </w:pPr>
    </w:p>
    <w:p>
      <w:pPr>
        <w:ind w:right="20" w:firstLine="625"/>
        <w:spacing w:after="0" w:line="265" w:lineRule="auto"/>
        <w:rPr>
          <w:sz w:val="20"/>
          <w:szCs w:val="20"/>
          <w:color w:val="auto"/>
        </w:rPr>
      </w:pPr>
      <w:r>
        <w:rPr>
          <w:rFonts w:ascii="Times New Roman" w:cs="Times New Roman" w:eastAsia="Times New Roman" w:hAnsi="Times New Roman"/>
          <w:sz w:val="17"/>
          <w:szCs w:val="17"/>
          <w:color w:val="auto"/>
        </w:rPr>
        <w:t>In March 2023, the Company sold its single-digit royalty interest in TZIELD to a wholly-owned subsidiary of DRI Healthcare Trust (DRI) and received a $100.0 million payment from DRI under a Royalty Purchase Agreement. The Company retains its other economic interests related to TZIELD, including future potential regulatory and commercial milestones, as well as the right to receive a 50% share of the royalty on global net sales above a certain annual threshold. In addition, the Company received $50.0 million upon the occurrence of the primary endpoint milestone event in September 2023, and remains eligible to receive an additional $50.0 million if TZIELD achieves a certain level of net sales.</w:t>
      </w:r>
    </w:p>
    <w:p>
      <w:pPr>
        <w:spacing w:after="0" w:line="119" w:lineRule="exact"/>
        <w:rPr>
          <w:sz w:val="20"/>
          <w:szCs w:val="20"/>
          <w:color w:val="auto"/>
        </w:rPr>
      </w:pPr>
    </w:p>
    <w:p>
      <w:pPr>
        <w:ind w:firstLine="625"/>
        <w:spacing w:after="0" w:line="261" w:lineRule="auto"/>
        <w:rPr>
          <w:sz w:val="20"/>
          <w:szCs w:val="20"/>
          <w:color w:val="auto"/>
        </w:rPr>
      </w:pPr>
      <w:r>
        <w:rPr>
          <w:rFonts w:ascii="Times New Roman" w:cs="Times New Roman" w:eastAsia="Times New Roman" w:hAnsi="Times New Roman"/>
          <w:sz w:val="17"/>
          <w:szCs w:val="17"/>
          <w:color w:val="auto"/>
        </w:rPr>
        <w:t xml:space="preserve">On April 27, 2023, Sanofi S.A. (Sanofi) completed its acquisition of Provention and the Company entered into a Tripartite Agreement. Also on April 27, 2023, the Company and a subsidiary of Sanofi entered into a Side Letter Agreement which specified certain post-closing covenants and also accelerated certain payments due to the Company under the Provention APA upon the closing of the merger between Sanofi and Provention. The Company evaluated the Side Letter Agreement as a contract modification under the provisions of ASC 606. As a result, </w:t>
      </w:r>
      <w:r>
        <w:rPr>
          <w:rFonts w:ascii="Times New Roman" w:cs="Times New Roman" w:eastAsia="Times New Roman" w:hAnsi="Times New Roman"/>
          <w:sz w:val="17"/>
          <w:szCs w:val="17"/>
          <w:color w:val="252525"/>
        </w:rPr>
        <w:t>during the</w:t>
      </w:r>
      <w:r>
        <w:rPr>
          <w:rFonts w:ascii="Times New Roman" w:cs="Times New Roman" w:eastAsia="Times New Roman" w:hAnsi="Times New Roman"/>
          <w:sz w:val="17"/>
          <w:szCs w:val="17"/>
          <w:color w:val="auto"/>
        </w:rPr>
        <w:t xml:space="preserve"> year ended December 31, 2023</w:t>
      </w:r>
      <w:r>
        <w:rPr>
          <w:rFonts w:ascii="Times New Roman" w:cs="Times New Roman" w:eastAsia="Times New Roman" w:hAnsi="Times New Roman"/>
          <w:sz w:val="17"/>
          <w:szCs w:val="17"/>
          <w:color w:val="252525"/>
        </w:rPr>
        <w:t>, the Company recognized</w:t>
      </w:r>
    </w:p>
    <w:p>
      <w:pPr>
        <w:spacing w:after="0" w:line="1" w:lineRule="exact"/>
        <w:rPr>
          <w:sz w:val="20"/>
          <w:szCs w:val="20"/>
          <w:color w:val="auto"/>
        </w:rPr>
      </w:pPr>
    </w:p>
    <w:p>
      <w:pPr>
        <w:ind w:right="460"/>
        <w:spacing w:after="0" w:line="271" w:lineRule="auto"/>
        <w:rPr>
          <w:sz w:val="20"/>
          <w:szCs w:val="20"/>
          <w:color w:val="auto"/>
        </w:rPr>
      </w:pPr>
      <w:r>
        <w:rPr>
          <w:rFonts w:ascii="Times New Roman" w:cs="Times New Roman" w:eastAsia="Times New Roman" w:hAnsi="Times New Roman"/>
          <w:sz w:val="17"/>
          <w:szCs w:val="17"/>
          <w:color w:val="252525"/>
        </w:rPr>
        <w:t xml:space="preserve">$5.5 million related to other consideration under the </w:t>
      </w:r>
      <w:r>
        <w:rPr>
          <w:rFonts w:ascii="Times New Roman" w:cs="Times New Roman" w:eastAsia="Times New Roman" w:hAnsi="Times New Roman"/>
          <w:sz w:val="17"/>
          <w:szCs w:val="17"/>
          <w:color w:val="000000"/>
        </w:rPr>
        <w:t>Provention APA</w:t>
      </w:r>
      <w:r>
        <w:rPr>
          <w:rFonts w:ascii="Times New Roman" w:cs="Times New Roman" w:eastAsia="Times New Roman" w:hAnsi="Times New Roman"/>
          <w:sz w:val="17"/>
          <w:szCs w:val="17"/>
          <w:color w:val="252525"/>
        </w:rPr>
        <w:t xml:space="preserve"> and Side Letter Agreement. </w:t>
      </w:r>
      <w:r>
        <w:rPr>
          <w:rFonts w:ascii="Times New Roman" w:cs="Times New Roman" w:eastAsia="Times New Roman" w:hAnsi="Times New Roman"/>
          <w:sz w:val="17"/>
          <w:szCs w:val="17"/>
          <w:color w:val="000000"/>
        </w:rPr>
        <w:t>During the year ended December 31, 2023, the Company</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recognized $0.3 million in royalty revenue under the Provention APA based on sales of TZIELD.</w:t>
      </w:r>
    </w:p>
    <w:p>
      <w:pPr>
        <w:spacing w:after="0" w:line="113" w:lineRule="exact"/>
        <w:rPr>
          <w:sz w:val="20"/>
          <w:szCs w:val="20"/>
          <w:color w:val="auto"/>
        </w:rPr>
      </w:pPr>
    </w:p>
    <w:p>
      <w:pPr>
        <w:ind w:right="80" w:firstLine="625"/>
        <w:spacing w:after="0" w:line="268" w:lineRule="auto"/>
        <w:rPr>
          <w:sz w:val="20"/>
          <w:szCs w:val="20"/>
          <w:color w:val="auto"/>
        </w:rPr>
      </w:pPr>
      <w:r>
        <w:rPr>
          <w:rFonts w:ascii="Times New Roman" w:cs="Times New Roman" w:eastAsia="Times New Roman" w:hAnsi="Times New Roman"/>
          <w:sz w:val="17"/>
          <w:szCs w:val="17"/>
          <w:color w:val="auto"/>
        </w:rPr>
        <w:t>In September 2023, the Company and Sanofi executed Amendment No. 2 to the Provention APA and terminated the Royalty Purchase Agreement with DRI. As a result, the remaining $50.0 million milestone under the Royalty Purchase Agreement was incorporated into the Provention APA. The Company evaluated the amendment as a contract modification under the provisions of ASC 606 which did not result in any additional revenue being recognized during the year ended December 31, 2023.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Manufacturing Services Agreements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Incyte</w:t>
      </w:r>
    </w:p>
    <w:p>
      <w:pPr>
        <w:spacing w:after="0" w:line="173" w:lineRule="exact"/>
        <w:rPr>
          <w:sz w:val="20"/>
          <w:szCs w:val="20"/>
          <w:color w:val="auto"/>
        </w:rPr>
      </w:pPr>
    </w:p>
    <w:p>
      <w:pPr>
        <w:ind w:right="320" w:firstLine="625"/>
        <w:spacing w:after="0" w:line="294" w:lineRule="auto"/>
        <w:rPr>
          <w:sz w:val="20"/>
          <w:szCs w:val="20"/>
          <w:color w:val="auto"/>
        </w:rPr>
      </w:pPr>
      <w:r>
        <w:rPr>
          <w:rFonts w:ascii="Times New Roman" w:cs="Times New Roman" w:eastAsia="Times New Roman" w:hAnsi="Times New Roman"/>
          <w:sz w:val="17"/>
          <w:szCs w:val="17"/>
          <w:color w:val="auto"/>
        </w:rPr>
        <w:t>In January 2022, the Company entered into a Manufacturing and Clinical Supply Agreement with Incyte (Incyte Manufacturing and Clinical Supply Agreement) to provide manufacturing services to produce certain Incyte bulk drug</w:t>
      </w: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2" w:name="page103"/>
    <w:bookmarkEnd w:id="102"/>
    <w:p>
      <w:pPr>
        <w:ind w:right="40"/>
        <w:spacing w:after="0" w:line="263" w:lineRule="auto"/>
        <w:rPr>
          <w:sz w:val="20"/>
          <w:szCs w:val="20"/>
          <w:color w:val="auto"/>
        </w:rPr>
      </w:pPr>
      <w:r>
        <w:rPr>
          <w:rFonts w:ascii="Times New Roman" w:cs="Times New Roman" w:eastAsia="Times New Roman" w:hAnsi="Times New Roman"/>
          <w:sz w:val="17"/>
          <w:szCs w:val="17"/>
          <w:color w:val="auto"/>
        </w:rPr>
        <w:t>substance over a three years period. Under the terms of the Incyte Manufacturing and Clinical Supply Agreement, the Company received an upfront payment of $10.0 million and was eligible to receive annual fixed payments paid quarterly over the term of the contract totaling $14.4 million. The Company will also be reimbursed for materials used to manufacture product as well as other costs incurred to provide manufacturing services. In July 2022, the Company and Incyte executed an amendment to the Incyte Manufacturing and Clinical Supply Agreement which extended the term for one year and provided for an additional annual fixed payment of $5.1 million (July 2022 Incyte Amendment). In December 2024, the Company and Incyte entered into a letter agreement whereby Incyte reserved additional manufacturing services with a fixed cost of $9.1 million (December 2024 Letter Agreement).</w:t>
      </w:r>
    </w:p>
    <w:p>
      <w:pPr>
        <w:spacing w:after="0" w:line="69" w:lineRule="exact"/>
        <w:rPr>
          <w:sz w:val="20"/>
          <w:szCs w:val="20"/>
          <w:color w:val="auto"/>
        </w:rPr>
      </w:pPr>
    </w:p>
    <w:p>
      <w:pPr>
        <w:ind w:right="120" w:firstLine="625"/>
        <w:spacing w:after="0" w:line="260" w:lineRule="auto"/>
        <w:rPr>
          <w:sz w:val="20"/>
          <w:szCs w:val="20"/>
          <w:color w:val="auto"/>
        </w:rPr>
      </w:pPr>
      <w:r>
        <w:rPr>
          <w:rFonts w:ascii="Times New Roman" w:cs="Times New Roman" w:eastAsia="Times New Roman" w:hAnsi="Times New Roman"/>
          <w:sz w:val="17"/>
          <w:szCs w:val="17"/>
          <w:color w:val="auto"/>
        </w:rPr>
        <w:t>The Company evaluated the Incyte Manufacturing and Clinical Supply Agreement, the July 2022 Incyte Amendment and the December 2024 Letter Agreement under the provisions of ASC 606 and identified one performance obligation to provide manufacturing runs to Incyte, as and when requested by Incyte, over the term of the contract that is part of a series of goods and services. The Company determined that the transaction price consisted of the upfront payment of $10.0 million and the fixed payments totaling $28.6 million. The Company is recognizing revenue over time on a straight-line basis as the manufacturing services are provided to Incyte, as the Company determined that its efforts in providing the manufacturing services will be incurred evenly throughout the performance period and therefore straight-line revenue recognition closely approximates the level of effort for the manufacturing services. Variable consideration relating to the reimbursed materials and other reimbursed costs incurred to manufacture product for Incyte will be allocated to the related manufacturing activities and will be recognized as revenue as those activities occur. Materials purchased by the Company to manufacture the product for Incyte are considered costs to fulfill a contract and will be capitalized and expensed as the materials are used to provide the manufacturing services.</w:t>
      </w:r>
    </w:p>
    <w:p>
      <w:pPr>
        <w:spacing w:after="0" w:line="74" w:lineRule="exact"/>
        <w:rPr>
          <w:sz w:val="20"/>
          <w:szCs w:val="20"/>
          <w:color w:val="auto"/>
        </w:rPr>
      </w:pPr>
    </w:p>
    <w:p>
      <w:pPr>
        <w:jc w:val="both"/>
        <w:ind w:right="640" w:firstLine="625"/>
        <w:spacing w:after="0" w:line="274" w:lineRule="auto"/>
        <w:rPr>
          <w:sz w:val="20"/>
          <w:szCs w:val="20"/>
          <w:color w:val="auto"/>
        </w:rPr>
      </w:pPr>
      <w:r>
        <w:rPr>
          <w:rFonts w:ascii="Times New Roman" w:cs="Times New Roman" w:eastAsia="Times New Roman" w:hAnsi="Times New Roman"/>
          <w:sz w:val="17"/>
          <w:szCs w:val="17"/>
          <w:color w:val="auto"/>
        </w:rPr>
        <w:t xml:space="preserve">During the years ended December 31, 2024, 2023, and 2022, the Company recognized revenue of $11.0 million, $9.7 million and $8.7 million, respectively, under the Incyte Manufacturing and Clinical Supply Agreement. As of </w:t>
      </w:r>
      <w:r>
        <w:rPr>
          <w:rFonts w:ascii="Times New Roman" w:cs="Times New Roman" w:eastAsia="Times New Roman" w:hAnsi="Times New Roman"/>
          <w:sz w:val="17"/>
          <w:szCs w:val="17"/>
          <w:color w:val="252525"/>
        </w:rPr>
        <w:t>December 31, 2024,</w:t>
      </w:r>
      <w:r>
        <w:rPr>
          <w:rFonts w:ascii="Times New Roman" w:cs="Times New Roman" w:eastAsia="Times New Roman" w:hAnsi="Times New Roman"/>
          <w:sz w:val="17"/>
          <w:szCs w:val="17"/>
          <w:color w:val="auto"/>
        </w:rPr>
        <w:t xml:space="preserve"> $3.4 million </w:t>
      </w:r>
      <w:r>
        <w:rPr>
          <w:rFonts w:ascii="Times New Roman" w:cs="Times New Roman" w:eastAsia="Times New Roman" w:hAnsi="Times New Roman"/>
          <w:sz w:val="17"/>
          <w:szCs w:val="17"/>
          <w:color w:val="252525"/>
        </w:rPr>
        <w:t>in revenue was deferred under this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 xml:space="preserve">agreement, all of which was current. </w:t>
      </w:r>
      <w:r>
        <w:rPr>
          <w:rFonts w:ascii="Times New Roman" w:cs="Times New Roman" w:eastAsia="Times New Roman" w:hAnsi="Times New Roman"/>
          <w:sz w:val="17"/>
          <w:szCs w:val="17"/>
          <w:color w:val="000000"/>
        </w:rPr>
        <w:t>As of December 31, 2023</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$7.0 million</w:t>
      </w:r>
      <w:r>
        <w:rPr>
          <w:rFonts w:ascii="Times New Roman" w:cs="Times New Roman" w:eastAsia="Times New Roman" w:hAnsi="Times New Roman"/>
          <w:sz w:val="17"/>
          <w:szCs w:val="17"/>
          <w:color w:val="252525"/>
        </w:rPr>
        <w:t xml:space="preserve"> in revenue was deferred under this agreement, all of which was current.</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52525"/>
        </w:rPr>
        <w:t>Product Sales, Net</w:t>
      </w:r>
    </w:p>
    <w:p>
      <w:pPr>
        <w:spacing w:after="0" w:line="171" w:lineRule="exact"/>
        <w:rPr>
          <w:sz w:val="20"/>
          <w:szCs w:val="20"/>
          <w:color w:val="auto"/>
        </w:rPr>
      </w:pPr>
    </w:p>
    <w:p>
      <w:pPr>
        <w:ind w:firstLine="625"/>
        <w:spacing w:after="0" w:line="259" w:lineRule="auto"/>
        <w:rPr>
          <w:sz w:val="20"/>
          <w:szCs w:val="20"/>
          <w:color w:val="auto"/>
        </w:rPr>
      </w:pPr>
      <w:r>
        <w:rPr>
          <w:rFonts w:ascii="Times New Roman" w:cs="Times New Roman" w:eastAsia="Times New Roman" w:hAnsi="Times New Roman"/>
          <w:sz w:val="17"/>
          <w:szCs w:val="17"/>
          <w:color w:val="252525"/>
        </w:rPr>
        <w:t xml:space="preserve">Product sales, net reflected sales of MARGENZA until the Company sold global rights to MARGENZA to TerSera in November 2024. Prior to the sale to TerSera, product revenue was recorded net of applicable reserves for variable consideration, including discounts and other allowances. The Company entered into a limited number of arrangements with specialty distributors in the United States to distribute MARGENZA. The delivery of the product represented a single performance obligation for these transactions and the Company recorded net product revenue when control was transferred to the customer, generally upon receipt by the customer. The transaction price for net product revenue represented the amount the Company expected to receive, which was net of estimated government-mandated rebates and chargebacks, distribution fees, estimated product returns, and other deductions. Accruals were established for these deductions, and actual amounts incurred were offset against applicable accruals. The Company recognized net product sales revenue of </w:t>
      </w:r>
      <w:r>
        <w:rPr>
          <w:rFonts w:ascii="Times New Roman" w:cs="Times New Roman" w:eastAsia="Times New Roman" w:hAnsi="Times New Roman"/>
          <w:sz w:val="17"/>
          <w:szCs w:val="17"/>
          <w:color w:val="000000"/>
        </w:rPr>
        <w:t>$16.4 million</w:t>
      </w:r>
      <w:r>
        <w:rPr>
          <w:rFonts w:ascii="Times New Roman" w:cs="Times New Roman" w:eastAsia="Times New Roman" w:hAnsi="Times New Roman"/>
          <w:sz w:val="17"/>
          <w:szCs w:val="17"/>
          <w:color w:val="252525"/>
        </w:rPr>
        <w:t>,</w:t>
      </w:r>
    </w:p>
    <w:p>
      <w:pPr>
        <w:spacing w:after="0"/>
        <w:rPr>
          <w:sz w:val="20"/>
          <w:szCs w:val="20"/>
          <w:color w:val="auto"/>
        </w:rPr>
      </w:pPr>
      <w:r>
        <w:rPr>
          <w:rFonts w:ascii="Times New Roman" w:cs="Times New Roman" w:eastAsia="Times New Roman" w:hAnsi="Times New Roman"/>
          <w:sz w:val="17"/>
          <w:szCs w:val="17"/>
          <w:color w:val="auto"/>
        </w:rPr>
        <w:t xml:space="preserve">$17.9 million </w:t>
      </w:r>
      <w:r>
        <w:rPr>
          <w:rFonts w:ascii="Times New Roman" w:cs="Times New Roman" w:eastAsia="Times New Roman" w:hAnsi="Times New Roman"/>
          <w:sz w:val="17"/>
          <w:szCs w:val="17"/>
          <w:color w:val="252525"/>
        </w:rPr>
        <w:t>and</w:t>
      </w:r>
      <w:r>
        <w:rPr>
          <w:rFonts w:ascii="Times New Roman" w:cs="Times New Roman" w:eastAsia="Times New Roman" w:hAnsi="Times New Roman"/>
          <w:sz w:val="17"/>
          <w:szCs w:val="17"/>
          <w:color w:val="auto"/>
        </w:rPr>
        <w:t xml:space="preserve"> $16.7 million </w:t>
      </w:r>
      <w:r>
        <w:rPr>
          <w:rFonts w:ascii="Times New Roman" w:cs="Times New Roman" w:eastAsia="Times New Roman" w:hAnsi="Times New Roman"/>
          <w:sz w:val="17"/>
          <w:szCs w:val="17"/>
          <w:color w:val="252525"/>
        </w:rPr>
        <w:t>during the years ended</w:t>
      </w:r>
      <w:r>
        <w:rPr>
          <w:rFonts w:ascii="Times New Roman" w:cs="Times New Roman" w:eastAsia="Times New Roman" w:hAnsi="Times New Roman"/>
          <w:sz w:val="17"/>
          <w:szCs w:val="17"/>
          <w:color w:val="auto"/>
        </w:rPr>
        <w:t xml:space="preserve"> December 31, 2024, 2023 and 2022, respectively.</w:t>
      </w:r>
    </w:p>
    <w:p>
      <w:pPr>
        <w:spacing w:after="0" w:line="151" w:lineRule="exact"/>
        <w:rPr>
          <w:sz w:val="20"/>
          <w:szCs w:val="20"/>
          <w:color w:val="auto"/>
        </w:rPr>
      </w:pPr>
    </w:p>
    <w:p>
      <w:pPr>
        <w:ind w:right="120" w:firstLine="625"/>
        <w:spacing w:after="0" w:line="274" w:lineRule="auto"/>
        <w:rPr>
          <w:sz w:val="20"/>
          <w:szCs w:val="20"/>
          <w:color w:val="auto"/>
        </w:rPr>
      </w:pPr>
      <w:r>
        <w:rPr>
          <w:rFonts w:ascii="Times New Roman" w:cs="Times New Roman" w:eastAsia="Times New Roman" w:hAnsi="Times New Roman"/>
          <w:sz w:val="17"/>
          <w:szCs w:val="17"/>
          <w:color w:val="252525"/>
        </w:rPr>
        <w:t xml:space="preserve">Pursuant to the sale of MARGENZA, the Company </w:t>
      </w:r>
      <w:r>
        <w:rPr>
          <w:rFonts w:ascii="Times New Roman" w:cs="Times New Roman" w:eastAsia="Times New Roman" w:hAnsi="Times New Roman"/>
          <w:sz w:val="17"/>
          <w:szCs w:val="17"/>
          <w:color w:val="000000"/>
        </w:rPr>
        <w:t>paid an $8.0 million amendment fee to Eversana Life Sciences Services, LLC (Eversana), a former</w:t>
      </w:r>
      <w:r>
        <w:rPr>
          <w:rFonts w:ascii="Times New Roman" w:cs="Times New Roman" w:eastAsia="Times New Roman" w:hAnsi="Times New Roman"/>
          <w:sz w:val="17"/>
          <w:szCs w:val="17"/>
          <w:color w:val="252525"/>
        </w:rPr>
        <w:t xml:space="preserve"> </w:t>
      </w:r>
      <w:r>
        <w:rPr>
          <w:rFonts w:ascii="Times New Roman" w:cs="Times New Roman" w:eastAsia="Times New Roman" w:hAnsi="Times New Roman"/>
          <w:sz w:val="17"/>
          <w:szCs w:val="17"/>
          <w:color w:val="000000"/>
        </w:rPr>
        <w:t>partner that had previously commercialized MARGENZA, which was recorded as selling, general and administrative expense in the consolidated statement of operations.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252525"/>
        </w:rPr>
        <w:t>Government Agreement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NIAID Contract</w:t>
      </w:r>
    </w:p>
    <w:p>
      <w:pPr>
        <w:spacing w:after="0" w:line="173" w:lineRule="exact"/>
        <w:rPr>
          <w:sz w:val="20"/>
          <w:szCs w:val="20"/>
          <w:color w:val="auto"/>
        </w:rPr>
      </w:pPr>
    </w:p>
    <w:p>
      <w:pPr>
        <w:ind w:firstLine="625"/>
        <w:spacing w:after="0" w:line="265" w:lineRule="auto"/>
        <w:rPr>
          <w:sz w:val="20"/>
          <w:szCs w:val="20"/>
          <w:color w:val="auto"/>
        </w:rPr>
      </w:pPr>
      <w:r>
        <w:rPr>
          <w:rFonts w:ascii="Times New Roman" w:cs="Times New Roman" w:eastAsia="Times New Roman" w:hAnsi="Times New Roman"/>
          <w:sz w:val="17"/>
          <w:szCs w:val="17"/>
          <w:color w:val="auto"/>
        </w:rPr>
        <w:t>The Company entered into a contract with the National Institute of Allergy and Infectious Diseases (NIAID), effective as of September 15, 2015, to perform product development and to advance up to two DART molecules, MGD014 and MGD020 (NIAID Contract). Under the NIAID Contract, the Company developed these product candidates for Phase 1/2 clinical trials as therapeutic agents, in combination with latency reversing treatments, to deplete cells infected with human immunodeficiency virus (HIV) infection. NIAID did not receive goods or services from the Company under this contract, therefore the Company did not consider NIAID to be a customer and concluded this contract was outside the scope of ASC 606.</w:t>
      </w:r>
    </w:p>
    <w:p>
      <w:pPr>
        <w:spacing w:after="0" w:line="119" w:lineRule="exact"/>
        <w:rPr>
          <w:sz w:val="20"/>
          <w:szCs w:val="20"/>
          <w:color w:val="auto"/>
        </w:rPr>
      </w:pPr>
    </w:p>
    <w:p>
      <w:pPr>
        <w:ind w:right="240" w:firstLine="625"/>
        <w:spacing w:after="0" w:line="274" w:lineRule="auto"/>
        <w:rPr>
          <w:sz w:val="20"/>
          <w:szCs w:val="20"/>
          <w:color w:val="auto"/>
        </w:rPr>
      </w:pPr>
      <w:r>
        <w:rPr>
          <w:rFonts w:ascii="Times New Roman" w:cs="Times New Roman" w:eastAsia="Times New Roman" w:hAnsi="Times New Roman"/>
          <w:sz w:val="17"/>
          <w:szCs w:val="17"/>
          <w:color w:val="auto"/>
        </w:rPr>
        <w:t>Both the Phase 1 study of MGD014 in persons with HIV maintained on antiretroviral therapy and the Phase 1 study of MGD020 alone and combined with MGD014 have been completed and the Company is in the process of closing out the contract. The Company recognized revenue of $1.6 million, $1.6 million and $1.9 million under the NIAID contract during the years ended December 31, 2024, 2023 and 2022, respectively.</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7"/>
          <w:szCs w:val="17"/>
          <w:b w:val="1"/>
          <w:bCs w:val="1"/>
          <w:color w:val="auto"/>
        </w:rPr>
        <w:t>9. Stock-based Compensation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Purchase Plan</w:t>
      </w:r>
    </w:p>
    <w:p>
      <w:pPr>
        <w:spacing w:after="0" w:line="173" w:lineRule="exact"/>
        <w:rPr>
          <w:sz w:val="20"/>
          <w:szCs w:val="20"/>
          <w:color w:val="auto"/>
        </w:rPr>
      </w:pPr>
    </w:p>
    <w:p>
      <w:pPr>
        <w:ind w:right="60" w:firstLine="625"/>
        <w:spacing w:after="0" w:line="261" w:lineRule="auto"/>
        <w:rPr>
          <w:sz w:val="20"/>
          <w:szCs w:val="20"/>
          <w:color w:val="auto"/>
        </w:rPr>
      </w:pPr>
      <w:r>
        <w:rPr>
          <w:rFonts w:ascii="Times New Roman" w:cs="Times New Roman" w:eastAsia="Times New Roman" w:hAnsi="Times New Roman"/>
          <w:sz w:val="17"/>
          <w:szCs w:val="17"/>
          <w:color w:val="auto"/>
        </w:rPr>
        <w:t>In May 2017, the Company’s stockholders approved the 2016 Employee Stock Purchase Plan (the 2016 ESPP). The 2016 ESPP is structured as a qualified employee stock purchase plan under Section 423 of the Internal Revenue Code of 1986, as amended, and is not subject to the provisions of the Employee Retirement Income Security Act of 1974. The Company reserved 800,000 shares of common stock for issuance under the 2016 ESPP. The 2016 ESPP allows eligible employees to purchase shares of the Company’s common stock at a discount through payroll deductions of up to 10% of their eligible compensation, subject to any plan limitations. The 2016 ESPP provides for six months offering periods ending on May 31 and November 30 of each year. At the end of each offering period, employees are able to purchase shares at 85% of the fair market value of the Company’s common stock on the last day of the offering period. During the year ended December 31, 2024, employees purchased 94,619 shares of common stock under the 2016 ESPP for net proceeds to the Company of approximately $0.3 million.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Incentive Plans</w:t>
      </w:r>
    </w:p>
    <w:p>
      <w:pPr>
        <w:spacing w:after="0" w:line="173" w:lineRule="exact"/>
        <w:rPr>
          <w:sz w:val="20"/>
          <w:szCs w:val="20"/>
          <w:color w:val="auto"/>
        </w:rPr>
      </w:pPr>
    </w:p>
    <w:p>
      <w:pPr>
        <w:ind w:right="80" w:firstLine="625"/>
        <w:spacing w:after="0" w:line="263" w:lineRule="auto"/>
        <w:rPr>
          <w:sz w:val="20"/>
          <w:szCs w:val="20"/>
          <w:color w:val="auto"/>
        </w:rPr>
      </w:pPr>
      <w:r>
        <w:rPr>
          <w:rFonts w:ascii="Times New Roman" w:cs="Times New Roman" w:eastAsia="Times New Roman" w:hAnsi="Times New Roman"/>
          <w:sz w:val="17"/>
          <w:szCs w:val="17"/>
          <w:color w:val="auto"/>
        </w:rPr>
        <w:t>In October 2013, the Company implemented the 2013 Equity Incentive Plan (2013 Plan). In May 2023, the 2013 Plan was terminated, and no further awards may be issued under the plan. If an option granted under the 2013 Plan expires or terminates for any reason without having been fully exercised, if any shares of restricted stock are forfeited, or if any award terminates, expires or is settled without all or a portion of the shares of common stock covered by the award being issued, such shares will become available for issuance under the 2023 Equity Incentive Plan (2023 Plan). As of December 31, 2024, under the 2013 Plan, there were options to purchase an aggregate of 10,613,229 shares of common stock outstanding at a weighted average exercise price of $14.96 per share. As of December 31, 2024, there were 404,449 unvested RSUs outstanding under the 2013 Plan.</w:t>
      </w:r>
    </w:p>
    <w:p>
      <w:pPr>
        <w:spacing w:after="0" w:line="121" w:lineRule="exact"/>
        <w:rPr>
          <w:sz w:val="20"/>
          <w:szCs w:val="20"/>
          <w:color w:val="auto"/>
        </w:rPr>
      </w:pPr>
    </w:p>
    <w:p>
      <w:pPr>
        <w:ind w:firstLine="625"/>
        <w:spacing w:after="0" w:line="260" w:lineRule="auto"/>
        <w:rPr>
          <w:sz w:val="20"/>
          <w:szCs w:val="20"/>
          <w:color w:val="auto"/>
        </w:rPr>
      </w:pPr>
      <w:r>
        <w:rPr>
          <w:rFonts w:ascii="Times New Roman" w:cs="Times New Roman" w:eastAsia="Times New Roman" w:hAnsi="Times New Roman"/>
          <w:sz w:val="17"/>
          <w:szCs w:val="17"/>
          <w:color w:val="auto"/>
        </w:rPr>
        <w:t>The 2023 Plan was effective as of stockholder approval in May 2023. The 2023 Plan provides for grants of stock options and other stock-based awards, as well as cash-based performance awards. The 2023 Plan authorized the issuance of up to an aggregate of 4,850,000 shares of common stock. In May 2024, the board and stockholders of the Company approved an amendment to the 2023 Plan to increase the number of shares of common stock available for issuance thereunder by 2,000,000 shares. Accordingly, the maximum number of shares of common stock authorized for issuance under the 2023 Plan is 6,850,000 shares. If an option expires or terminates for any reason without having been fully exercised, if any shares of restricted stock are forfeited, or if any award terminates, expires or is settled without all or a portion of the shares of common stock covered by the award being issued, such shares are available for the grant of additional awards. However, any shares that are withheld (or delivered) to pay withholding taxes or to pay the exercise price of an option are not available for the grant of additional awards. As of December 31, 2024, under the 2023 Plan, there were options to purchase an aggregate of 2,326,288 shares of common stock outstanding at a weighted average exercise price of $14.06 per share. As of December 31, 2024, there were 664,545 unvested RSUs outstanding under the 2023 Plan.</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following stock-based compensation amounts were recognized for the periods indicated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gridSpan w:val="6"/>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r>
      <w:tr>
        <w:trPr>
          <w:trHeight w:val="214"/>
        </w:trPr>
        <w:tc>
          <w:tcPr>
            <w:tcW w:w="7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11,759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10,094</w:t>
            </w:r>
          </w:p>
        </w:tc>
      </w:tr>
      <w:tr>
        <w:trPr>
          <w:trHeight w:val="221"/>
        </w:trPr>
        <w:tc>
          <w:tcPr>
            <w:tcW w:w="70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w:t>
            </w:r>
          </w:p>
        </w:tc>
        <w:tc>
          <w:tcPr>
            <w:tcW w:w="2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17,680</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9,183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10,344</w:t>
            </w:r>
          </w:p>
        </w:tc>
      </w:tr>
      <w:tr>
        <w:trPr>
          <w:trHeight w:val="239"/>
        </w:trPr>
        <w:tc>
          <w:tcPr>
            <w:tcW w:w="7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stock-based compensation expense</w:t>
            </w: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29,439</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18,373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20,438</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60" w:firstLine="625"/>
        <w:spacing w:after="0" w:line="262" w:lineRule="auto"/>
        <w:rPr>
          <w:sz w:val="20"/>
          <w:szCs w:val="20"/>
          <w:color w:val="auto"/>
        </w:rPr>
      </w:pPr>
      <w:r>
        <w:rPr>
          <w:rFonts w:ascii="Times New Roman" w:cs="Times New Roman" w:eastAsia="Times New Roman" w:hAnsi="Times New Roman"/>
          <w:sz w:val="17"/>
          <w:szCs w:val="17"/>
          <w:color w:val="auto"/>
        </w:rPr>
        <w:t>On October 25, 2024, Dr. Scott Koenig, the President and Chief Executive Officer of the Company and the Company entered into a separation and consulting agreement (the Separation Agreement), which provides for the terms of Dr. Koenig’s separation from employment, effective February 28, 2025 (the Separation Date). Under the Separation Agreement and in accordance with the terms of his employment agreement, the Company accelerated vesting of 50% of the unvested stock option awards and RSU awards granted to Dr. Koenig during his employment outstanding as of the Separation Date. Additionally, pursuant to the Separation Agreement, following Dr. Koenig’s Separation Date, Dr. Koenig will serve as an advisor to the Company. As compensation for the advisory services, all remaining unvested option awards and RSU awards as of the Separation Date will continue to vest during the advisory services period. Lastly, all outstanding, accelerated and continued vesting options during the advisory services were amended to extend the exercisability period. The Company evaluated</w:t>
      </w:r>
    </w:p>
    <w:p>
      <w:pPr>
        <w:spacing w:after="0" w:line="4" w:lineRule="exact"/>
        <w:rPr>
          <w:sz w:val="20"/>
          <w:szCs w:val="20"/>
          <w:color w:val="auto"/>
        </w:rPr>
      </w:pPr>
    </w:p>
    <w:p>
      <w:pPr>
        <w:ind w:right="120"/>
        <w:spacing w:after="0" w:line="268" w:lineRule="auto"/>
        <w:rPr>
          <w:sz w:val="20"/>
          <w:szCs w:val="20"/>
          <w:color w:val="auto"/>
        </w:rPr>
      </w:pPr>
      <w:r>
        <w:rPr>
          <w:rFonts w:ascii="Times New Roman" w:cs="Times New Roman" w:eastAsia="Times New Roman" w:hAnsi="Times New Roman"/>
          <w:sz w:val="17"/>
          <w:szCs w:val="17"/>
          <w:color w:val="auto"/>
        </w:rPr>
        <w:t xml:space="preserve">the impacts of the Separation Agreement and the related modifications to Dr. Koenig’s option awards and RSU awards. As a result, the Company recognized all additional stock-based compensation expense in 2024 in accordance with ASC Topic 718, </w:t>
      </w:r>
      <w:r>
        <w:rPr>
          <w:rFonts w:ascii="Times New Roman" w:cs="Times New Roman" w:eastAsia="Times New Roman" w:hAnsi="Times New Roman"/>
          <w:sz w:val="17"/>
          <w:szCs w:val="17"/>
          <w:i w:val="1"/>
          <w:iCs w:val="1"/>
          <w:color w:val="252525"/>
        </w:rPr>
        <w:t>Compensation – Stock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w:t>
      </w:r>
      <w:r>
        <w:rPr>
          <w:rFonts w:ascii="Times New Roman" w:cs="Times New Roman" w:eastAsia="Times New Roman" w:hAnsi="Times New Roman"/>
          <w:sz w:val="17"/>
          <w:szCs w:val="17"/>
          <w:color w:val="auto"/>
        </w:rPr>
        <w:t>ASC 718) in the amount of $6.1 million. On February 25, 2025, Dr. Koenig and the Company amended the Separation Agreement to extend Dr. Koenig’s Separation Date to a date to be determined by the Board</w:t>
      </w: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 - 25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913" w:right="339" w:bottom="1440" w:gutter="0" w:footer="0" w:header="0"/>
        </w:sectPr>
      </w:pPr>
    </w:p>
    <w:bookmarkStart w:id="104" w:name="page105"/>
    <w:bookmarkEnd w:id="104"/>
    <w:p>
      <w:pPr>
        <w:ind w:right="600"/>
        <w:spacing w:after="0" w:line="294" w:lineRule="auto"/>
        <w:rPr>
          <w:sz w:val="20"/>
          <w:szCs w:val="20"/>
          <w:color w:val="auto"/>
        </w:rPr>
      </w:pPr>
      <w:r>
        <w:rPr>
          <w:rFonts w:ascii="Times New Roman" w:cs="Times New Roman" w:eastAsia="Times New Roman" w:hAnsi="Times New Roman"/>
          <w:sz w:val="17"/>
          <w:szCs w:val="17"/>
          <w:color w:val="auto"/>
        </w:rPr>
        <w:t>of Directors of the Company as the special executive search committee of the Board of Directors continues its process to identify the next Chief Executive Officer of the Company.</w:t>
      </w:r>
    </w:p>
    <w:p>
      <w:pPr>
        <w:spacing w:after="0" w:line="17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assumptions used to estimate the fair value of Dr. Koenig’s modified awards in 2024 were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6360" w:type="dxa"/>
            <w:vAlign w:val="bottom"/>
            <w:shd w:val="clear" w:color="auto" w:fill="CCEEFF"/>
          </w:tcPr>
          <w:p>
            <w:pPr>
              <w:jc w:val="center"/>
              <w:ind w:left="1433"/>
              <w:spacing w:after="0"/>
              <w:rPr>
                <w:sz w:val="20"/>
                <w:szCs w:val="20"/>
                <w:color w:val="auto"/>
              </w:rPr>
            </w:pPr>
            <w:r>
              <w:rPr>
                <w:rFonts w:ascii="Times New Roman" w:cs="Times New Roman" w:eastAsia="Times New Roman" w:hAnsi="Times New Roman"/>
                <w:sz w:val="17"/>
                <w:szCs w:val="17"/>
                <w:color w:val="auto"/>
              </w:rPr>
              <w:t>0%</w:t>
            </w:r>
          </w:p>
        </w:tc>
      </w:tr>
      <w:tr>
        <w:trPr>
          <w:trHeight w:val="221"/>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6360" w:type="dxa"/>
            <w:vAlign w:val="bottom"/>
          </w:tcPr>
          <w:p>
            <w:pPr>
              <w:jc w:val="center"/>
              <w:ind w:left="1433"/>
              <w:spacing w:after="0"/>
              <w:rPr>
                <w:sz w:val="20"/>
                <w:szCs w:val="20"/>
                <w:color w:val="auto"/>
              </w:rPr>
            </w:pPr>
            <w:r>
              <w:rPr>
                <w:rFonts w:ascii="Times New Roman" w:cs="Times New Roman" w:eastAsia="Times New Roman" w:hAnsi="Times New Roman"/>
                <w:sz w:val="17"/>
                <w:szCs w:val="17"/>
                <w:color w:val="auto"/>
              </w:rPr>
              <w:t>108% -174%</w:t>
            </w:r>
          </w:p>
        </w:tc>
      </w:tr>
      <w:tr>
        <w:trPr>
          <w:trHeight w:val="221"/>
        </w:trPr>
        <w:tc>
          <w:tcPr>
            <w:tcW w:w="4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6360" w:type="dxa"/>
            <w:vAlign w:val="bottom"/>
            <w:shd w:val="clear" w:color="auto" w:fill="CCEEFF"/>
          </w:tcPr>
          <w:p>
            <w:pPr>
              <w:jc w:val="center"/>
              <w:ind w:left="1413"/>
              <w:spacing w:after="0"/>
              <w:rPr>
                <w:sz w:val="20"/>
                <w:szCs w:val="20"/>
                <w:color w:val="auto"/>
              </w:rPr>
            </w:pPr>
            <w:r>
              <w:rPr>
                <w:rFonts w:ascii="Times New Roman" w:cs="Times New Roman" w:eastAsia="Times New Roman" w:hAnsi="Times New Roman"/>
                <w:sz w:val="17"/>
                <w:szCs w:val="17"/>
                <w:color w:val="auto"/>
              </w:rPr>
              <w:t>4.2% - 4.3%</w:t>
            </w:r>
          </w:p>
        </w:tc>
      </w:tr>
      <w:tr>
        <w:trPr>
          <w:trHeight w:val="227"/>
        </w:trPr>
        <w:tc>
          <w:tcPr>
            <w:tcW w:w="48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w:t>
            </w:r>
          </w:p>
        </w:tc>
        <w:tc>
          <w:tcPr>
            <w:tcW w:w="6360" w:type="dxa"/>
            <w:vAlign w:val="bottom"/>
          </w:tcPr>
          <w:p>
            <w:pPr>
              <w:ind w:left="3180"/>
              <w:spacing w:after="0"/>
              <w:rPr>
                <w:sz w:val="20"/>
                <w:szCs w:val="20"/>
                <w:color w:val="auto"/>
              </w:rPr>
            </w:pPr>
            <w:r>
              <w:rPr>
                <w:rFonts w:ascii="Times New Roman" w:cs="Times New Roman" w:eastAsia="Times New Roman" w:hAnsi="Times New Roman"/>
                <w:sz w:val="17"/>
                <w:szCs w:val="17"/>
                <w:color w:val="auto"/>
              </w:rPr>
              <w:t>1.00 year - 5.50 years</w:t>
            </w: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Employee Stock Options</w:t>
      </w:r>
    </w:p>
    <w:p>
      <w:pPr>
        <w:spacing w:after="0" w:line="173" w:lineRule="exact"/>
        <w:rPr>
          <w:sz w:val="20"/>
          <w:szCs w:val="20"/>
          <w:color w:val="auto"/>
        </w:rPr>
      </w:pPr>
    </w:p>
    <w:p>
      <w:pPr>
        <w:ind w:right="160" w:firstLine="625"/>
        <w:spacing w:after="0" w:line="259" w:lineRule="auto"/>
        <w:rPr>
          <w:sz w:val="20"/>
          <w:szCs w:val="20"/>
          <w:color w:val="auto"/>
        </w:rPr>
      </w:pPr>
      <w:r>
        <w:rPr>
          <w:rFonts w:ascii="Times New Roman" w:cs="Times New Roman" w:eastAsia="Times New Roman" w:hAnsi="Times New Roman"/>
          <w:sz w:val="17"/>
          <w:szCs w:val="17"/>
          <w:color w:val="252525"/>
        </w:rPr>
        <w:t>The Company accounts for stock-based compensation to employees and non-employee directors in accordance with ASC 718. The Company estimates the fair value of stock option awards using the Black-Scholes option pricing model on the date of grant using the assumptions in the table below. Stock options granted to employees generally vest over four years and have a term of ten years. Stock-based compensation expense for stock options is recognized as expense over the requisite service period, which is the vesting period. As the Company has not paid dividends since inception, nor does it expect to pay any dividends for the foreseeable future, the expected dividend yield assumption is zero. The expected volatility is based on the historical stock volatility of the Company’s own common stock over a period equal to the expected term of the options. The risk-free rate of the stock options is based on the U.S. Treasury rate in effect at the time of grant for the expected term of the stock options. The Company calculates expected term based on the historical experience with similar awards, giving consideration to the contractual terms of the share-based awards, vesting schedules and expectations of future employee behavior. In addition, the Company estimates the expected forfeiture rate and only recognizes expense for those shares expected to vest. The Company estimates the forfeiture rate based on historical experience and its expectations regarding future pre-vesting termination behavior of employees. The Company reviews its estimate of the expected forfeiture rate annually, and stock-based compensation expense is adjusted accordingly.</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980" w:type="dxa"/>
            <w:vAlign w:val="bottom"/>
            <w:tcBorders>
              <w:bottom w:val="single" w:sz="8" w:color="auto"/>
            </w:tcBorders>
            <w:gridSpan w:val="11"/>
          </w:tcPr>
          <w:p>
            <w:pPr>
              <w:jc w:val="center"/>
              <w:ind w:right="980"/>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jc w:val="center"/>
              <w:ind w:right="13"/>
              <w:spacing w:after="0"/>
              <w:rPr>
                <w:sz w:val="20"/>
                <w:szCs w:val="20"/>
                <w:color w:val="auto"/>
              </w:rPr>
            </w:pPr>
            <w:r>
              <w:rPr>
                <w:rFonts w:ascii="Times New Roman" w:cs="Times New Roman" w:eastAsia="Times New Roman" w:hAnsi="Times New Roman"/>
                <w:sz w:val="17"/>
                <w:szCs w:val="17"/>
                <w:b w:val="1"/>
                <w:bCs w:val="1"/>
                <w:color w:val="auto"/>
                <w:w w:val="99"/>
              </w:rPr>
              <w:t>2024</w:t>
            </w:r>
          </w:p>
        </w:tc>
        <w:tc>
          <w:tcPr>
            <w:tcW w:w="1460" w:type="dxa"/>
            <w:vAlign w:val="bottom"/>
            <w:gridSpan w:val="5"/>
          </w:tcPr>
          <w:p>
            <w:pPr>
              <w:jc w:val="center"/>
              <w:ind w:left="45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2022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620" w:type="dxa"/>
            <w:vAlign w:val="bottom"/>
          </w:tcPr>
          <w:p>
            <w:pPr>
              <w:spacing w:after="0"/>
              <w:rPr>
                <w:sz w:val="18"/>
                <w:szCs w:val="18"/>
                <w:color w:val="auto"/>
              </w:rPr>
            </w:pPr>
          </w:p>
        </w:tc>
        <w:tc>
          <w:tcPr>
            <w:tcW w:w="5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Expected dividend yield</w:t>
            </w:r>
          </w:p>
        </w:tc>
        <w:tc>
          <w:tcPr>
            <w:tcW w:w="1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w w:val="96"/>
              </w:rPr>
              <w:t>0%</w:t>
            </w:r>
          </w:p>
        </w:tc>
        <w:tc>
          <w:tcPr>
            <w:tcW w:w="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ind w:left="213"/>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0%</w:t>
            </w: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right="13"/>
              <w:spacing w:after="0"/>
              <w:rPr>
                <w:sz w:val="20"/>
                <w:szCs w:val="20"/>
                <w:color w:val="auto"/>
              </w:rPr>
            </w:pPr>
            <w:r>
              <w:rPr>
                <w:rFonts w:ascii="Times New Roman" w:cs="Times New Roman" w:eastAsia="Times New Roman" w:hAnsi="Times New Roman"/>
                <w:sz w:val="17"/>
                <w:szCs w:val="17"/>
                <w:color w:val="auto"/>
              </w:rPr>
              <w:t>95% -116%</w:t>
            </w:r>
          </w:p>
        </w:tc>
        <w:tc>
          <w:tcPr>
            <w:tcW w:w="1460" w:type="dxa"/>
            <w:vAlign w:val="bottom"/>
            <w:gridSpan w:val="5"/>
          </w:tcPr>
          <w:p>
            <w:pPr>
              <w:jc w:val="center"/>
              <w:ind w:left="473"/>
              <w:spacing w:after="0"/>
              <w:rPr>
                <w:sz w:val="20"/>
                <w:szCs w:val="20"/>
                <w:color w:val="auto"/>
              </w:rPr>
            </w:pPr>
            <w:r>
              <w:rPr>
                <w:rFonts w:ascii="Times New Roman" w:cs="Times New Roman" w:eastAsia="Times New Roman" w:hAnsi="Times New Roman"/>
                <w:sz w:val="17"/>
                <w:szCs w:val="17"/>
                <w:color w:val="auto"/>
              </w:rPr>
              <w:t>76% - 96%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88% - 92%</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center"/>
              <w:ind w:right="13"/>
              <w:spacing w:after="0"/>
              <w:rPr>
                <w:sz w:val="20"/>
                <w:szCs w:val="20"/>
                <w:color w:val="auto"/>
              </w:rPr>
            </w:pPr>
            <w:r>
              <w:rPr>
                <w:rFonts w:ascii="Times New Roman" w:cs="Times New Roman" w:eastAsia="Times New Roman" w:hAnsi="Times New Roman"/>
                <w:sz w:val="17"/>
                <w:szCs w:val="17"/>
                <w:color w:val="auto"/>
              </w:rPr>
              <w:t>3.5% - 4.7%</w:t>
            </w:r>
          </w:p>
        </w:tc>
        <w:tc>
          <w:tcPr>
            <w:tcW w:w="1460" w:type="dxa"/>
            <w:vAlign w:val="bottom"/>
            <w:gridSpan w:val="5"/>
            <w:shd w:val="clear" w:color="auto" w:fill="CCEEFF"/>
          </w:tcPr>
          <w:p>
            <w:pPr>
              <w:jc w:val="center"/>
              <w:ind w:left="453"/>
              <w:spacing w:after="0"/>
              <w:rPr>
                <w:sz w:val="20"/>
                <w:szCs w:val="20"/>
                <w:color w:val="auto"/>
              </w:rPr>
            </w:pPr>
            <w:r>
              <w:rPr>
                <w:rFonts w:ascii="Times New Roman" w:cs="Times New Roman" w:eastAsia="Times New Roman" w:hAnsi="Times New Roman"/>
                <w:sz w:val="17"/>
                <w:szCs w:val="17"/>
                <w:color w:val="auto"/>
              </w:rPr>
              <w:t>3.5% - 4.8%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0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1.4% - 4.0</w:t>
            </w:r>
          </w:p>
        </w:tc>
        <w:tc>
          <w:tcPr>
            <w:tcW w:w="0" w:type="dxa"/>
            <w:vAlign w:val="bottom"/>
          </w:tcPr>
          <w:p>
            <w:pPr>
              <w:spacing w:after="0"/>
              <w:rPr>
                <w:sz w:val="1"/>
                <w:szCs w:val="1"/>
                <w:color w:val="auto"/>
              </w:rPr>
            </w:pPr>
          </w:p>
        </w:tc>
      </w:tr>
      <w:tr>
        <w:trPr>
          <w:trHeight w:val="227"/>
        </w:trPr>
        <w:tc>
          <w:tcPr>
            <w:tcW w:w="620" w:type="dxa"/>
            <w:vAlign w:val="bottom"/>
          </w:tcPr>
          <w:p>
            <w:pPr>
              <w:spacing w:after="0"/>
              <w:rPr>
                <w:sz w:val="19"/>
                <w:szCs w:val="19"/>
                <w:color w:val="auto"/>
              </w:rPr>
            </w:pPr>
          </w:p>
        </w:tc>
        <w:tc>
          <w:tcPr>
            <w:tcW w:w="50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Expected term</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6.06 years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ind w:left="113"/>
              <w:spacing w:after="0"/>
              <w:rPr>
                <w:sz w:val="20"/>
                <w:szCs w:val="20"/>
                <w:color w:val="auto"/>
              </w:rPr>
            </w:pPr>
            <w:r>
              <w:rPr>
                <w:rFonts w:ascii="Times New Roman" w:cs="Times New Roman" w:eastAsia="Times New Roman" w:hAnsi="Times New Roman"/>
                <w:sz w:val="17"/>
                <w:szCs w:val="17"/>
                <w:color w:val="auto"/>
              </w:rPr>
              <w:t>5.88 years</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5.95 years</w:t>
            </w:r>
          </w:p>
        </w:tc>
        <w:tc>
          <w:tcPr>
            <w:tcW w:w="0" w:type="dxa"/>
            <w:vAlign w:val="bottom"/>
          </w:tcPr>
          <w:p>
            <w:pPr>
              <w:spacing w:after="0"/>
              <w:rPr>
                <w:sz w:val="1"/>
                <w:szCs w:val="1"/>
                <w:color w:val="auto"/>
              </w:rPr>
            </w:pPr>
          </w:p>
        </w:tc>
      </w:tr>
      <w:tr>
        <w:trPr>
          <w:trHeight w:val="516"/>
        </w:trPr>
        <w:tc>
          <w:tcPr>
            <w:tcW w:w="620" w:type="dxa"/>
            <w:vAlign w:val="bottom"/>
          </w:tcPr>
          <w:p>
            <w:pPr>
              <w:spacing w:after="0"/>
              <w:rPr>
                <w:sz w:val="24"/>
                <w:szCs w:val="24"/>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7"/>
                <w:szCs w:val="17"/>
                <w:color w:val="auto"/>
              </w:rPr>
              <w:t>The following table summarizes stock option activity for 2024:</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1"/>
        </w:trPr>
        <w:tc>
          <w:tcPr>
            <w:tcW w:w="620" w:type="dxa"/>
            <w:vAlign w:val="bottom"/>
          </w:tcPr>
          <w:p>
            <w:pPr>
              <w:spacing w:after="0"/>
              <w:rPr>
                <w:sz w:val="17"/>
                <w:szCs w:val="17"/>
                <w:color w:val="auto"/>
              </w:rPr>
            </w:pPr>
          </w:p>
        </w:tc>
        <w:tc>
          <w:tcPr>
            <w:tcW w:w="50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20" w:type="dxa"/>
            <w:vAlign w:val="bottom"/>
            <w:gridSpan w:val="2"/>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2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b w:val="1"/>
                <w:bCs w:val="1"/>
                <w:color w:val="auto"/>
              </w:rPr>
              <w:t>Weighted-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180"/>
              <w:spacing w:after="0" w:line="169" w:lineRule="exact"/>
              <w:rPr>
                <w:sz w:val="20"/>
                <w:szCs w:val="20"/>
                <w:color w:val="auto"/>
              </w:rPr>
            </w:pPr>
            <w:r>
              <w:rPr>
                <w:rFonts w:ascii="Times New Roman" w:cs="Times New Roman" w:eastAsia="Times New Roman" w:hAnsi="Times New Roman"/>
                <w:sz w:val="17"/>
                <w:szCs w:val="17"/>
                <w:b w:val="1"/>
                <w:bCs w:val="1"/>
                <w:color w:val="auto"/>
              </w:rPr>
              <w:t>Remaining</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7"/>
                <w:szCs w:val="17"/>
                <w:b w:val="1"/>
                <w:bCs w:val="1"/>
                <w:color w:val="auto"/>
              </w:rPr>
              <w:t>Aggregate</w:t>
            </w:r>
          </w:p>
        </w:tc>
        <w:tc>
          <w:tcPr>
            <w:tcW w:w="0" w:type="dxa"/>
            <w:vAlign w:val="bottom"/>
          </w:tcPr>
          <w:p>
            <w:pPr>
              <w:spacing w:after="0"/>
              <w:rPr>
                <w:sz w:val="1"/>
                <w:szCs w:val="1"/>
                <w:color w:val="auto"/>
              </w:rPr>
            </w:pPr>
          </w:p>
        </w:tc>
      </w:tr>
      <w:tr>
        <w:trPr>
          <w:trHeight w:val="175"/>
        </w:trPr>
        <w:tc>
          <w:tcPr>
            <w:tcW w:w="6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180"/>
              <w:spacing w:after="0" w:line="175" w:lineRule="exact"/>
              <w:rPr>
                <w:sz w:val="20"/>
                <w:szCs w:val="20"/>
                <w:color w:val="auto"/>
              </w:rPr>
            </w:pPr>
            <w:r>
              <w:rPr>
                <w:rFonts w:ascii="Times New Roman" w:cs="Times New Roman" w:eastAsia="Times New Roman" w:hAnsi="Times New Roman"/>
                <w:sz w:val="17"/>
                <w:szCs w:val="17"/>
                <w:b w:val="1"/>
                <w:bCs w:val="1"/>
                <w:color w:val="auto"/>
              </w:rPr>
              <w:t>Contractual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620" w:type="dxa"/>
            <w:vAlign w:val="bottom"/>
          </w:tcPr>
          <w:p>
            <w:pPr>
              <w:spacing w:after="0"/>
              <w:rPr>
                <w:sz w:val="15"/>
                <w:szCs w:val="15"/>
                <w:color w:val="auto"/>
              </w:rPr>
            </w:pPr>
          </w:p>
        </w:tc>
        <w:tc>
          <w:tcPr>
            <w:tcW w:w="5040" w:type="dxa"/>
            <w:vAlign w:val="bottom"/>
          </w:tcPr>
          <w:p>
            <w:pPr>
              <w:spacing w:after="0"/>
              <w:rPr>
                <w:sz w:val="15"/>
                <w:szCs w:val="15"/>
                <w:color w:val="auto"/>
              </w:rPr>
            </w:pPr>
          </w:p>
        </w:tc>
        <w:tc>
          <w:tcPr>
            <w:tcW w:w="1320" w:type="dxa"/>
            <w:vAlign w:val="bottom"/>
            <w:vMerge w:val="restart"/>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9"/>
              </w:rPr>
              <w:t>Average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2"/>
          </w:tcPr>
          <w:p>
            <w:pPr>
              <w:jc w:val="center"/>
              <w:ind w:right="200"/>
              <w:spacing w:after="0" w:line="176" w:lineRule="exact"/>
              <w:rPr>
                <w:sz w:val="20"/>
                <w:szCs w:val="20"/>
                <w:color w:val="auto"/>
              </w:rPr>
            </w:pPr>
            <w:r>
              <w:rPr>
                <w:rFonts w:ascii="Times New Roman" w:cs="Times New Roman" w:eastAsia="Times New Roman" w:hAnsi="Times New Roman"/>
                <w:sz w:val="17"/>
                <w:szCs w:val="17"/>
                <w:b w:val="1"/>
                <w:bCs w:val="1"/>
                <w:color w:val="auto"/>
                <w:w w:val="98"/>
              </w:rPr>
              <w:t>Term</w:t>
            </w:r>
          </w:p>
        </w:tc>
        <w:tc>
          <w:tcPr>
            <w:tcW w:w="120" w:type="dxa"/>
            <w:vAlign w:val="bottom"/>
          </w:tcPr>
          <w:p>
            <w:pPr>
              <w:spacing w:after="0"/>
              <w:rPr>
                <w:sz w:val="15"/>
                <w:szCs w:val="15"/>
                <w:color w:val="auto"/>
              </w:rPr>
            </w:pPr>
          </w:p>
        </w:tc>
        <w:tc>
          <w:tcPr>
            <w:tcW w:w="1300" w:type="dxa"/>
            <w:vAlign w:val="bottom"/>
            <w:gridSpan w:val="4"/>
          </w:tcPr>
          <w:p>
            <w:pPr>
              <w:jc w:val="center"/>
              <w:ind w:right="200"/>
              <w:spacing w:after="0" w:line="176" w:lineRule="exact"/>
              <w:rPr>
                <w:sz w:val="20"/>
                <w:szCs w:val="20"/>
                <w:color w:val="auto"/>
              </w:rPr>
            </w:pPr>
            <w:r>
              <w:rPr>
                <w:rFonts w:ascii="Times New Roman" w:cs="Times New Roman" w:eastAsia="Times New Roman" w:hAnsi="Times New Roman"/>
                <w:sz w:val="17"/>
                <w:szCs w:val="17"/>
                <w:b w:val="1"/>
                <w:bCs w:val="1"/>
                <w:color w:val="auto"/>
              </w:rPr>
              <w:t>Intrinsic Value</w:t>
            </w:r>
          </w:p>
        </w:tc>
        <w:tc>
          <w:tcPr>
            <w:tcW w:w="0" w:type="dxa"/>
            <w:vAlign w:val="bottom"/>
          </w:tcPr>
          <w:p>
            <w:pPr>
              <w:spacing w:after="0"/>
              <w:rPr>
                <w:sz w:val="1"/>
                <w:szCs w:val="1"/>
                <w:color w:val="auto"/>
              </w:rPr>
            </w:pPr>
          </w:p>
        </w:tc>
      </w:tr>
      <w:tr>
        <w:trPr>
          <w:trHeight w:val="221"/>
        </w:trPr>
        <w:tc>
          <w:tcPr>
            <w:tcW w:w="6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Exercise Price</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20" w:type="dxa"/>
            <w:vAlign w:val="bottom"/>
            <w:gridSpan w:val="2"/>
          </w:tcPr>
          <w:p>
            <w:pPr>
              <w:jc w:val="center"/>
              <w:ind w:right="180"/>
              <w:spacing w:after="0"/>
              <w:rPr>
                <w:sz w:val="20"/>
                <w:szCs w:val="20"/>
                <w:color w:val="auto"/>
              </w:rPr>
            </w:pPr>
            <w:r>
              <w:rPr>
                <w:rFonts w:ascii="Times New Roman" w:cs="Times New Roman" w:eastAsia="Times New Roman" w:hAnsi="Times New Roman"/>
                <w:sz w:val="17"/>
                <w:szCs w:val="17"/>
                <w:b w:val="1"/>
                <w:bCs w:val="1"/>
                <w:color w:val="auto"/>
              </w:rPr>
              <w:t>(Years)</w:t>
            </w:r>
          </w:p>
        </w:tc>
        <w:tc>
          <w:tcPr>
            <w:tcW w:w="120" w:type="dxa"/>
            <w:vAlign w:val="bottom"/>
          </w:tcPr>
          <w:p>
            <w:pPr>
              <w:spacing w:after="0"/>
              <w:rPr>
                <w:sz w:val="19"/>
                <w:szCs w:val="19"/>
                <w:color w:val="auto"/>
              </w:rPr>
            </w:pPr>
          </w:p>
        </w:tc>
        <w:tc>
          <w:tcPr>
            <w:tcW w:w="1300" w:type="dxa"/>
            <w:vAlign w:val="bottom"/>
            <w:gridSpan w:val="4"/>
          </w:tcPr>
          <w:p>
            <w:pPr>
              <w:jc w:val="center"/>
              <w:ind w:right="200"/>
              <w:spacing w:after="0"/>
              <w:rPr>
                <w:sz w:val="20"/>
                <w:szCs w:val="20"/>
                <w:color w:val="auto"/>
              </w:rPr>
            </w:pPr>
            <w:r>
              <w:rPr>
                <w:rFonts w:ascii="Times New Roman" w:cs="Times New Roman" w:eastAsia="Times New Roman" w:hAnsi="Times New Roman"/>
                <w:sz w:val="17"/>
                <w:szCs w:val="17"/>
                <w:b w:val="1"/>
                <w:bCs w:val="1"/>
                <w:color w:val="auto"/>
              </w:rPr>
              <w:t>(in thousands)</w:t>
            </w:r>
          </w:p>
        </w:tc>
        <w:tc>
          <w:tcPr>
            <w:tcW w:w="0" w:type="dxa"/>
            <w:vAlign w:val="bottom"/>
          </w:tcPr>
          <w:p>
            <w:pPr>
              <w:spacing w:after="0"/>
              <w:rPr>
                <w:sz w:val="1"/>
                <w:szCs w:val="1"/>
                <w:color w:val="auto"/>
              </w:rPr>
            </w:pPr>
          </w:p>
        </w:tc>
      </w:tr>
      <w:tr>
        <w:trPr>
          <w:trHeight w:val="214"/>
        </w:trPr>
        <w:tc>
          <w:tcPr>
            <w:tcW w:w="566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December 31, 2023</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12,223,637</w:t>
            </w:r>
          </w:p>
        </w:tc>
        <w:tc>
          <w:tcPr>
            <w:tcW w:w="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gridSpan w:val="2"/>
            <w:shd w:val="clear" w:color="auto" w:fill="CCEEFF"/>
          </w:tcPr>
          <w:p>
            <w:pPr>
              <w:spacing w:after="0"/>
              <w:rPr>
                <w:sz w:val="18"/>
                <w:szCs w:val="18"/>
                <w:color w:val="auto"/>
              </w:rPr>
            </w:pPr>
          </w:p>
        </w:tc>
        <w:tc>
          <w:tcPr>
            <w:tcW w:w="13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6.7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1,986,182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Exercised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9.38</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Forfeited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(165,111)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11.44</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(771,669)</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25.67</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Outstanding, December 31, 2024</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12,939,517</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460" w:type="dxa"/>
            <w:vAlign w:val="bottom"/>
            <w:gridSpan w:val="5"/>
          </w:tcPr>
          <w:p>
            <w:pPr>
              <w:jc w:val="center"/>
              <w:ind w:left="73"/>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 w:type="dxa"/>
            <w:vAlign w:val="bottom"/>
            <w:tcBorders>
              <w:bottom w:val="single" w:sz="8" w:color="CCEEFF"/>
            </w:tcBorders>
          </w:tcPr>
          <w:p>
            <w:pPr>
              <w:spacing w:after="0" w:line="20" w:lineRule="exact"/>
              <w:rPr>
                <w:sz w:val="1"/>
                <w:szCs w:val="1"/>
                <w:color w:val="auto"/>
              </w:rPr>
            </w:pPr>
          </w:p>
        </w:tc>
        <w:tc>
          <w:tcPr>
            <w:tcW w:w="5040" w:type="dxa"/>
            <w:vAlign w:val="bottom"/>
            <w:tcBorders>
              <w:bottom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CCEE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5660" w:type="dxa"/>
            <w:vAlign w:val="bottom"/>
            <w:gridSpan w:val="2"/>
            <w:shd w:val="clear" w:color="auto" w:fill="CCEEFF"/>
          </w:tcPr>
          <w:p>
            <w:pPr>
              <w:ind w:left="20"/>
              <w:spacing w:after="0" w:line="188" w:lineRule="exact"/>
              <w:rPr>
                <w:sz w:val="20"/>
                <w:szCs w:val="20"/>
                <w:color w:val="auto"/>
              </w:rPr>
            </w:pPr>
            <w:r>
              <w:rPr>
                <w:rFonts w:ascii="Times New Roman" w:cs="Times New Roman" w:eastAsia="Times New Roman" w:hAnsi="Times New Roman"/>
                <w:sz w:val="17"/>
                <w:szCs w:val="17"/>
                <w:color w:val="auto"/>
              </w:rPr>
              <w:t>As of December 31, 2024:</w:t>
            </w:r>
          </w:p>
        </w:tc>
        <w:tc>
          <w:tcPr>
            <w:tcW w:w="13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66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Exercisable</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9,004,928</w:t>
            </w:r>
          </w:p>
        </w:tc>
        <w:tc>
          <w:tcPr>
            <w:tcW w:w="2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16.68</w:t>
            </w:r>
          </w:p>
        </w:tc>
        <w:tc>
          <w:tcPr>
            <w:tcW w:w="1460" w:type="dxa"/>
            <w:vAlign w:val="bottom"/>
            <w:gridSpan w:val="5"/>
          </w:tcPr>
          <w:p>
            <w:pPr>
              <w:jc w:val="center"/>
              <w:ind w:left="73"/>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5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Vested and expected to vest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12,456,248</w:t>
            </w:r>
          </w:p>
        </w:tc>
        <w:tc>
          <w:tcPr>
            <w:tcW w:w="22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w:t>
            </w:r>
          </w:p>
        </w:tc>
        <w:tc>
          <w:tcPr>
            <w:tcW w:w="1460" w:type="dxa"/>
            <w:vAlign w:val="bottom"/>
            <w:gridSpan w:val="5"/>
            <w:shd w:val="clear" w:color="auto" w:fill="CCEEFF"/>
          </w:tcPr>
          <w:p>
            <w:pPr>
              <w:jc w:val="center"/>
              <w:ind w:left="73"/>
              <w:spacing w:after="0"/>
              <w:rPr>
                <w:sz w:val="20"/>
                <w:szCs w:val="20"/>
                <w:color w:val="auto"/>
              </w:rPr>
            </w:pPr>
            <w:r>
              <w:rPr>
                <w:rFonts w:ascii="Times New Roman" w:cs="Times New Roman" w:eastAsia="Times New Roman" w:hAnsi="Times New Roman"/>
                <w:sz w:val="17"/>
                <w:szCs w:val="17"/>
                <w:color w:val="auto"/>
              </w:rPr>
              <w:t>6.3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20" w:firstLine="625"/>
        <w:spacing w:after="0" w:line="294" w:lineRule="auto"/>
        <w:rPr>
          <w:sz w:val="20"/>
          <w:szCs w:val="20"/>
          <w:color w:val="auto"/>
        </w:rPr>
      </w:pPr>
      <w:r>
        <w:rPr>
          <w:rFonts w:ascii="Times New Roman" w:cs="Times New Roman" w:eastAsia="Times New Roman" w:hAnsi="Times New Roman"/>
          <w:sz w:val="17"/>
          <w:szCs w:val="17"/>
          <w:color w:val="auto"/>
        </w:rPr>
        <w:t>As of December 31, 2024, the total unrecognized compensation expense related to unvested stock options, net of related forfeiture estimates, was approximately $20.1 million, which the Company expects to recognize over a weighted-</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F - 26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340"/>
          </w:cols>
          <w:pgMar w:left="320" w:top="863" w:right="23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7"/>
          <w:szCs w:val="17"/>
          <w:color w:val="auto"/>
        </w:rPr>
        <w:t>average period of approximately 1.4 years. The following table summarizes additional information on stock options (in 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820" w:type="dxa"/>
            <w:vAlign w:val="bottom"/>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5"/>
          </w:tcPr>
          <w:p>
            <w:pPr>
              <w:ind w:left="40"/>
              <w:spacing w:after="0"/>
              <w:rPr>
                <w:sz w:val="20"/>
                <w:szCs w:val="20"/>
                <w:color w:val="auto"/>
              </w:rPr>
            </w:pPr>
            <w:r>
              <w:rPr>
                <w:rFonts w:ascii="Times New Roman" w:cs="Times New Roman" w:eastAsia="Times New Roman" w:hAnsi="Times New Roman"/>
                <w:sz w:val="17"/>
                <w:szCs w:val="17"/>
                <w:b w:val="1"/>
                <w:bCs w:val="1"/>
                <w:color w:val="auto"/>
                <w:w w:val="99"/>
              </w:rPr>
              <w:t>Year Ended December 31,</w:t>
            </w:r>
          </w:p>
        </w:tc>
        <w:tc>
          <w:tcPr>
            <w:tcW w:w="4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5820" w:type="dxa"/>
            <w:vAlign w:val="bottom"/>
            <w:tcBorders>
              <w:bottom w:val="single" w:sz="8" w:color="CCEEFF"/>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64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7"/>
                <w:szCs w:val="17"/>
                <w:b w:val="1"/>
                <w:bCs w:val="1"/>
                <w:color w:val="auto"/>
              </w:rPr>
              <w:t>2022</w:t>
            </w:r>
          </w:p>
        </w:tc>
        <w:tc>
          <w:tcPr>
            <w:tcW w:w="0" w:type="dxa"/>
            <w:vAlign w:val="bottom"/>
          </w:tcPr>
          <w:p>
            <w:pPr>
              <w:spacing w:after="0"/>
              <w:rPr>
                <w:sz w:val="1"/>
                <w:szCs w:val="1"/>
                <w:color w:val="auto"/>
              </w:rPr>
            </w:pPr>
          </w:p>
        </w:tc>
      </w:tr>
      <w:tr>
        <w:trPr>
          <w:trHeight w:val="214"/>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Shares of common stock issued with stock options exercises</w:t>
            </w:r>
          </w:p>
        </w:tc>
        <w:tc>
          <w:tcPr>
            <w:tcW w:w="10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333,522</w:t>
            </w: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34,608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120,900</w:t>
            </w:r>
          </w:p>
        </w:tc>
        <w:tc>
          <w:tcPr>
            <w:tcW w:w="0" w:type="dxa"/>
            <w:vAlign w:val="bottom"/>
          </w:tcPr>
          <w:p>
            <w:pPr>
              <w:spacing w:after="0"/>
              <w:rPr>
                <w:sz w:val="1"/>
                <w:szCs w:val="1"/>
                <w:color w:val="auto"/>
              </w:rPr>
            </w:pPr>
          </w:p>
        </w:tc>
      </w:tr>
      <w:tr>
        <w:trPr>
          <w:trHeight w:val="221"/>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Weighted-average fair value per share of stock options granted</w:t>
            </w:r>
          </w:p>
        </w:tc>
        <w:tc>
          <w:tcPr>
            <w:tcW w:w="1080" w:type="dxa"/>
            <w:vAlign w:val="bottom"/>
          </w:tcPr>
          <w:p>
            <w:pPr>
              <w:jc w:val="right"/>
              <w:ind w:right="87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12.61</w:t>
            </w:r>
          </w:p>
        </w:tc>
        <w:tc>
          <w:tcPr>
            <w:tcW w:w="520" w:type="dxa"/>
            <w:vAlign w:val="bottom"/>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6.84</w:t>
            </w:r>
          </w:p>
        </w:tc>
        <w:tc>
          <w:tcPr>
            <w:tcW w:w="0" w:type="dxa"/>
            <w:vAlign w:val="bottom"/>
          </w:tcPr>
          <w:p>
            <w:pPr>
              <w:spacing w:after="0"/>
              <w:rPr>
                <w:sz w:val="1"/>
                <w:szCs w:val="1"/>
                <w:color w:val="auto"/>
              </w:rPr>
            </w:pPr>
          </w:p>
        </w:tc>
      </w:tr>
      <w:tr>
        <w:trPr>
          <w:trHeight w:val="37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intrinsic value of stock options exercised</w:t>
            </w:r>
          </w:p>
        </w:tc>
        <w:tc>
          <w:tcPr>
            <w:tcW w:w="1080" w:type="dxa"/>
            <w:vAlign w:val="bottom"/>
            <w:vMerge w:val="restart"/>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2,617</w:t>
            </w:r>
          </w:p>
        </w:tc>
        <w:tc>
          <w:tcPr>
            <w:tcW w:w="52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100" w:type="dxa"/>
            <w:vAlign w:val="bottom"/>
            <w:shd w:val="clear" w:color="auto" w:fill="CCEEFF"/>
          </w:tcPr>
          <w:p>
            <w:pPr>
              <w:spacing w:after="0"/>
              <w:rPr>
                <w:sz w:val="24"/>
                <w:szCs w:val="24"/>
                <w:color w:val="auto"/>
              </w:rPr>
            </w:pPr>
          </w:p>
        </w:tc>
        <w:tc>
          <w:tcPr>
            <w:tcW w:w="400" w:type="dxa"/>
            <w:vAlign w:val="bottom"/>
            <w:vMerge w:val="restart"/>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634</w:t>
            </w:r>
          </w:p>
        </w:tc>
        <w:tc>
          <w:tcPr>
            <w:tcW w:w="0" w:type="dxa"/>
            <w:vAlign w:val="bottom"/>
          </w:tcPr>
          <w:p>
            <w:pPr>
              <w:spacing w:after="0"/>
              <w:rPr>
                <w:sz w:val="1"/>
                <w:szCs w:val="1"/>
                <w:color w:val="auto"/>
              </w:rPr>
            </w:pPr>
          </w:p>
        </w:tc>
      </w:tr>
      <w:tr>
        <w:trPr>
          <w:trHeight w:val="156"/>
        </w:trPr>
        <w:tc>
          <w:tcPr>
            <w:tcW w:w="582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58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cash received for stock options exercised</w:t>
            </w:r>
          </w:p>
        </w:tc>
        <w:tc>
          <w:tcPr>
            <w:tcW w:w="1080" w:type="dxa"/>
            <w:vAlign w:val="bottom"/>
            <w:vMerge w:val="restart"/>
          </w:tcPr>
          <w:p>
            <w:pPr>
              <w:jc w:val="right"/>
              <w:ind w:right="87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3,128</w:t>
            </w:r>
          </w:p>
        </w:tc>
        <w:tc>
          <w:tcPr>
            <w:tcW w:w="520" w:type="dxa"/>
            <w:vAlign w:val="bottom"/>
            <w:gridSpan w:val="3"/>
            <w:vMerge w:val="restart"/>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100" w:type="dxa"/>
            <w:vAlign w:val="bottom"/>
          </w:tcPr>
          <w:p>
            <w:pPr>
              <w:spacing w:after="0"/>
              <w:rPr>
                <w:sz w:val="24"/>
                <w:szCs w:val="24"/>
                <w:color w:val="auto"/>
              </w:rPr>
            </w:pPr>
          </w:p>
        </w:tc>
        <w:tc>
          <w:tcPr>
            <w:tcW w:w="400" w:type="dxa"/>
            <w:vAlign w:val="bottom"/>
            <w:vMerge w:val="restart"/>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172</w:t>
            </w:r>
          </w:p>
        </w:tc>
        <w:tc>
          <w:tcPr>
            <w:tcW w:w="0" w:type="dxa"/>
            <w:vAlign w:val="bottom"/>
          </w:tcPr>
          <w:p>
            <w:pPr>
              <w:spacing w:after="0"/>
              <w:rPr>
                <w:sz w:val="1"/>
                <w:szCs w:val="1"/>
                <w:color w:val="auto"/>
              </w:rPr>
            </w:pPr>
          </w:p>
        </w:tc>
      </w:tr>
      <w:tr>
        <w:trPr>
          <w:trHeight w:val="156"/>
        </w:trPr>
        <w:tc>
          <w:tcPr>
            <w:tcW w:w="5820" w:type="dxa"/>
            <w:vAlign w:val="bottom"/>
          </w:tcPr>
          <w:p>
            <w:pPr>
              <w:spacing w:after="0"/>
              <w:rPr>
                <w:sz w:val="13"/>
                <w:szCs w:val="13"/>
                <w:color w:val="auto"/>
              </w:rPr>
            </w:pPr>
          </w:p>
        </w:tc>
        <w:tc>
          <w:tcPr>
            <w:tcW w:w="10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520" w:type="dxa"/>
            <w:vAlign w:val="bottom"/>
            <w:gridSpan w:val="3"/>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7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grant date fair value of stock options vested</w:t>
            </w:r>
          </w:p>
        </w:tc>
        <w:tc>
          <w:tcPr>
            <w:tcW w:w="1080" w:type="dxa"/>
            <w:vAlign w:val="bottom"/>
            <w:vMerge w:val="restart"/>
            <w:shd w:val="clear" w:color="auto" w:fill="CCEEFF"/>
          </w:tcPr>
          <w:p>
            <w:pPr>
              <w:jc w:val="right"/>
              <w:ind w:right="873"/>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17,992</w:t>
            </w:r>
          </w:p>
        </w:tc>
        <w:tc>
          <w:tcPr>
            <w:tcW w:w="520" w:type="dxa"/>
            <w:vAlign w:val="bottom"/>
            <w:gridSpan w:val="3"/>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16,435</w:t>
            </w:r>
          </w:p>
        </w:tc>
        <w:tc>
          <w:tcPr>
            <w:tcW w:w="100" w:type="dxa"/>
            <w:vAlign w:val="bottom"/>
            <w:shd w:val="clear" w:color="auto" w:fill="CCEEFF"/>
          </w:tcPr>
          <w:p>
            <w:pPr>
              <w:spacing w:after="0"/>
              <w:rPr>
                <w:sz w:val="24"/>
                <w:szCs w:val="24"/>
                <w:color w:val="auto"/>
              </w:rPr>
            </w:pPr>
          </w:p>
        </w:tc>
        <w:tc>
          <w:tcPr>
            <w:tcW w:w="400" w:type="dxa"/>
            <w:vAlign w:val="bottom"/>
            <w:vMerge w:val="restart"/>
            <w:shd w:val="clear" w:color="auto" w:fill="CCEEFF"/>
          </w:tcPr>
          <w:p>
            <w:pPr>
              <w:jc w:val="right"/>
              <w:ind w:right="213"/>
              <w:spacing w:after="0"/>
              <w:rPr>
                <w:sz w:val="20"/>
                <w:szCs w:val="20"/>
                <w:color w:val="auto"/>
              </w:rPr>
            </w:pPr>
            <w:r>
              <w:rPr>
                <w:rFonts w:ascii="Times New Roman" w:cs="Times New Roman" w:eastAsia="Times New Roman" w:hAnsi="Times New Roman"/>
                <w:sz w:val="17"/>
                <w:szCs w:val="17"/>
                <w:color w:val="auto"/>
                <w:w w:val="93"/>
              </w:rPr>
              <w:t>$</w:t>
            </w:r>
          </w:p>
        </w:tc>
        <w:tc>
          <w:tcPr>
            <w:tcW w:w="13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19,573</w:t>
            </w:r>
          </w:p>
        </w:tc>
        <w:tc>
          <w:tcPr>
            <w:tcW w:w="0" w:type="dxa"/>
            <w:vAlign w:val="bottom"/>
          </w:tcPr>
          <w:p>
            <w:pPr>
              <w:spacing w:after="0"/>
              <w:rPr>
                <w:sz w:val="1"/>
                <w:szCs w:val="1"/>
                <w:color w:val="auto"/>
              </w:rPr>
            </w:pPr>
          </w:p>
        </w:tc>
      </w:tr>
      <w:tr>
        <w:trPr>
          <w:trHeight w:val="156"/>
        </w:trPr>
        <w:tc>
          <w:tcPr>
            <w:tcW w:w="5820" w:type="dxa"/>
            <w:vAlign w:val="bottom"/>
            <w:shd w:val="clear" w:color="auto" w:fill="CCEEFF"/>
          </w:tcPr>
          <w:p>
            <w:pPr>
              <w:spacing w:after="0"/>
              <w:rPr>
                <w:sz w:val="13"/>
                <w:szCs w:val="13"/>
                <w:color w:val="auto"/>
              </w:rPr>
            </w:pPr>
          </w:p>
        </w:tc>
        <w:tc>
          <w:tcPr>
            <w:tcW w:w="1080" w:type="dxa"/>
            <w:vAlign w:val="bottom"/>
            <w:vMerge w:val="continue"/>
            <w:shd w:val="clear" w:color="auto" w:fill="CCEEFF"/>
          </w:tcPr>
          <w:p>
            <w:pPr>
              <w:spacing w:after="0"/>
              <w:rPr>
                <w:sz w:val="13"/>
                <w:szCs w:val="13"/>
                <w:color w:val="auto"/>
              </w:rPr>
            </w:pPr>
          </w:p>
        </w:tc>
        <w:tc>
          <w:tcPr>
            <w:tcW w:w="640" w:type="dxa"/>
            <w:vAlign w:val="bottom"/>
            <w:vMerge w:val="continue"/>
            <w:shd w:val="clear" w:color="auto" w:fill="CCEEFF"/>
          </w:tcPr>
          <w:p>
            <w:pPr>
              <w:spacing w:after="0"/>
              <w:rPr>
                <w:sz w:val="13"/>
                <w:szCs w:val="13"/>
                <w:color w:val="auto"/>
              </w:rPr>
            </w:pPr>
          </w:p>
        </w:tc>
        <w:tc>
          <w:tcPr>
            <w:tcW w:w="520" w:type="dxa"/>
            <w:vAlign w:val="bottom"/>
            <w:gridSpan w:val="3"/>
            <w:vMerge w:val="continue"/>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134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121" w:lineRule="exact"/>
        <w:rPr>
          <w:sz w:val="20"/>
          <w:szCs w:val="20"/>
          <w:color w:val="auto"/>
        </w:rPr>
      </w:pPr>
    </w:p>
    <w:p>
      <w:pPr>
        <w:ind w:right="660" w:firstLine="625"/>
        <w:spacing w:after="0" w:line="277" w:lineRule="auto"/>
        <w:rPr>
          <w:sz w:val="20"/>
          <w:szCs w:val="20"/>
          <w:color w:val="auto"/>
        </w:rPr>
      </w:pPr>
      <w:r>
        <w:rPr>
          <w:rFonts w:ascii="Times New Roman" w:cs="Times New Roman" w:eastAsia="Times New Roman" w:hAnsi="Times New Roman"/>
          <w:sz w:val="17"/>
          <w:szCs w:val="17"/>
          <w:color w:val="auto"/>
        </w:rPr>
        <w:t>RSUs are valued based on the closing price of the Company’s common stock on the date of the grant. The fair value of RSUs is recognized and amortized on a straight-line basis over the requisite service period of the award</w:t>
      </w:r>
      <w:r>
        <w:rPr>
          <w:rFonts w:ascii="Calibri" w:cs="Calibri" w:eastAsia="Calibri" w:hAnsi="Calibri"/>
          <w:sz w:val="17"/>
          <w:szCs w:val="17"/>
          <w:color w:val="252525"/>
        </w:rPr>
        <w: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7820" w:type="dxa"/>
            <w:vAlign w:val="bottom"/>
            <w:gridSpan w:val="2"/>
          </w:tcPr>
          <w:p>
            <w:pPr>
              <w:ind w:left="620"/>
              <w:spacing w:after="0"/>
              <w:rPr>
                <w:sz w:val="20"/>
                <w:szCs w:val="20"/>
                <w:color w:val="auto"/>
              </w:rPr>
            </w:pPr>
            <w:r>
              <w:rPr>
                <w:rFonts w:ascii="Times New Roman" w:cs="Times New Roman" w:eastAsia="Times New Roman" w:hAnsi="Times New Roman"/>
                <w:sz w:val="17"/>
                <w:szCs w:val="17"/>
                <w:color w:val="auto"/>
              </w:rPr>
              <w:t>The following table summarizes RSU activity for 2024:</w:t>
            </w: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6200" w:type="dxa"/>
            <w:vAlign w:val="bottom"/>
          </w:tcPr>
          <w:p>
            <w:pPr>
              <w:spacing w:after="0"/>
              <w:rPr>
                <w:sz w:val="24"/>
                <w:szCs w:val="24"/>
                <w:color w:val="auto"/>
              </w:rPr>
            </w:pPr>
          </w:p>
        </w:tc>
        <w:tc>
          <w:tcPr>
            <w:tcW w:w="1620" w:type="dxa"/>
            <w:vAlign w:val="bottom"/>
            <w:vMerge w:val="restart"/>
          </w:tcPr>
          <w:p>
            <w:pPr>
              <w:ind w:left="1000"/>
              <w:spacing w:after="0"/>
              <w:rPr>
                <w:sz w:val="20"/>
                <w:szCs w:val="20"/>
                <w:color w:val="auto"/>
              </w:rPr>
            </w:pPr>
            <w:r>
              <w:rPr>
                <w:rFonts w:ascii="Times New Roman" w:cs="Times New Roman" w:eastAsia="Times New Roman" w:hAnsi="Times New Roman"/>
                <w:sz w:val="17"/>
                <w:szCs w:val="17"/>
                <w:b w:val="1"/>
                <w:bCs w:val="1"/>
                <w:color w:val="auto"/>
              </w:rPr>
              <w:t>Shares</w:t>
            </w: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40" w:type="dxa"/>
            <w:vAlign w:val="bottom"/>
          </w:tcPr>
          <w:p>
            <w:pPr>
              <w:jc w:val="right"/>
              <w:ind w:right="413"/>
              <w:spacing w:after="0"/>
              <w:rPr>
                <w:sz w:val="20"/>
                <w:szCs w:val="20"/>
                <w:color w:val="auto"/>
              </w:rPr>
            </w:pPr>
            <w:r>
              <w:rPr>
                <w:rFonts w:ascii="Times New Roman" w:cs="Times New Roman" w:eastAsia="Times New Roman" w:hAnsi="Times New Roman"/>
                <w:sz w:val="17"/>
                <w:szCs w:val="17"/>
                <w:b w:val="1"/>
                <w:bCs w:val="1"/>
                <w:color w:val="auto"/>
              </w:rPr>
              <w:t>Weighted-Average</w:t>
            </w:r>
          </w:p>
        </w:tc>
        <w:tc>
          <w:tcPr>
            <w:tcW w:w="0" w:type="dxa"/>
            <w:vAlign w:val="bottom"/>
          </w:tcPr>
          <w:p>
            <w:pPr>
              <w:spacing w:after="0"/>
              <w:rPr>
                <w:sz w:val="1"/>
                <w:szCs w:val="1"/>
                <w:color w:val="auto"/>
              </w:rPr>
            </w:pPr>
          </w:p>
        </w:tc>
      </w:tr>
      <w:tr>
        <w:trPr>
          <w:trHeight w:val="234"/>
        </w:trPr>
        <w:tc>
          <w:tcPr>
            <w:tcW w:w="6200" w:type="dxa"/>
            <w:vAlign w:val="bottom"/>
            <w:tcBorders>
              <w:bottom w:val="single" w:sz="8" w:color="CCEEFF"/>
            </w:tcBorders>
          </w:tcPr>
          <w:p>
            <w:pPr>
              <w:spacing w:after="0"/>
              <w:rPr>
                <w:sz w:val="20"/>
                <w:szCs w:val="20"/>
                <w:color w:val="auto"/>
              </w:rPr>
            </w:pPr>
          </w:p>
        </w:tc>
        <w:tc>
          <w:tcPr>
            <w:tcW w:w="1620" w:type="dxa"/>
            <w:vAlign w:val="bottom"/>
            <w:tcBorders>
              <w:bottom w:val="single" w:sz="8" w:color="auto"/>
            </w:tcBorders>
            <w:vMerge w:val="continue"/>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7"/>
                <w:szCs w:val="17"/>
                <w:b w:val="1"/>
                <w:bCs w:val="1"/>
                <w:color w:val="auto"/>
              </w:rPr>
              <w:t>Grant Date Fair Value</w:t>
            </w:r>
          </w:p>
        </w:tc>
        <w:tc>
          <w:tcPr>
            <w:tcW w:w="0" w:type="dxa"/>
            <w:vAlign w:val="bottom"/>
          </w:tcPr>
          <w:p>
            <w:pPr>
              <w:spacing w:after="0"/>
              <w:rPr>
                <w:sz w:val="1"/>
                <w:szCs w:val="1"/>
                <w:color w:val="auto"/>
              </w:rPr>
            </w:pPr>
          </w:p>
        </w:tc>
      </w:tr>
      <w:tr>
        <w:trPr>
          <w:trHeight w:val="214"/>
        </w:trPr>
        <w:tc>
          <w:tcPr>
            <w:tcW w:w="6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December 31, 2023</w:t>
            </w:r>
          </w:p>
        </w:tc>
        <w:tc>
          <w:tcPr>
            <w:tcW w:w="16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905,614</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21"/>
        </w:trPr>
        <w:tc>
          <w:tcPr>
            <w:tcW w:w="78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Granted</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679,715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16.43</w:t>
            </w:r>
          </w:p>
        </w:tc>
        <w:tc>
          <w:tcPr>
            <w:tcW w:w="0" w:type="dxa"/>
            <w:vAlign w:val="bottom"/>
          </w:tcPr>
          <w:p>
            <w:pPr>
              <w:spacing w:after="0"/>
              <w:rPr>
                <w:sz w:val="1"/>
                <w:szCs w:val="1"/>
                <w:color w:val="auto"/>
              </w:rPr>
            </w:pPr>
          </w:p>
        </w:tc>
      </w:tr>
      <w:tr>
        <w:trPr>
          <w:trHeight w:val="221"/>
        </w:trPr>
        <w:tc>
          <w:tcPr>
            <w:tcW w:w="78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Vested</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(483,181)</w:t>
            </w:r>
          </w:p>
        </w:tc>
        <w:tc>
          <w:tcPr>
            <w:tcW w:w="1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6.91</w:t>
            </w:r>
          </w:p>
        </w:tc>
        <w:tc>
          <w:tcPr>
            <w:tcW w:w="0" w:type="dxa"/>
            <w:vAlign w:val="bottom"/>
          </w:tcPr>
          <w:p>
            <w:pPr>
              <w:spacing w:after="0"/>
              <w:rPr>
                <w:sz w:val="1"/>
                <w:szCs w:val="1"/>
                <w:color w:val="auto"/>
              </w:rPr>
            </w:pPr>
          </w:p>
        </w:tc>
      </w:tr>
      <w:tr>
        <w:trPr>
          <w:trHeight w:val="221"/>
        </w:trPr>
        <w:tc>
          <w:tcPr>
            <w:tcW w:w="6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Forfeited or expired</w:t>
            </w:r>
          </w:p>
        </w:tc>
        <w:tc>
          <w:tcPr>
            <w:tcW w:w="16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(33,154)</w:t>
            </w:r>
          </w:p>
        </w:tc>
        <w:tc>
          <w:tcPr>
            <w:tcW w:w="1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13.27</w:t>
            </w:r>
          </w:p>
        </w:tc>
        <w:tc>
          <w:tcPr>
            <w:tcW w:w="0" w:type="dxa"/>
            <w:vAlign w:val="bottom"/>
          </w:tcPr>
          <w:p>
            <w:pPr>
              <w:spacing w:after="0"/>
              <w:rPr>
                <w:sz w:val="1"/>
                <w:szCs w:val="1"/>
                <w:color w:val="auto"/>
              </w:rPr>
            </w:pPr>
          </w:p>
        </w:tc>
      </w:tr>
      <w:tr>
        <w:trPr>
          <w:trHeight w:val="234"/>
        </w:trPr>
        <w:tc>
          <w:tcPr>
            <w:tcW w:w="78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December 31, 2024</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1,068,994</w:t>
            </w:r>
          </w:p>
        </w:tc>
        <w:tc>
          <w:tcPr>
            <w:tcW w:w="40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2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w:t>
            </w:r>
          </w:p>
        </w:tc>
        <w:tc>
          <w:tcPr>
            <w:tcW w:w="0" w:type="dxa"/>
            <w:vAlign w:val="bottom"/>
          </w:tcPr>
          <w:p>
            <w:pPr>
              <w:spacing w:after="0"/>
              <w:rPr>
                <w:sz w:val="1"/>
                <w:szCs w:val="1"/>
                <w:color w:val="auto"/>
              </w:rPr>
            </w:pPr>
          </w:p>
        </w:tc>
      </w:tr>
      <w:tr>
        <w:trPr>
          <w:trHeight w:val="20"/>
        </w:trPr>
        <w:tc>
          <w:tcPr>
            <w:tcW w:w="620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ind w:right="520" w:firstLine="625"/>
        <w:spacing w:after="0" w:line="294" w:lineRule="auto"/>
        <w:rPr>
          <w:sz w:val="20"/>
          <w:szCs w:val="20"/>
          <w:color w:val="auto"/>
        </w:rPr>
      </w:pPr>
      <w:r>
        <w:rPr>
          <w:rFonts w:ascii="Times New Roman" w:cs="Times New Roman" w:eastAsia="Times New Roman" w:hAnsi="Times New Roman"/>
          <w:sz w:val="17"/>
          <w:szCs w:val="17"/>
          <w:color w:val="auto"/>
        </w:rPr>
        <w:t>At December 31, 2024, there was $6.4 million of total unrecognized compensation cost related to unvested RSUs, which the Company expects to recognize over a remaining weighted-average period of 1.4 years.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TerSera Transaction</w:t>
      </w:r>
    </w:p>
    <w:p>
      <w:pPr>
        <w:spacing w:after="0" w:line="249" w:lineRule="exact"/>
        <w:rPr>
          <w:sz w:val="20"/>
          <w:szCs w:val="20"/>
          <w:color w:val="auto"/>
        </w:rPr>
      </w:pPr>
    </w:p>
    <w:p>
      <w:pPr>
        <w:ind w:right="120" w:firstLine="625"/>
        <w:spacing w:after="0" w:line="265" w:lineRule="auto"/>
        <w:rPr>
          <w:sz w:val="20"/>
          <w:szCs w:val="20"/>
          <w:color w:val="auto"/>
        </w:rPr>
      </w:pPr>
      <w:r>
        <w:rPr>
          <w:rFonts w:ascii="Times New Roman" w:cs="Times New Roman" w:eastAsia="Times New Roman" w:hAnsi="Times New Roman"/>
          <w:sz w:val="17"/>
          <w:szCs w:val="17"/>
          <w:color w:val="auto"/>
        </w:rPr>
        <w:t>In October 2024, the Company entered into an Asset Purchase and Sale Agreement (ASA) with TerSera in which TerSera acquired global rights to MARGENZA. Pursuant to the ASA, the Company received $40.0 million and may also receive up to $35.0 million in future sales milestone payments. The transaction closed in November 2024. In connection with the ASA, the Company also entered into a Master Manufacturing &amp; Supply Agreement (MSA) with TerSera under which it will manufacture MARGENZA product for TerSera, and a Transition Services Agreement under which it will provide certain services to ensure a smooth business transition to TerSera.</w:t>
      </w:r>
    </w:p>
    <w:p>
      <w:pPr>
        <w:spacing w:after="0" w:line="119" w:lineRule="exact"/>
        <w:rPr>
          <w:sz w:val="20"/>
          <w:szCs w:val="20"/>
          <w:color w:val="auto"/>
        </w:rPr>
      </w:pPr>
    </w:p>
    <w:p>
      <w:pPr>
        <w:ind w:right="80" w:firstLine="625"/>
        <w:spacing w:after="0" w:line="264" w:lineRule="auto"/>
        <w:rPr>
          <w:sz w:val="20"/>
          <w:szCs w:val="20"/>
          <w:color w:val="auto"/>
        </w:rPr>
      </w:pPr>
      <w:r>
        <w:rPr>
          <w:rFonts w:ascii="Times New Roman" w:cs="Times New Roman" w:eastAsia="Times New Roman" w:hAnsi="Times New Roman"/>
          <w:sz w:val="17"/>
          <w:szCs w:val="17"/>
          <w:color w:val="auto"/>
        </w:rPr>
        <w:t>The Company determined that the sale of MARGENZA does not qualify for reporting as a discontinued operation since it does not represent a strategic shift that has or will have a major effect on its operations and financial results. The Company determined that the agreements should be accounted for as one single combined contract with multiple elements under which the Company allocated the total consideration of $44.5 million on a relative standalone selling price basis in accordance with the applicable authoritative guidance. The Company recorded a $36.3 million gain on the sale of MARGENZA and related inventory in the “Gain on Sale of MARGENZA” line on its consolidated statements of operations and comprehensive loss for the year ended December 31, 2024.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Income Tax</w:t>
      </w:r>
    </w:p>
    <w:p>
      <w:pPr>
        <w:spacing w:after="0" w:line="171" w:lineRule="exact"/>
        <w:rPr>
          <w:sz w:val="20"/>
          <w:szCs w:val="20"/>
          <w:color w:val="auto"/>
        </w:rPr>
      </w:pPr>
    </w:p>
    <w:p>
      <w:pPr>
        <w:ind w:firstLine="625"/>
        <w:spacing w:after="0" w:line="268" w:lineRule="auto"/>
        <w:rPr>
          <w:sz w:val="20"/>
          <w:szCs w:val="20"/>
          <w:color w:val="auto"/>
        </w:rPr>
      </w:pPr>
      <w:r>
        <w:rPr>
          <w:rFonts w:ascii="Times New Roman" w:cs="Times New Roman" w:eastAsia="Times New Roman" w:hAnsi="Times New Roman"/>
          <w:sz w:val="17"/>
          <w:szCs w:val="17"/>
          <w:color w:val="auto"/>
        </w:rPr>
        <w:t>For the year ended December 31, 2024, the Company is in a taxable income position due to the Tax Cuts and Jobs Act of 2017 (the Tax Act) limitation on utilization of Net Operating Losses to 80% of taxable income as well as the limitation on utilization of income tax credits, while the company remains in a full valuation allowance position. For the years ended December 31, 2023, and 2022 there was no provision for income taxes due to taxable losses generated, fully offset by a valuation allowance.</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6" w:name="page107"/>
    <w:bookmarkEnd w:id="106"/>
    <w:tbl>
      <w:tblPr>
        <w:tblLayout w:type="fixed"/>
        <w:tblInd w:w="0" w:type="dxa"/>
        <w:tblCellMar>
          <w:top w:w="0" w:type="dxa"/>
          <w:left w:w="0" w:type="dxa"/>
          <w:bottom w:w="0" w:type="dxa"/>
          <w:right w:w="0" w:type="dxa"/>
        </w:tblCellMar>
      </w:tblPr>
      <w:tr>
        <w:trPr>
          <w:trHeight w:val="227"/>
        </w:trPr>
        <w:tc>
          <w:tcPr>
            <w:tcW w:w="9100" w:type="dxa"/>
            <w:vAlign w:val="bottom"/>
          </w:tcPr>
          <w:p>
            <w:pPr>
              <w:ind w:left="620"/>
              <w:spacing w:after="0"/>
              <w:rPr>
                <w:sz w:val="20"/>
                <w:szCs w:val="20"/>
                <w:color w:val="auto"/>
              </w:rPr>
            </w:pPr>
            <w:r>
              <w:rPr>
                <w:rFonts w:ascii="Times New Roman" w:cs="Times New Roman" w:eastAsia="Times New Roman" w:hAnsi="Times New Roman"/>
                <w:sz w:val="17"/>
                <w:szCs w:val="17"/>
                <w:color w:val="252525"/>
              </w:rPr>
              <w:t>Income tax expense consists of the following f</w:t>
            </w:r>
            <w:r>
              <w:rPr>
                <w:rFonts w:ascii="Times New Roman" w:cs="Times New Roman" w:eastAsia="Times New Roman" w:hAnsi="Times New Roman"/>
                <w:sz w:val="17"/>
                <w:szCs w:val="17"/>
                <w:color w:val="000000"/>
              </w:rPr>
              <w:t>or the year ended December 31, 2024</w:t>
            </w:r>
            <w:r>
              <w:rPr>
                <w:rFonts w:ascii="Times New Roman" w:cs="Times New Roman" w:eastAsia="Times New Roman" w:hAnsi="Times New Roman"/>
                <w:sz w:val="17"/>
                <w:szCs w:val="17"/>
                <w:color w:val="252525"/>
              </w:rPr>
              <w:t xml:space="preserve"> (in thousands):</w:t>
            </w:r>
          </w:p>
        </w:tc>
        <w:tc>
          <w:tcPr>
            <w:tcW w:w="9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6"/>
        </w:trPr>
        <w:tc>
          <w:tcPr>
            <w:tcW w:w="9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21"/>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income tax expense</w:t>
            </w:r>
          </w:p>
        </w:tc>
        <w:tc>
          <w:tcPr>
            <w:tcW w:w="9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1"/>
        </w:trPr>
        <w:tc>
          <w:tcPr>
            <w:tcW w:w="910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Federal</w:t>
            </w:r>
          </w:p>
        </w:tc>
        <w:tc>
          <w:tcPr>
            <w:tcW w:w="960" w:type="dxa"/>
            <w:vAlign w:val="bottom"/>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707</w:t>
            </w:r>
          </w:p>
        </w:tc>
      </w:tr>
      <w:tr>
        <w:trPr>
          <w:trHeight w:val="221"/>
        </w:trPr>
        <w:tc>
          <w:tcPr>
            <w:tcW w:w="91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w:t>
            </w:r>
          </w:p>
        </w:tc>
        <w:tc>
          <w:tcPr>
            <w:tcW w:w="9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w:t>
            </w:r>
          </w:p>
        </w:tc>
      </w:tr>
      <w:tr>
        <w:trPr>
          <w:trHeight w:val="214"/>
        </w:trPr>
        <w:tc>
          <w:tcPr>
            <w:tcW w:w="9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tcBorders>
              <w:bottom w:val="single" w:sz="8" w:color="auto"/>
            </w:tcBorders>
          </w:tcPr>
          <w:p>
            <w:pPr>
              <w:jc w:val="right"/>
              <w:ind w:right="773"/>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944</w:t>
            </w:r>
          </w:p>
        </w:tc>
      </w:tr>
      <w:tr>
        <w:trPr>
          <w:trHeight w:val="20"/>
        </w:trPr>
        <w:tc>
          <w:tcPr>
            <w:tcW w:w="910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jc w:val="both"/>
        <w:ind w:right="40" w:firstLine="625"/>
        <w:spacing w:after="0" w:line="278" w:lineRule="auto"/>
        <w:rPr>
          <w:sz w:val="20"/>
          <w:szCs w:val="20"/>
          <w:color w:val="auto"/>
        </w:rPr>
      </w:pPr>
      <w:r>
        <w:rPr>
          <w:rFonts w:ascii="Times New Roman" w:cs="Times New Roman" w:eastAsia="Times New Roman" w:hAnsi="Times New Roman"/>
          <w:sz w:val="17"/>
          <w:szCs w:val="17"/>
          <w:color w:val="auto"/>
        </w:rPr>
        <w:t>The reconciliation of the reported estimated income tax expense to the amount that would result by applying the U.S. federal statutory tax rate to the net income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17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840" w:type="dxa"/>
            <w:vAlign w:val="bottom"/>
            <w:tcBorders>
              <w:bottom w:val="single" w:sz="8" w:color="auto"/>
            </w:tcBorders>
          </w:tcPr>
          <w:p>
            <w:pPr>
              <w:spacing w:after="0"/>
              <w:rPr>
                <w:sz w:val="19"/>
                <w:szCs w:val="19"/>
                <w:color w:val="auto"/>
              </w:rPr>
            </w:pPr>
          </w:p>
        </w:tc>
      </w:tr>
      <w:tr>
        <w:trPr>
          <w:trHeight w:val="214"/>
        </w:trPr>
        <w:tc>
          <w:tcPr>
            <w:tcW w:w="70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w w:val="99"/>
              </w:rPr>
              <w:t>2022</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 federal tax at statutory rate</w:t>
            </w: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(25,149)</w:t>
            </w: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taxes (net of federal benefit)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(4,183)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(7,385)</w:t>
            </w: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adjustments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w:t>
            </w: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state blended rate adjustments</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credit,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(12,082)</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(3,168)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(4,569)</w:t>
            </w: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Orphan drug credit, net</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(10,846)</w:t>
            </w: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permanent items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1,362</w:t>
            </w: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Equity-based compensation</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5,594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1,604</w:t>
            </w: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(7,257)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44,675</w:t>
            </w:r>
          </w:p>
        </w:tc>
      </w:tr>
      <w:tr>
        <w:trPr>
          <w:trHeight w:val="221"/>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9"/>
        </w:trPr>
        <w:tc>
          <w:tcPr>
            <w:tcW w:w="70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expense/(benefit)</w:t>
            </w:r>
          </w:p>
        </w:tc>
        <w:tc>
          <w:tcPr>
            <w:tcW w:w="280" w:type="dxa"/>
            <w:vAlign w:val="bottom"/>
            <w:tcBorders>
              <w:top w:val="single" w:sz="8" w:color="auto"/>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80" w:type="dxa"/>
            <w:vAlign w:val="bottom"/>
            <w:tcBorders>
              <w:top w:val="single" w:sz="8" w:color="auto"/>
              <w:bottom w:val="single" w:sz="8" w:color="auto"/>
            </w:tcBorders>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415"/>
        </w:trPr>
        <w:tc>
          <w:tcPr>
            <w:tcW w:w="8840" w:type="dxa"/>
            <w:vAlign w:val="bottom"/>
            <w:gridSpan w:val="5"/>
          </w:tcPr>
          <w:p>
            <w:pPr>
              <w:ind w:left="620"/>
              <w:spacing w:after="0"/>
              <w:rPr>
                <w:sz w:val="20"/>
                <w:szCs w:val="20"/>
                <w:color w:val="auto"/>
              </w:rPr>
            </w:pPr>
            <w:r>
              <w:rPr>
                <w:rFonts w:ascii="Times New Roman" w:cs="Times New Roman" w:eastAsia="Times New Roman" w:hAnsi="Times New Roman"/>
                <w:sz w:val="17"/>
                <w:szCs w:val="17"/>
                <w:color w:val="auto"/>
              </w:rPr>
              <w:t>The significant components of the Company's deferred income tax assets (liabilities) were as follows (in thousands):</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48"/>
        </w:trPr>
        <w:tc>
          <w:tcPr>
            <w:tcW w:w="7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b w:val="1"/>
                <w:bCs w:val="1"/>
                <w:color w:val="auto"/>
              </w:rPr>
              <w:t>December 31,</w:t>
            </w:r>
          </w:p>
        </w:tc>
        <w:tc>
          <w:tcPr>
            <w:tcW w:w="840" w:type="dxa"/>
            <w:vAlign w:val="bottom"/>
            <w:tcBorders>
              <w:bottom w:val="single" w:sz="8" w:color="auto"/>
            </w:tcBorders>
          </w:tcPr>
          <w:p>
            <w:pPr>
              <w:spacing w:after="0"/>
              <w:rPr>
                <w:sz w:val="21"/>
                <w:szCs w:val="21"/>
                <w:color w:val="auto"/>
              </w:rPr>
            </w:pPr>
          </w:p>
        </w:tc>
      </w:tr>
      <w:tr>
        <w:trPr>
          <w:trHeight w:val="214"/>
        </w:trPr>
        <w:tc>
          <w:tcPr>
            <w:tcW w:w="7060" w:type="dxa"/>
            <w:vAlign w:val="bottom"/>
            <w:tcBorders>
              <w:bottom w:val="single" w:sz="8" w:color="CCEEFF"/>
            </w:tcBorders>
          </w:tcPr>
          <w:p>
            <w:pPr>
              <w:spacing w:after="0"/>
              <w:rPr>
                <w:sz w:val="18"/>
                <w:szCs w:val="18"/>
                <w:color w:val="auto"/>
              </w:rPr>
            </w:pPr>
          </w:p>
        </w:tc>
        <w:tc>
          <w:tcPr>
            <w:tcW w:w="280" w:type="dxa"/>
            <w:vAlign w:val="bottom"/>
            <w:tcBorders>
              <w:bottom w:val="single" w:sz="8" w:color="CCEEFF"/>
            </w:tcBorders>
          </w:tcPr>
          <w:p>
            <w:pPr>
              <w:spacing w:after="0"/>
              <w:rPr>
                <w:sz w:val="18"/>
                <w:szCs w:val="18"/>
                <w:color w:val="auto"/>
              </w:rPr>
            </w:pPr>
          </w:p>
        </w:tc>
        <w:tc>
          <w:tcPr>
            <w:tcW w:w="10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w w:val="99"/>
              </w:rPr>
              <w:t>2023</w:t>
            </w:r>
          </w:p>
        </w:tc>
      </w:tr>
      <w:tr>
        <w:trPr>
          <w:trHeight w:val="20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assets: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21"/>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Federal U.S. net operating loss carryforward</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116,341</w:t>
            </w:r>
          </w:p>
        </w:tc>
        <w:tc>
          <w:tcPr>
            <w:tcW w:w="100" w:type="dxa"/>
            <w:vAlign w:val="bottom"/>
          </w:tcPr>
          <w:p>
            <w:pPr>
              <w:spacing w:after="0"/>
              <w:rPr>
                <w:sz w:val="19"/>
                <w:szCs w:val="19"/>
                <w:color w:val="auto"/>
              </w:rPr>
            </w:pPr>
          </w:p>
        </w:tc>
        <w:tc>
          <w:tcPr>
            <w:tcW w:w="480" w:type="dxa"/>
            <w:vAlign w:val="bottom"/>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140,706</w:t>
            </w:r>
          </w:p>
        </w:tc>
      </w:tr>
      <w:tr>
        <w:trPr>
          <w:trHeight w:val="22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State net operating loss carryforward</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31,758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33,350</w:t>
            </w:r>
          </w:p>
        </w:tc>
      </w:tr>
      <w:tr>
        <w:trPr>
          <w:trHeight w:val="221"/>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Research and development credit, net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79,108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68,251</w:t>
            </w:r>
          </w:p>
        </w:tc>
      </w:tr>
      <w:tr>
        <w:trPr>
          <w:trHeight w:val="22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Orphan drug credit, net</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33,834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33,330</w:t>
            </w:r>
          </w:p>
        </w:tc>
      </w:tr>
      <w:tr>
        <w:trPr>
          <w:trHeight w:val="221"/>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9,078</w:t>
            </w:r>
          </w:p>
        </w:tc>
      </w:tr>
      <w:tr>
        <w:trPr>
          <w:trHeight w:val="22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Deferred revenue</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18,795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17,442</w:t>
            </w:r>
          </w:p>
        </w:tc>
      </w:tr>
      <w:tr>
        <w:trPr>
          <w:trHeight w:val="221"/>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Section 174 deferred tax asset</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98,810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48,421</w:t>
            </w:r>
          </w:p>
        </w:tc>
      </w:tr>
      <w:tr>
        <w:trPr>
          <w:trHeight w:val="22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Equity based compensation</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16,272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16,217</w:t>
            </w:r>
          </w:p>
        </w:tc>
      </w:tr>
      <w:tr>
        <w:trPr>
          <w:trHeight w:val="221"/>
        </w:trPr>
        <w:tc>
          <w:tcPr>
            <w:tcW w:w="7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Other</w:t>
            </w: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4,971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6,617</w:t>
            </w:r>
          </w:p>
        </w:tc>
      </w:tr>
      <w:tr>
        <w:trPr>
          <w:trHeight w:val="214"/>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Gross deferred income tax 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410,197</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373,412</w:t>
            </w:r>
          </w:p>
        </w:tc>
      </w:tr>
      <w:tr>
        <w:trPr>
          <w:trHeight w:val="221"/>
        </w:trPr>
        <w:tc>
          <w:tcPr>
            <w:tcW w:w="706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7"/>
                <w:szCs w:val="17"/>
                <w:color w:val="auto"/>
              </w:rPr>
              <w:t>Valuation allowance</w:t>
            </w:r>
          </w:p>
        </w:tc>
        <w:tc>
          <w:tcPr>
            <w:tcW w:w="280" w:type="dxa"/>
            <w:vAlign w:val="bottom"/>
            <w:tcBorders>
              <w:bottom w:val="single" w:sz="8" w:color="CCEEFF"/>
            </w:tcBorders>
          </w:tcPr>
          <w:p>
            <w:pPr>
              <w:spacing w:after="0"/>
              <w:rPr>
                <w:sz w:val="19"/>
                <w:szCs w:val="19"/>
                <w:color w:val="auto"/>
              </w:rPr>
            </w:pPr>
          </w:p>
        </w:tc>
        <w:tc>
          <w:tcPr>
            <w:tcW w:w="10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(401,297)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(365,010)</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income tax assets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8,900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8,402</w:t>
            </w:r>
          </w:p>
        </w:tc>
      </w:tr>
      <w:tr>
        <w:trPr>
          <w:trHeight w:val="221"/>
        </w:trPr>
        <w:tc>
          <w:tcPr>
            <w:tcW w:w="70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2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 liabilities: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21"/>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Operating lease ROU assets</w:t>
            </w: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(6,745)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(6,372)</w:t>
            </w:r>
          </w:p>
        </w:tc>
      </w:tr>
      <w:tr>
        <w:trPr>
          <w:trHeight w:val="22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Prepaid expenditures</w:t>
            </w: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(2,030)</w:t>
            </w:r>
          </w:p>
        </w:tc>
      </w:tr>
      <w:tr>
        <w:trPr>
          <w:trHeight w:val="214"/>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Gross deferred income tax liabilities</w:t>
            </w: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(8,900)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(8,402)</w:t>
            </w:r>
          </w:p>
        </w:tc>
      </w:tr>
      <w:tr>
        <w:trPr>
          <w:trHeight w:val="241"/>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deferred income tax asset/(liability)</w:t>
            </w: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shd w:val="clear" w:color="auto" w:fill="CCEEFF"/>
          </w:tcPr>
          <w:p>
            <w:pPr>
              <w:jc w:val="right"/>
              <w:ind w:right="273"/>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70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ind w:right="260" w:firstLine="625"/>
        <w:spacing w:after="0" w:line="294" w:lineRule="auto"/>
        <w:rPr>
          <w:sz w:val="20"/>
          <w:szCs w:val="20"/>
          <w:color w:val="auto"/>
        </w:rPr>
      </w:pPr>
      <w:r>
        <w:rPr>
          <w:rFonts w:ascii="Times New Roman" w:cs="Times New Roman" w:eastAsia="Times New Roman" w:hAnsi="Times New Roman"/>
          <w:sz w:val="17"/>
          <w:szCs w:val="17"/>
          <w:color w:val="auto"/>
        </w:rPr>
        <w:t>The Company recognizes valuation allowances to reduce deferred tax assets to the amount that is more likely than not to be realized. In assessing the likelihood of realization, management considers (i) future reversals of existing taxable temporary</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07" w:name="page108"/>
    <w:bookmarkEnd w:id="107"/>
    <w:p>
      <w:pPr>
        <w:jc w:val="both"/>
        <w:ind w:right="40"/>
        <w:spacing w:after="0" w:line="274" w:lineRule="auto"/>
        <w:rPr>
          <w:sz w:val="20"/>
          <w:szCs w:val="20"/>
          <w:color w:val="auto"/>
        </w:rPr>
      </w:pPr>
      <w:r>
        <w:rPr>
          <w:rFonts w:ascii="Times New Roman" w:cs="Times New Roman" w:eastAsia="Times New Roman" w:hAnsi="Times New Roman"/>
          <w:sz w:val="17"/>
          <w:szCs w:val="17"/>
          <w:color w:val="auto"/>
        </w:rPr>
        <w:t>differences; (ii) future taxable income exclusive of reversing temporary difference and carryforwards; (iii) taxable income in prior carryback years if carryback is permitted under applicable tax law; and (iv) tax planning strategies. The Company's net deferred income tax asset is not more likely than not to be utilized due to the lack of sufficient sources of future taxable income and cumulative book losses which have resulted over the years.</w:t>
      </w:r>
    </w:p>
    <w:p>
      <w:pPr>
        <w:spacing w:after="0" w:line="1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activity in the valuation allowance on deferred tax assets was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380" w:type="dxa"/>
            <w:vAlign w:val="bottom"/>
          </w:tcPr>
          <w:p>
            <w:pPr>
              <w:spacing w:after="0"/>
              <w:rPr>
                <w:sz w:val="17"/>
                <w:szCs w:val="17"/>
                <w:color w:val="auto"/>
              </w:rPr>
            </w:pPr>
          </w:p>
        </w:tc>
        <w:tc>
          <w:tcPr>
            <w:tcW w:w="1980" w:type="dxa"/>
            <w:vAlign w:val="bottom"/>
            <w:gridSpan w:val="3"/>
          </w:tcPr>
          <w:p>
            <w:pPr>
              <w:jc w:val="right"/>
              <w:ind w:right="160"/>
              <w:spacing w:after="0"/>
              <w:rPr>
                <w:sz w:val="20"/>
                <w:szCs w:val="20"/>
                <w:color w:val="auto"/>
              </w:rPr>
            </w:pPr>
            <w:r>
              <w:rPr>
                <w:rFonts w:ascii="Times New Roman" w:cs="Times New Roman" w:eastAsia="Times New Roman" w:hAnsi="Times New Roman"/>
                <w:sz w:val="17"/>
                <w:szCs w:val="17"/>
                <w:b w:val="1"/>
                <w:bCs w:val="1"/>
                <w:color w:val="auto"/>
              </w:rPr>
              <w:t>Balance at Beginning of</w:t>
            </w:r>
          </w:p>
        </w:tc>
        <w:tc>
          <w:tcPr>
            <w:tcW w:w="340" w:type="dxa"/>
            <w:vAlign w:val="bottom"/>
          </w:tcPr>
          <w:p>
            <w:pPr>
              <w:spacing w:after="0"/>
              <w:rPr>
                <w:sz w:val="17"/>
                <w:szCs w:val="17"/>
                <w:color w:val="auto"/>
              </w:rPr>
            </w:pPr>
          </w:p>
        </w:tc>
        <w:tc>
          <w:tcPr>
            <w:tcW w:w="164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b w:val="1"/>
                <w:bCs w:val="1"/>
                <w:color w:val="auto"/>
              </w:rPr>
              <w:t>Additions</w:t>
            </w:r>
          </w:p>
        </w:tc>
        <w:tc>
          <w:tcPr>
            <w:tcW w:w="2000" w:type="dxa"/>
            <w:vAlign w:val="bottom"/>
            <w:gridSpan w:val="2"/>
            <w:vMerge w:val="restart"/>
          </w:tcPr>
          <w:p>
            <w:pPr>
              <w:ind w:left="540"/>
              <w:spacing w:after="0"/>
              <w:rPr>
                <w:sz w:val="20"/>
                <w:szCs w:val="20"/>
                <w:color w:val="auto"/>
              </w:rPr>
            </w:pPr>
            <w:r>
              <w:rPr>
                <w:rFonts w:ascii="Times New Roman" w:cs="Times New Roman" w:eastAsia="Times New Roman" w:hAnsi="Times New Roman"/>
                <w:sz w:val="17"/>
                <w:szCs w:val="17"/>
                <w:b w:val="1"/>
                <w:bCs w:val="1"/>
                <w:color w:val="auto"/>
              </w:rPr>
              <w:t>Deductions</w:t>
            </w:r>
          </w:p>
        </w:tc>
        <w:tc>
          <w:tcPr>
            <w:tcW w:w="1900" w:type="dxa"/>
            <w:vAlign w:val="bottom"/>
            <w:gridSpan w:val="2"/>
            <w:vMerge w:val="restart"/>
          </w:tcPr>
          <w:p>
            <w:pPr>
              <w:jc w:val="right"/>
              <w:ind w:right="13"/>
              <w:spacing w:after="0"/>
              <w:rPr>
                <w:sz w:val="20"/>
                <w:szCs w:val="20"/>
                <w:color w:val="auto"/>
              </w:rPr>
            </w:pPr>
            <w:r>
              <w:rPr>
                <w:rFonts w:ascii="Times New Roman" w:cs="Times New Roman" w:eastAsia="Times New Roman" w:hAnsi="Times New Roman"/>
                <w:sz w:val="17"/>
                <w:szCs w:val="17"/>
                <w:b w:val="1"/>
                <w:bCs w:val="1"/>
                <w:color w:val="auto"/>
              </w:rPr>
              <w:t>Balance at End of Year</w:t>
            </w:r>
          </w:p>
        </w:tc>
        <w:tc>
          <w:tcPr>
            <w:tcW w:w="0" w:type="dxa"/>
            <w:vAlign w:val="bottom"/>
          </w:tcPr>
          <w:p>
            <w:pPr>
              <w:spacing w:after="0"/>
              <w:rPr>
                <w:sz w:val="1"/>
                <w:szCs w:val="1"/>
                <w:color w:val="auto"/>
              </w:rPr>
            </w:pPr>
          </w:p>
        </w:tc>
      </w:tr>
      <w:tr>
        <w:trPr>
          <w:trHeight w:val="234"/>
        </w:trPr>
        <w:tc>
          <w:tcPr>
            <w:tcW w:w="3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540" w:type="dxa"/>
            <w:vAlign w:val="bottom"/>
            <w:gridSpan w:val="2"/>
          </w:tcPr>
          <w:p>
            <w:pPr>
              <w:ind w:left="320"/>
              <w:spacing w:after="0"/>
              <w:rPr>
                <w:sz w:val="20"/>
                <w:szCs w:val="20"/>
                <w:color w:val="auto"/>
              </w:rPr>
            </w:pPr>
            <w:r>
              <w:rPr>
                <w:rFonts w:ascii="Times New Roman" w:cs="Times New Roman" w:eastAsia="Times New Roman" w:hAnsi="Times New Roman"/>
                <w:sz w:val="17"/>
                <w:szCs w:val="17"/>
                <w:b w:val="1"/>
                <w:bCs w:val="1"/>
                <w:color w:val="auto"/>
              </w:rPr>
              <w:t>Year</w:t>
            </w:r>
          </w:p>
        </w:tc>
        <w:tc>
          <w:tcPr>
            <w:tcW w:w="340" w:type="dxa"/>
            <w:vAlign w:val="bottom"/>
          </w:tcPr>
          <w:p>
            <w:pPr>
              <w:spacing w:after="0"/>
              <w:rPr>
                <w:sz w:val="20"/>
                <w:szCs w:val="20"/>
                <w:color w:val="auto"/>
              </w:rPr>
            </w:pPr>
          </w:p>
        </w:tc>
        <w:tc>
          <w:tcPr>
            <w:tcW w:w="1640" w:type="dxa"/>
            <w:vAlign w:val="bottom"/>
            <w:gridSpan w:val="2"/>
            <w:vMerge w:val="continue"/>
          </w:tcPr>
          <w:p>
            <w:pPr>
              <w:spacing w:after="0"/>
              <w:rPr>
                <w:sz w:val="20"/>
                <w:szCs w:val="20"/>
                <w:color w:val="auto"/>
              </w:rPr>
            </w:pPr>
          </w:p>
        </w:tc>
        <w:tc>
          <w:tcPr>
            <w:tcW w:w="2000" w:type="dxa"/>
            <w:vAlign w:val="bottom"/>
            <w:gridSpan w:val="2"/>
            <w:vMerge w:val="continue"/>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4"/>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2024</w:t>
            </w:r>
          </w:p>
        </w:tc>
        <w:tc>
          <w:tcPr>
            <w:tcW w:w="440" w:type="dxa"/>
            <w:vAlign w:val="bottom"/>
            <w:tcBorders>
              <w:top w:val="single" w:sz="8" w:color="auto"/>
            </w:tcBorders>
            <w:shd w:val="clear" w:color="auto" w:fill="CCEEFF"/>
          </w:tcPr>
          <w:p>
            <w:pPr>
              <w:jc w:val="right"/>
              <w:ind w:right="253"/>
              <w:spacing w:after="0"/>
              <w:rPr>
                <w:sz w:val="20"/>
                <w:szCs w:val="20"/>
                <w:color w:val="auto"/>
              </w:rPr>
            </w:pPr>
            <w:r>
              <w:rPr>
                <w:rFonts w:ascii="Times New Roman" w:cs="Times New Roman" w:eastAsia="Times New Roman" w:hAnsi="Times New Roman"/>
                <w:sz w:val="17"/>
                <w:szCs w:val="17"/>
                <w:color w:val="auto"/>
                <w:w w:val="93"/>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365,010</w:t>
            </w: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36,287</w:t>
            </w:r>
          </w:p>
        </w:tc>
        <w:tc>
          <w:tcPr>
            <w:tcW w:w="80" w:type="dxa"/>
            <w:vAlign w:val="bottom"/>
            <w:tcBorders>
              <w:top w:val="single" w:sz="8" w:color="CCEEFF"/>
            </w:tcBorders>
            <w:shd w:val="clear" w:color="auto" w:fill="CCEEFF"/>
          </w:tcPr>
          <w:p>
            <w:pPr>
              <w:spacing w:after="0"/>
              <w:rPr>
                <w:sz w:val="18"/>
                <w:szCs w:val="18"/>
                <w:color w:val="auto"/>
              </w:rPr>
            </w:pPr>
          </w:p>
        </w:tc>
        <w:tc>
          <w:tcPr>
            <w:tcW w:w="1920" w:type="dxa"/>
            <w:vAlign w:val="bottom"/>
            <w:tcBorders>
              <w:top w:val="single" w:sz="8" w:color="auto"/>
            </w:tcBorders>
            <w:shd w:val="clear" w:color="auto" w:fill="CCEEFF"/>
          </w:tcPr>
          <w:p>
            <w:pPr>
              <w:ind w:left="166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493"/>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401,297</w:t>
            </w:r>
          </w:p>
        </w:tc>
        <w:tc>
          <w:tcPr>
            <w:tcW w:w="0" w:type="dxa"/>
            <w:vAlign w:val="bottom"/>
          </w:tcPr>
          <w:p>
            <w:pPr>
              <w:spacing w:after="0"/>
              <w:rPr>
                <w:sz w:val="1"/>
                <w:szCs w:val="1"/>
                <w:color w:val="auto"/>
              </w:rPr>
            </w:pPr>
          </w:p>
        </w:tc>
      </w:tr>
      <w:tr>
        <w:trPr>
          <w:trHeight w:val="221"/>
        </w:trPr>
        <w:tc>
          <w:tcPr>
            <w:tcW w:w="33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Year Ended December 31, 2023</w:t>
            </w:r>
          </w:p>
        </w:tc>
        <w:tc>
          <w:tcPr>
            <w:tcW w:w="4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372,267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1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(7,257)</w:t>
            </w: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365,010</w:t>
            </w:r>
          </w:p>
        </w:tc>
        <w:tc>
          <w:tcPr>
            <w:tcW w:w="0" w:type="dxa"/>
            <w:vAlign w:val="bottom"/>
          </w:tcPr>
          <w:p>
            <w:pPr>
              <w:spacing w:after="0"/>
              <w:rPr>
                <w:sz w:val="1"/>
                <w:szCs w:val="1"/>
                <w:color w:val="auto"/>
              </w:rPr>
            </w:pPr>
          </w:p>
        </w:tc>
      </w:tr>
      <w:tr>
        <w:trPr>
          <w:trHeight w:val="221"/>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Year Ended December 31, 2022</w:t>
            </w:r>
          </w:p>
        </w:tc>
        <w:tc>
          <w:tcPr>
            <w:tcW w:w="4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327,592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44,675</w:t>
            </w:r>
          </w:p>
        </w:tc>
        <w:tc>
          <w:tcPr>
            <w:tcW w:w="8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ind w:left="166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372,267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As of December 31, 2024, the Company has U.S. federal and state net operating loss (NOL) carryforwards of approximately $554.0 million. Of these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NOLs, $2.1 million will expire beginning in 2027 through 2028. $551.9 million of NOLs were generated post December 31, 2017 and carryforward indefinitely.</w:t>
      </w:r>
    </w:p>
    <w:p>
      <w:pPr>
        <w:spacing w:after="0" w:line="1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addition, the Company has U.S. federal tax credits of $109.0 million, which will expire in various years beginning in 2027 through 2044.</w:t>
      </w:r>
    </w:p>
    <w:p>
      <w:pPr>
        <w:spacing w:after="0" w:line="151" w:lineRule="exact"/>
        <w:rPr>
          <w:sz w:val="20"/>
          <w:szCs w:val="20"/>
          <w:color w:val="auto"/>
        </w:rPr>
      </w:pPr>
    </w:p>
    <w:p>
      <w:pPr>
        <w:ind w:right="40" w:firstLine="625"/>
        <w:spacing w:after="0" w:line="268" w:lineRule="auto"/>
        <w:rPr>
          <w:sz w:val="20"/>
          <w:szCs w:val="20"/>
          <w:color w:val="auto"/>
        </w:rPr>
      </w:pPr>
      <w:r>
        <w:rPr>
          <w:rFonts w:ascii="Times New Roman" w:cs="Times New Roman" w:eastAsia="Times New Roman" w:hAnsi="Times New Roman"/>
          <w:sz w:val="17"/>
          <w:szCs w:val="17"/>
          <w:color w:val="auto"/>
        </w:rPr>
        <w:t>The use of the Company's U.S. federal NOL and tax credit carryforwards in future years are restricted due to changes in the Company's ownership and tax attributes acquired through the Company's acquisitions. As of December 31, 2024, $2.1 million of the Company's U.S. Federal NOLs are limited for use over 2027 through 2028, in which a range of such amounts could be utilized on an annual basis of $0.2 million. The remaining $551.9 million of NOLs is not limited and can be offset against future taxable income, subject to certain limitations for newly enacted tax legislation.</w:t>
      </w:r>
    </w:p>
    <w:p>
      <w:pPr>
        <w:spacing w:after="0" w:line="117" w:lineRule="exact"/>
        <w:rPr>
          <w:sz w:val="20"/>
          <w:szCs w:val="20"/>
          <w:color w:val="auto"/>
        </w:rPr>
      </w:pPr>
    </w:p>
    <w:p>
      <w:pPr>
        <w:ind w:right="360" w:firstLine="625"/>
        <w:spacing w:after="0" w:line="274" w:lineRule="auto"/>
        <w:rPr>
          <w:sz w:val="20"/>
          <w:szCs w:val="20"/>
          <w:color w:val="auto"/>
        </w:rPr>
      </w:pPr>
      <w:r>
        <w:rPr>
          <w:rFonts w:ascii="Times New Roman" w:cs="Times New Roman" w:eastAsia="Times New Roman" w:hAnsi="Times New Roman"/>
          <w:sz w:val="17"/>
          <w:szCs w:val="17"/>
          <w:color w:val="auto"/>
        </w:rPr>
        <w:t>Beginning January 1, 2022, the Tax Act eliminated the option to deduct research and development expenditures in the current year and requires taxpayers to capitalize such expenses pursuant to Internal Revenue Code (IRC) Section 174. The capitalized expenses are amortized over a 5-year period for domestic expenses and a 15-year period for foreign expenses.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 reconciliation of the beginning and ending amount of gross unrecognized tax benefits is as follows (in thousands):</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060" w:type="dxa"/>
            <w:vAlign w:val="bottom"/>
          </w:tcPr>
          <w:p>
            <w:pPr>
              <w:spacing w:after="0"/>
              <w:rPr>
                <w:sz w:val="19"/>
                <w:szCs w:val="19"/>
                <w:color w:val="auto"/>
              </w:rPr>
            </w:pPr>
          </w:p>
        </w:tc>
        <w:tc>
          <w:tcPr>
            <w:tcW w:w="840" w:type="dxa"/>
            <w:vAlign w:val="bottom"/>
            <w:tcBorders>
              <w:bottom w:val="single" w:sz="8" w:color="auto"/>
            </w:tcBorders>
          </w:tcPr>
          <w:p>
            <w:pPr>
              <w:spacing w:after="0"/>
              <w:rPr>
                <w:sz w:val="19"/>
                <w:szCs w:val="19"/>
                <w:color w:val="auto"/>
              </w:rPr>
            </w:pPr>
          </w:p>
        </w:tc>
        <w:tc>
          <w:tcPr>
            <w:tcW w:w="2340" w:type="dxa"/>
            <w:vAlign w:val="bottom"/>
            <w:tcBorders>
              <w:bottom w:val="single" w:sz="8" w:color="auto"/>
            </w:tcBorders>
            <w:gridSpan w:val="6"/>
          </w:tcPr>
          <w:p>
            <w:pPr>
              <w:jc w:val="right"/>
              <w:ind w:right="5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960" w:type="dxa"/>
            <w:vAlign w:val="bottom"/>
            <w:tcBorders>
              <w:bottom w:val="single" w:sz="8" w:color="auto"/>
            </w:tcBorders>
          </w:tcPr>
          <w:p>
            <w:pPr>
              <w:spacing w:after="0"/>
              <w:rPr>
                <w:sz w:val="19"/>
                <w:szCs w:val="19"/>
                <w:color w:val="auto"/>
              </w:rPr>
            </w:pPr>
          </w:p>
        </w:tc>
      </w:tr>
      <w:tr>
        <w:trPr>
          <w:trHeight w:val="214"/>
        </w:trPr>
        <w:tc>
          <w:tcPr>
            <w:tcW w:w="7060" w:type="dxa"/>
            <w:vAlign w:val="bottom"/>
            <w:tcBorders>
              <w:bottom w:val="single" w:sz="8" w:color="CCEE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4"/>
        </w:trPr>
        <w:tc>
          <w:tcPr>
            <w:tcW w:w="7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Beginning balance</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7,821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7,197</w:t>
            </w:r>
          </w:p>
        </w:tc>
      </w:tr>
      <w:tr>
        <w:trPr>
          <w:trHeight w:val="221"/>
        </w:trPr>
        <w:tc>
          <w:tcPr>
            <w:tcW w:w="70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Increases for current year tax positions</w:t>
            </w:r>
          </w:p>
        </w:tc>
        <w:tc>
          <w:tcPr>
            <w:tcW w:w="8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1,001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w:t>
            </w:r>
          </w:p>
        </w:tc>
      </w:tr>
      <w:tr>
        <w:trPr>
          <w:trHeight w:val="221"/>
        </w:trPr>
        <w:tc>
          <w:tcPr>
            <w:tcW w:w="70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Increases/(decreases) for prior year tax positions</w:t>
            </w:r>
          </w:p>
        </w:tc>
        <w:tc>
          <w:tcPr>
            <w:tcW w:w="84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w:t>
            </w:r>
          </w:p>
        </w:tc>
      </w:tr>
      <w:tr>
        <w:trPr>
          <w:trHeight w:val="214"/>
        </w:trPr>
        <w:tc>
          <w:tcPr>
            <w:tcW w:w="70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Ending balance</w:t>
            </w:r>
          </w:p>
        </w:tc>
        <w:tc>
          <w:tcPr>
            <w:tcW w:w="8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7"/>
                <w:szCs w:val="17"/>
                <w:color w:val="auto"/>
                <w:w w:val="93"/>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9"/>
              </w:rPr>
              <w:t>9,334</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7,821</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7,376</w:t>
            </w:r>
          </w:p>
        </w:tc>
      </w:tr>
      <w:tr>
        <w:trPr>
          <w:trHeight w:val="20"/>
        </w:trPr>
        <w:tc>
          <w:tcPr>
            <w:tcW w:w="70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right="200" w:firstLine="625"/>
        <w:spacing w:after="0" w:line="268" w:lineRule="auto"/>
        <w:rPr>
          <w:sz w:val="20"/>
          <w:szCs w:val="20"/>
          <w:color w:val="auto"/>
        </w:rPr>
      </w:pPr>
      <w:r>
        <w:rPr>
          <w:rFonts w:ascii="Times New Roman" w:cs="Times New Roman" w:eastAsia="Times New Roman" w:hAnsi="Times New Roman"/>
          <w:sz w:val="17"/>
          <w:szCs w:val="17"/>
          <w:color w:val="auto"/>
        </w:rPr>
        <w:t>As of December 31, 2024 and 2023, of the total gross unrecognized tax benefits, approximately $9.3 million and $7.8 million would favorably impact the Company's effective income tax rate, respectively. Although, due to the Company's determination that the deferred income tax asset would not more likely than not be realized, a valuation allowance would be recorded, therefore, zero net impact would result within the Company's effective income tax rate. The Company's uncertain income tax position liability has been recorded to deferred income taxes to offset the tax attribute carryforward amounts.</w:t>
      </w:r>
    </w:p>
    <w:p>
      <w:pPr>
        <w:spacing w:after="0" w:line="117" w:lineRule="exact"/>
        <w:rPr>
          <w:sz w:val="20"/>
          <w:szCs w:val="20"/>
          <w:color w:val="auto"/>
        </w:rPr>
      </w:pPr>
    </w:p>
    <w:p>
      <w:pPr>
        <w:jc w:val="both"/>
        <w:ind w:right="180" w:firstLine="625"/>
        <w:spacing w:after="0" w:line="274" w:lineRule="auto"/>
        <w:rPr>
          <w:sz w:val="20"/>
          <w:szCs w:val="20"/>
          <w:color w:val="auto"/>
        </w:rPr>
      </w:pPr>
      <w:r>
        <w:rPr>
          <w:rFonts w:ascii="Times New Roman" w:cs="Times New Roman" w:eastAsia="Times New Roman" w:hAnsi="Times New Roman"/>
          <w:sz w:val="17"/>
          <w:szCs w:val="17"/>
          <w:color w:val="auto"/>
        </w:rPr>
        <w:t>For the years ended December 31, 2024, 2023 and 2022, the Company has not recognized any interest or penalties related to the uncertain income tax positions due to the fact such position is related to tax attribute carryforwards which have not yet been utilized. The Company does not expect its unrecognized income tax position to significantly decrease within the next twelve months.</w:t>
      </w:r>
    </w:p>
    <w:p>
      <w:pPr>
        <w:spacing w:after="0" w:line="112" w:lineRule="exact"/>
        <w:rPr>
          <w:sz w:val="20"/>
          <w:szCs w:val="20"/>
          <w:color w:val="auto"/>
        </w:rPr>
      </w:pPr>
    </w:p>
    <w:p>
      <w:pPr>
        <w:ind w:right="300" w:firstLine="625"/>
        <w:spacing w:after="0" w:line="294" w:lineRule="auto"/>
        <w:rPr>
          <w:sz w:val="20"/>
          <w:szCs w:val="20"/>
          <w:color w:val="auto"/>
        </w:rPr>
      </w:pPr>
      <w:r>
        <w:rPr>
          <w:rFonts w:ascii="Times New Roman" w:cs="Times New Roman" w:eastAsia="Times New Roman" w:hAnsi="Times New Roman"/>
          <w:sz w:val="17"/>
          <w:szCs w:val="17"/>
          <w:color w:val="auto"/>
        </w:rPr>
        <w:t xml:space="preserve">The Company's U.S. Federal and state income tax returns from 2007 </w:t>
      </w:r>
      <w:r>
        <w:rPr>
          <w:rFonts w:ascii="Times New Roman" w:cs="Times New Roman" w:eastAsia="Times New Roman" w:hAnsi="Times New Roman"/>
          <w:sz w:val="17"/>
          <w:szCs w:val="17"/>
          <w:color w:val="252525"/>
        </w:rPr>
        <w:t>forward remain open to examination due to the carryover of unused income tax</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252525"/>
        </w:rPr>
        <w:t>credits, and from 2007 forward due to the carryover of unused net operating losses.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Employee Benefit Plan</w:t>
      </w:r>
    </w:p>
    <w:p>
      <w:pPr>
        <w:spacing w:after="0" w:line="171" w:lineRule="exact"/>
        <w:rPr>
          <w:sz w:val="20"/>
          <w:szCs w:val="20"/>
          <w:color w:val="auto"/>
        </w:rPr>
      </w:pPr>
    </w:p>
    <w:p>
      <w:pPr>
        <w:ind w:right="160" w:firstLine="625"/>
        <w:spacing w:after="0" w:line="274" w:lineRule="auto"/>
        <w:rPr>
          <w:sz w:val="20"/>
          <w:szCs w:val="20"/>
          <w:color w:val="auto"/>
        </w:rPr>
      </w:pPr>
      <w:r>
        <w:rPr>
          <w:rFonts w:ascii="Times New Roman" w:cs="Times New Roman" w:eastAsia="Times New Roman" w:hAnsi="Times New Roman"/>
          <w:sz w:val="17"/>
          <w:szCs w:val="17"/>
          <w:color w:val="auto"/>
        </w:rPr>
        <w:t>In 2002, the Company established the MacroGenics 401(k) Plan (the Plan) for its employees under Section 401(k) of the IRC. Under this Plan, all employees at least 21 years of age are eligible to participate in the Plan, starting on the first day of employment. Employees may contribute up to 100% of their salary, subject to government maximums.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108" w:name="page109"/>
    <w:bookmarkEnd w:id="108"/>
    <w:p>
      <w:pPr>
        <w:jc w:val="both"/>
        <w:ind w:right="440" w:firstLine="625"/>
        <w:spacing w:after="0" w:line="274" w:lineRule="auto"/>
        <w:rPr>
          <w:sz w:val="20"/>
          <w:szCs w:val="20"/>
          <w:color w:val="auto"/>
        </w:rPr>
      </w:pPr>
      <w:r>
        <w:rPr>
          <w:rFonts w:ascii="Times New Roman" w:cs="Times New Roman" w:eastAsia="Times New Roman" w:hAnsi="Times New Roman"/>
          <w:sz w:val="17"/>
          <w:szCs w:val="17"/>
          <w:color w:val="auto"/>
        </w:rPr>
        <w:t>Employees are 100% vested in their contributions to the Plan. The Company's contribution to the Plan, as determined by the Board of Directors, is discretionary. For the years ended December 31, 2024, 2023 and 2022, the Company's contributions to the Plan totaled $2.2 million, $2.1 million and $2.3 million, respectively.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13. Segment Reporting</w:t>
      </w:r>
    </w:p>
    <w:p>
      <w:pPr>
        <w:spacing w:after="0" w:line="171" w:lineRule="exact"/>
        <w:rPr>
          <w:sz w:val="20"/>
          <w:szCs w:val="20"/>
          <w:color w:val="auto"/>
        </w:rPr>
      </w:pPr>
    </w:p>
    <w:p>
      <w:pPr>
        <w:ind w:right="40" w:firstLine="625"/>
        <w:spacing w:after="0" w:line="264" w:lineRule="auto"/>
        <w:rPr>
          <w:sz w:val="20"/>
          <w:szCs w:val="20"/>
          <w:color w:val="auto"/>
        </w:rPr>
      </w:pPr>
      <w:r>
        <w:rPr>
          <w:rFonts w:ascii="Times New Roman" w:cs="Times New Roman" w:eastAsia="Times New Roman" w:hAnsi="Times New Roman"/>
          <w:sz w:val="17"/>
          <w:szCs w:val="17"/>
          <w:color w:val="auto"/>
        </w:rPr>
        <w:t>The Company identifies its reportable segments based on information reviewed by the Company’s CODM. The Company operates as one operating and reportable segment, which is discovering, developing, manufacturing and commercializing innovative antibody-based therapeutics for the treatment of cancer. The Company has determined its reportable operating segment based on the management approach, which considers the internal organization and reporting used by the Company’s CODM to make decisions about allocating resources and assessing the Company’s performance. The determination of a single business segment is consistent with the consolidated financial information regularly reviewed by the CODM for purposes of assessing performance and allocating resources.</w:t>
      </w:r>
    </w:p>
    <w:p>
      <w:pPr>
        <w:spacing w:after="0" w:line="200" w:lineRule="exact"/>
        <w:rPr>
          <w:sz w:val="20"/>
          <w:szCs w:val="20"/>
          <w:color w:val="auto"/>
        </w:rPr>
      </w:pPr>
    </w:p>
    <w:p>
      <w:pPr>
        <w:spacing w:after="0" w:line="210" w:lineRule="exact"/>
        <w:rPr>
          <w:sz w:val="20"/>
          <w:szCs w:val="20"/>
          <w:color w:val="auto"/>
        </w:rPr>
      </w:pPr>
    </w:p>
    <w:p>
      <w:pPr>
        <w:ind w:right="80" w:firstLine="625"/>
        <w:spacing w:after="0" w:line="274" w:lineRule="auto"/>
        <w:rPr>
          <w:sz w:val="20"/>
          <w:szCs w:val="20"/>
          <w:color w:val="auto"/>
        </w:rPr>
      </w:pPr>
      <w:r>
        <w:rPr>
          <w:rFonts w:ascii="Times New Roman" w:cs="Times New Roman" w:eastAsia="Times New Roman" w:hAnsi="Times New Roman"/>
          <w:sz w:val="17"/>
          <w:szCs w:val="17"/>
          <w:color w:val="auto"/>
        </w:rPr>
        <w:t>The CODM uses consolidated net loss, consistent with the amounts reported in the Company’s consolidated statements of operations to evaluate performance, forecast future period financial results and allocate resources. Total consolidated assets presented in the accompanying consolidated balance sheets also represent the segment’s total assets.</w:t>
      </w:r>
    </w:p>
    <w:p>
      <w:pPr>
        <w:spacing w:after="0" w:line="1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The table below summarizes the significant expenses regularly reviewed by the CODM (in thousands):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46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320" w:type="dxa"/>
            <w:vAlign w:val="bottom"/>
            <w:tcBorders>
              <w:bottom w:val="single" w:sz="8" w:color="auto"/>
            </w:tcBorders>
            <w:gridSpan w:val="6"/>
          </w:tcPr>
          <w:p>
            <w:pPr>
              <w:jc w:val="right"/>
              <w:ind w:right="193"/>
              <w:spacing w:after="0"/>
              <w:rPr>
                <w:sz w:val="20"/>
                <w:szCs w:val="20"/>
                <w:color w:val="auto"/>
              </w:rPr>
            </w:pPr>
            <w:r>
              <w:rPr>
                <w:rFonts w:ascii="Times New Roman" w:cs="Times New Roman" w:eastAsia="Times New Roman" w:hAnsi="Times New Roman"/>
                <w:sz w:val="17"/>
                <w:szCs w:val="17"/>
                <w:b w:val="1"/>
                <w:bCs w:val="1"/>
                <w:color w:val="auto"/>
              </w:rPr>
              <w:t>Year Ended December 31,</w:t>
            </w:r>
          </w:p>
        </w:tc>
        <w:tc>
          <w:tcPr>
            <w:tcW w:w="1140" w:type="dxa"/>
            <w:vAlign w:val="bottom"/>
            <w:tcBorders>
              <w:bottom w:val="single" w:sz="8" w:color="auto"/>
            </w:tcBorders>
          </w:tcPr>
          <w:p>
            <w:pPr>
              <w:spacing w:after="0"/>
              <w:rPr>
                <w:sz w:val="19"/>
                <w:szCs w:val="19"/>
                <w:color w:val="auto"/>
              </w:rPr>
            </w:pPr>
          </w:p>
        </w:tc>
      </w:tr>
      <w:tr>
        <w:trPr>
          <w:trHeight w:val="214"/>
        </w:trPr>
        <w:tc>
          <w:tcPr>
            <w:tcW w:w="64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7"/>
                <w:szCs w:val="17"/>
                <w:b w:val="1"/>
                <w:bCs w:val="1"/>
                <w:color w:val="auto"/>
              </w:rPr>
              <w:t>2024</w:t>
            </w:r>
          </w:p>
        </w:tc>
        <w:tc>
          <w:tcPr>
            <w:tcW w:w="16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2023</w:t>
            </w:r>
          </w:p>
        </w:tc>
        <w:tc>
          <w:tcPr>
            <w:tcW w:w="18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7"/>
                <w:szCs w:val="17"/>
                <w:b w:val="1"/>
                <w:bCs w:val="1"/>
                <w:color w:val="auto"/>
              </w:rPr>
              <w:t>2022</w:t>
            </w: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Total revenue (a)</w:t>
            </w:r>
          </w:p>
        </w:tc>
        <w:tc>
          <w:tcPr>
            <w:tcW w:w="32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149,962</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58,749</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151,941</w:t>
            </w:r>
          </w:p>
        </w:tc>
      </w:tr>
      <w:tr>
        <w:trPr>
          <w:trHeight w:val="221"/>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product sales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3,351</w:t>
            </w:r>
          </w:p>
        </w:tc>
      </w:tr>
      <w:tr>
        <w:trPr>
          <w:trHeight w:val="22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manufacturing sales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11,452</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4,033</w:t>
            </w:r>
          </w:p>
        </w:tc>
      </w:tr>
      <w:tr>
        <w:trPr>
          <w:trHeight w:val="221"/>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Research and development expenses:</w:t>
            </w: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1"/>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Vobramitamab duocarmazine</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39,809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39,217</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55,381</w:t>
            </w:r>
          </w:p>
        </w:tc>
      </w:tr>
      <w:tr>
        <w:trPr>
          <w:trHeight w:val="221"/>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Lorigerlimab</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36,805</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27,716</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21,581</w:t>
            </w:r>
          </w:p>
        </w:tc>
      </w:tr>
      <w:tr>
        <w:trPr>
          <w:trHeight w:val="221"/>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MGC028</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24,055</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14,408</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1"/>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Preclinical antibody-drug conjugates (ADCs)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18,102</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11,170</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12,975</w:t>
            </w:r>
          </w:p>
        </w:tc>
      </w:tr>
      <w:tr>
        <w:trPr>
          <w:trHeight w:val="221"/>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MGC026</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14,126</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13,523</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5,287</w:t>
            </w:r>
          </w:p>
        </w:tc>
      </w:tr>
      <w:tr>
        <w:trPr>
          <w:trHeight w:val="221"/>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Margetuximab</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10,846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16,081</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26,869</w:t>
            </w:r>
          </w:p>
        </w:tc>
      </w:tr>
      <w:tr>
        <w:trPr>
          <w:trHeight w:val="221"/>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MGD024</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9,734</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7,857</w:t>
            </w:r>
          </w:p>
        </w:tc>
      </w:tr>
      <w:tr>
        <w:trPr>
          <w:trHeight w:val="221"/>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Next-generation T-cell engagers</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8,421</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13,335</w:t>
            </w:r>
          </w:p>
        </w:tc>
      </w:tr>
      <w:tr>
        <w:trPr>
          <w:trHeight w:val="221"/>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Retifanlimab</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2,129</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3,452</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2,156</w:t>
            </w:r>
          </w:p>
        </w:tc>
      </w:tr>
      <w:tr>
        <w:trPr>
          <w:trHeight w:val="221"/>
        </w:trPr>
        <w:tc>
          <w:tcPr>
            <w:tcW w:w="6460" w:type="dxa"/>
            <w:vAlign w:val="bottom"/>
          </w:tcPr>
          <w:p>
            <w:pPr>
              <w:ind w:left="120"/>
              <w:spacing w:after="0"/>
              <w:rPr>
                <w:sz w:val="20"/>
                <w:szCs w:val="20"/>
                <w:color w:val="auto"/>
              </w:rPr>
            </w:pPr>
            <w:r>
              <w:rPr>
                <w:rFonts w:ascii="Times New Roman" w:cs="Times New Roman" w:eastAsia="Times New Roman" w:hAnsi="Times New Roman"/>
                <w:sz w:val="17"/>
                <w:szCs w:val="17"/>
                <w:color w:val="auto"/>
              </w:rPr>
              <w:t>Enoblituzumab</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1,906</w:t>
            </w:r>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5,344</w:t>
            </w:r>
          </w:p>
        </w:tc>
        <w:tc>
          <w:tcPr>
            <w:tcW w:w="1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14,725</w:t>
            </w:r>
          </w:p>
        </w:tc>
      </w:tr>
      <w:tr>
        <w:trPr>
          <w:trHeight w:val="221"/>
        </w:trPr>
        <w:tc>
          <w:tcPr>
            <w:tcW w:w="64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Other programs</w:t>
            </w:r>
          </w:p>
        </w:tc>
        <w:tc>
          <w:tcPr>
            <w:tcW w:w="3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11,261</w:t>
            </w:r>
          </w:p>
        </w:tc>
        <w:tc>
          <w:tcPr>
            <w:tcW w:w="1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18,234</w:t>
            </w:r>
          </w:p>
        </w:tc>
        <w:tc>
          <w:tcPr>
            <w:tcW w:w="1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46,860</w:t>
            </w:r>
          </w:p>
        </w:tc>
      </w:tr>
      <w:tr>
        <w:trPr>
          <w:trHeight w:val="221"/>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Total research and development expenses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177,194</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166,583</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207,026</w:t>
            </w:r>
          </w:p>
        </w:tc>
      </w:tr>
      <w:tr>
        <w:trPr>
          <w:trHeight w:val="214"/>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Selling, general and administrative expenses</w:t>
            </w:r>
          </w:p>
        </w:tc>
        <w:tc>
          <w:tcPr>
            <w:tcW w:w="3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71,047</w:t>
            </w: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52,188</w:t>
            </w:r>
          </w:p>
        </w:tc>
        <w:tc>
          <w:tcPr>
            <w:tcW w:w="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58,949</w:t>
            </w:r>
          </w:p>
        </w:tc>
      </w:tr>
      <w:tr>
        <w:trPr>
          <w:trHeight w:val="221"/>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segment income, net (b)</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43,612</w:t>
            </w:r>
          </w:p>
        </w:tc>
        <w:tc>
          <w:tcPr>
            <w:tcW w:w="16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159,186</w:t>
            </w:r>
          </w:p>
        </w:tc>
        <w:tc>
          <w:tcPr>
            <w:tcW w:w="1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1,660</w:t>
            </w:r>
          </w:p>
        </w:tc>
      </w:tr>
      <w:tr>
        <w:trPr>
          <w:trHeight w:val="239"/>
        </w:trPr>
        <w:tc>
          <w:tcPr>
            <w:tcW w:w="6460" w:type="dxa"/>
            <w:vAlign w:val="bottom"/>
            <w:tcBorders>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bottom w:val="single" w:sz="8" w:color="auto"/>
            </w:tcBorders>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(66,966)</w:t>
            </w:r>
          </w:p>
        </w:tc>
        <w:tc>
          <w:tcPr>
            <w:tcW w:w="1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(9,058)</w:t>
            </w:r>
          </w:p>
        </w:tc>
        <w:tc>
          <w:tcPr>
            <w:tcW w:w="1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(119,758)</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left="240" w:hanging="236"/>
        <w:spacing w:after="0"/>
        <w:tabs>
          <w:tab w:leader="none" w:pos="2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Total revenue includes collaborative and other agreements, product sales, net, contract manufacturing, and government agreements.</w:t>
      </w:r>
    </w:p>
    <w:p>
      <w:pPr>
        <w:spacing w:after="0" w:line="31" w:lineRule="exact"/>
        <w:rPr>
          <w:rFonts w:ascii="Times New Roman" w:cs="Times New Roman" w:eastAsia="Times New Roman" w:hAnsi="Times New Roman"/>
          <w:sz w:val="17"/>
          <w:szCs w:val="17"/>
          <w:color w:val="auto"/>
        </w:rPr>
      </w:pPr>
    </w:p>
    <w:p>
      <w:pPr>
        <w:ind w:left="260" w:hanging="256"/>
        <w:spacing w:after="0"/>
        <w:tabs>
          <w:tab w:leader="none" w:pos="26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segment income, net includes the gain on sale of MARGENZA, interest and other income and expense, and income tax expense.</w:t>
      </w:r>
    </w:p>
    <w:p>
      <w:pPr>
        <w:spacing w:after="0" w:line="216" w:lineRule="exact"/>
        <w:rPr>
          <w:sz w:val="20"/>
          <w:szCs w:val="20"/>
          <w:color w:val="auto"/>
        </w:rPr>
      </w:pPr>
    </w:p>
    <w:p>
      <w:pPr>
        <w:ind w:right="400" w:firstLine="625"/>
        <w:spacing w:after="0" w:line="262" w:lineRule="auto"/>
        <w:rPr>
          <w:sz w:val="20"/>
          <w:szCs w:val="20"/>
          <w:color w:val="auto"/>
        </w:rPr>
      </w:pPr>
      <w:r>
        <w:rPr>
          <w:rFonts w:ascii="Times New Roman" w:cs="Times New Roman" w:eastAsia="Times New Roman" w:hAnsi="Times New Roman"/>
          <w:sz w:val="17"/>
          <w:szCs w:val="17"/>
          <w:color w:val="auto"/>
        </w:rPr>
        <w:t>The Company operates in the United States and all material long-lived assets of the Company reside in the United States For information about the Company’s revenues, see Note 8, Revenue.</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 - 30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73025</wp:posOffset>
            </wp:positionV>
            <wp:extent cx="7162800"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2800" cy="41910"/>
                    </a:xfrm>
                    <a:prstGeom prst="rect">
                      <a:avLst/>
                    </a:prstGeom>
                    <a:noFill/>
                  </pic:spPr>
                </pic:pic>
              </a:graphicData>
            </a:graphic>
          </wp:anchor>
        </w:drawing>
      </w:r>
    </w:p>
    <w:p>
      <w:pPr>
        <w:sectPr>
          <w:pgSz w:w="11900" w:h="16838" w:orient="portrait"/>
          <w:cols w:equalWidth="0" w:num="1">
            <w:col w:w="11240"/>
          </w:cols>
          <w:pgMar w:left="320" w:top="863" w:right="3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29"/>
        </w:trPr>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320" w:type="dxa"/>
            <w:vAlign w:val="bottom"/>
            <w:gridSpan w:val="33"/>
          </w:tcPr>
          <w:p>
            <w:pPr>
              <w:ind w:left="40"/>
              <w:spacing w:after="0"/>
              <w:rPr>
                <w:sz w:val="20"/>
                <w:szCs w:val="20"/>
                <w:color w:val="auto"/>
              </w:rPr>
            </w:pPr>
            <w:r>
              <w:rPr>
                <w:rFonts w:ascii="Times New Roman" w:cs="Times New Roman" w:eastAsia="Times New Roman" w:hAnsi="Times New Roman"/>
                <w:sz w:val="17"/>
                <w:szCs w:val="17"/>
                <w:b w:val="1"/>
                <w:bCs w:val="1"/>
                <w:color w:val="auto"/>
              </w:rPr>
              <w:t>EXHIBIT INDEX</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Exhibit</w:t>
            </w:r>
          </w:p>
        </w:tc>
        <w:tc>
          <w:tcPr>
            <w:tcW w:w="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560" w:type="dxa"/>
            <w:vAlign w:val="bottom"/>
            <w:gridSpan w:val="27"/>
            <w:vMerge w:val="restart"/>
          </w:tcPr>
          <w:p>
            <w:pPr>
              <w:ind w:left="260"/>
              <w:spacing w:after="0"/>
              <w:rPr>
                <w:sz w:val="20"/>
                <w:szCs w:val="20"/>
                <w:color w:val="auto"/>
              </w:rPr>
            </w:pPr>
            <w:r>
              <w:rPr>
                <w:rFonts w:ascii="Times New Roman" w:cs="Times New Roman" w:eastAsia="Times New Roman" w:hAnsi="Times New Roman"/>
                <w:sz w:val="17"/>
                <w:szCs w:val="17"/>
                <w:b w:val="1"/>
                <w:bCs w:val="1"/>
                <w:color w:val="auto"/>
              </w:rPr>
              <w:t>Description</w:t>
            </w:r>
          </w:p>
        </w:tc>
        <w:tc>
          <w:tcPr>
            <w:tcW w:w="0" w:type="dxa"/>
            <w:vAlign w:val="bottom"/>
          </w:tcPr>
          <w:p>
            <w:pPr>
              <w:spacing w:after="0"/>
              <w:rPr>
                <w:sz w:val="1"/>
                <w:szCs w:val="1"/>
                <w:color w:val="auto"/>
              </w:rPr>
            </w:pPr>
          </w:p>
        </w:tc>
      </w:tr>
      <w:tr>
        <w:trPr>
          <w:trHeight w:val="240"/>
        </w:trPr>
        <w:tc>
          <w:tcPr>
            <w:tcW w:w="4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b w:val="1"/>
                <w:bCs w:val="1"/>
                <w:color w:val="auto"/>
              </w:rPr>
              <w:t>No.</w:t>
            </w:r>
          </w:p>
        </w:tc>
        <w:tc>
          <w:tcPr>
            <w:tcW w:w="3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560" w:type="dxa"/>
            <w:vAlign w:val="bottom"/>
            <w:tcBorders>
              <w:bottom w:val="single" w:sz="8" w:color="auto"/>
            </w:tcBorders>
            <w:gridSpan w:val="27"/>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3.1</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9720" w:type="dxa"/>
            <w:vAlign w:val="bottom"/>
            <w:gridSpan w:val="38"/>
          </w:tcPr>
          <w:p>
            <w:pPr>
              <w:spacing w:after="0"/>
              <w:rPr>
                <w:sz w:val="20"/>
                <w:szCs w:val="20"/>
                <w:color w:val="auto"/>
              </w:rPr>
            </w:pPr>
            <w:r>
              <w:rPr>
                <w:rFonts w:ascii="Times New Roman" w:cs="Times New Roman" w:eastAsia="Times New Roman" w:hAnsi="Times New Roman"/>
                <w:sz w:val="17"/>
                <w:szCs w:val="17"/>
                <w:color w:val="auto"/>
              </w:rPr>
              <w:t>Restated Certificate of Incorporation of the Company and Certificate of Correction to the Restated Certificate of Incorporation of the</w:t>
            </w:r>
          </w:p>
        </w:tc>
        <w:tc>
          <w:tcPr>
            <w:tcW w:w="0" w:type="dxa"/>
            <w:vAlign w:val="bottom"/>
          </w:tcPr>
          <w:p>
            <w:pPr>
              <w:spacing w:after="0"/>
              <w:rPr>
                <w:sz w:val="1"/>
                <w:szCs w:val="1"/>
                <w:color w:val="auto"/>
              </w:rPr>
            </w:pPr>
          </w:p>
        </w:tc>
      </w:tr>
      <w:tr>
        <w:trPr>
          <w:trHeight w:val="182"/>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720" w:type="dxa"/>
            <w:vAlign w:val="bottom"/>
            <w:gridSpan w:val="38"/>
          </w:tcPr>
          <w:p>
            <w:pPr>
              <w:spacing w:after="0" w:line="182" w:lineRule="exact"/>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Company (incorporated by reference to Exhibits </w:t>
            </w:r>
            <w:hyperlink r:id="rId130">
              <w:r>
                <w:rPr>
                  <w:rFonts w:ascii="Times New Roman" w:cs="Times New Roman" w:eastAsia="Times New Roman" w:hAnsi="Times New Roman"/>
                  <w:sz w:val="17"/>
                  <w:szCs w:val="17"/>
                  <w:color w:val="0000FF"/>
                </w:rPr>
                <w:t>3.1</w:t>
              </w:r>
              <w:r>
                <w:rPr>
                  <w:rFonts w:ascii="Times New Roman" w:cs="Times New Roman" w:eastAsia="Times New Roman" w:hAnsi="Times New Roman"/>
                  <w:sz w:val="17"/>
                  <w:szCs w:val="17"/>
                  <w:color w:val="auto"/>
                </w:rPr>
                <w:t xml:space="preserve"> </w:t>
              </w:r>
            </w:hyperlink>
            <w:r>
              <w:rPr>
                <w:rFonts w:ascii="Times New Roman" w:cs="Times New Roman" w:eastAsia="Times New Roman" w:hAnsi="Times New Roman"/>
                <w:sz w:val="17"/>
                <w:szCs w:val="17"/>
                <w:color w:val="auto"/>
              </w:rPr>
              <w:t xml:space="preserve">and </w:t>
            </w:r>
            <w:hyperlink r:id="rId131">
              <w:r>
                <w:rPr>
                  <w:rFonts w:ascii="Times New Roman" w:cs="Times New Roman" w:eastAsia="Times New Roman" w:hAnsi="Times New Roman"/>
                  <w:sz w:val="17"/>
                  <w:szCs w:val="17"/>
                  <w:color w:val="0000FF"/>
                </w:rPr>
                <w:t>3.3</w:t>
              </w:r>
            </w:hyperlink>
            <w:r>
              <w:rPr>
                <w:rFonts w:ascii="Times New Roman" w:cs="Times New Roman" w:eastAsia="Times New Roman" w:hAnsi="Times New Roman"/>
                <w:sz w:val="17"/>
                <w:szCs w:val="17"/>
                <w:color w:val="auto"/>
              </w:rPr>
              <w:t>, respectively, to the Company's Current Report on Form 8-K filed on October</w:t>
            </w:r>
          </w:p>
        </w:tc>
        <w:tc>
          <w:tcPr>
            <w:tcW w:w="0" w:type="dxa"/>
            <w:vAlign w:val="bottom"/>
          </w:tcPr>
          <w:p>
            <w:pPr>
              <w:spacing w:after="0"/>
              <w:rPr>
                <w:sz w:val="1"/>
                <w:szCs w:val="1"/>
                <w:color w:val="auto"/>
              </w:rPr>
            </w:pPr>
          </w:p>
        </w:tc>
      </w:tr>
      <w:tr>
        <w:trPr>
          <w:trHeight w:val="207"/>
        </w:trPr>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18, 2013)</w:t>
            </w:r>
          </w:p>
        </w:tc>
        <w:tc>
          <w:tcPr>
            <w:tcW w:w="2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3.2</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Amended and Restated By-Laws of the Company (incorporated by reference to Exhibit 3.1 to the Company’s Current Report on Form 8-K</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rPr>
            </w:pPr>
            <w:hyperlink r:id="rId132">
              <w:r>
                <w:rPr>
                  <w:rFonts w:ascii="Times New Roman" w:cs="Times New Roman" w:eastAsia="Times New Roman" w:hAnsi="Times New Roman"/>
                  <w:sz w:val="17"/>
                  <w:szCs w:val="17"/>
                  <w:color w:val="0000FF"/>
                </w:rPr>
                <w:t>(File No. 001-36112) filed on April 2, 2021)</w:t>
              </w:r>
            </w:hyperlink>
          </w:p>
        </w:tc>
        <w:tc>
          <w:tcPr>
            <w:tcW w:w="6580" w:type="dxa"/>
            <w:vAlign w:val="bottom"/>
            <w:tcBorders>
              <w:top w:val="single" w:sz="8" w:color="0000FF"/>
            </w:tcBorders>
            <w:gridSpan w:val="3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4.1</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Specimen Stock Certificate (incorporated by reference to Exhibit 4.2 to the Registration Statement on Form S-1 (File No. 333-190994)</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360" w:type="dxa"/>
            <w:vAlign w:val="bottom"/>
            <w:tcBorders>
              <w:top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133">
              <w:r>
                <w:rPr>
                  <w:rFonts w:ascii="Times New Roman" w:cs="Times New Roman" w:eastAsia="Times New Roman" w:hAnsi="Times New Roman"/>
                  <w:sz w:val="17"/>
                  <w:szCs w:val="17"/>
                  <w:color w:val="0000FF"/>
                </w:rPr>
                <w:t>filed by the Company on October 9, 2013)</w:t>
              </w:r>
            </w:hyperlink>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280" w:type="dxa"/>
            <w:vAlign w:val="bottom"/>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4.2</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34">
              <w:r>
                <w:rPr>
                  <w:rFonts w:ascii="Times New Roman" w:cs="Times New Roman" w:eastAsia="Times New Roman" w:hAnsi="Times New Roman"/>
                  <w:sz w:val="17"/>
                  <w:szCs w:val="17"/>
                  <w:color w:val="0000FF"/>
                </w:rPr>
                <w:t>Description of Common Stock (incorporated by reference to Exhibit 4.2 to the Company’s Annual Report on Form 10-K filed on February</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60" w:type="dxa"/>
            <w:vAlign w:val="bottom"/>
            <w:tcBorders>
              <w:top w:val="single" w:sz="8" w:color="0000FF"/>
              <w:bottom w:val="single" w:sz="8" w:color="0000FF"/>
            </w:tcBorders>
          </w:tcPr>
          <w:p>
            <w:pPr>
              <w:jc w:val="right"/>
              <w:spacing w:after="0" w:line="150" w:lineRule="exact"/>
              <w:rPr>
                <w:rFonts w:ascii="Times New Roman" w:cs="Times New Roman" w:eastAsia="Times New Roman" w:hAnsi="Times New Roman"/>
                <w:sz w:val="17"/>
                <w:szCs w:val="17"/>
                <w:color w:val="0000FF"/>
                <w:w w:val="98"/>
              </w:rPr>
            </w:pPr>
            <w:hyperlink r:id="rId134">
              <w:r>
                <w:rPr>
                  <w:rFonts w:ascii="Times New Roman" w:cs="Times New Roman" w:eastAsia="Times New Roman" w:hAnsi="Times New Roman"/>
                  <w:sz w:val="17"/>
                  <w:szCs w:val="17"/>
                  <w:color w:val="0000FF"/>
                  <w:w w:val="98"/>
                </w:rPr>
                <w:t>25, 2021)</w:t>
              </w:r>
            </w:hyperlink>
          </w:p>
        </w:tc>
        <w:tc>
          <w:tcPr>
            <w:tcW w:w="2280" w:type="dxa"/>
            <w:vAlign w:val="bottom"/>
            <w:tcBorders>
              <w:top w:val="single" w:sz="8" w:color="0000FF"/>
            </w:tcBorders>
          </w:tcPr>
          <w:p>
            <w:pPr>
              <w:spacing w:after="0"/>
              <w:rPr>
                <w:sz w:val="12"/>
                <w:szCs w:val="12"/>
                <w:color w:val="auto"/>
              </w:rPr>
            </w:pPr>
          </w:p>
        </w:tc>
        <w:tc>
          <w:tcPr>
            <w:tcW w:w="14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20" w:type="dxa"/>
            <w:vAlign w:val="bottom"/>
            <w:tcBorders>
              <w:top w:val="single" w:sz="8" w:color="0000FF"/>
            </w:tcBorders>
          </w:tcPr>
          <w:p>
            <w:pPr>
              <w:spacing w:after="0"/>
              <w:rPr>
                <w:sz w:val="12"/>
                <w:szCs w:val="12"/>
                <w:color w:val="auto"/>
              </w:rPr>
            </w:pPr>
          </w:p>
        </w:tc>
        <w:tc>
          <w:tcPr>
            <w:tcW w:w="4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3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4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38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8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Form of Indemnification Agreement (incorporated by reference to Exhibit 10.14 to the Registration Statement on Form S-1 (File No. 333-</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33"/>
          </w:tcPr>
          <w:p>
            <w:pPr>
              <w:spacing w:after="0" w:line="150" w:lineRule="exact"/>
              <w:rPr>
                <w:rFonts w:ascii="Times New Roman" w:cs="Times New Roman" w:eastAsia="Times New Roman" w:hAnsi="Times New Roman"/>
                <w:sz w:val="17"/>
                <w:szCs w:val="17"/>
                <w:color w:val="0000FF"/>
              </w:rPr>
            </w:pPr>
            <w:hyperlink r:id="rId135">
              <w:r>
                <w:rPr>
                  <w:rFonts w:ascii="Times New Roman" w:cs="Times New Roman" w:eastAsia="Times New Roman" w:hAnsi="Times New Roman"/>
                  <w:sz w:val="17"/>
                  <w:szCs w:val="17"/>
                  <w:color w:val="0000FF"/>
                </w:rPr>
                <w:t>190994) filed by the Company on October 1, 2013)</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w:t>
            </w: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Global Collaboration and License Agreement by and between the Company and Incyte Corporation, dated October 24, 2017 (incorporated</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60" w:type="dxa"/>
            <w:vAlign w:val="bottom"/>
            <w:tcBorders>
              <w:top w:val="single" w:sz="8" w:color="0000FF"/>
              <w:bottom w:val="single" w:sz="8" w:color="0000FF"/>
            </w:tcBorders>
            <w:gridSpan w:val="19"/>
          </w:tcPr>
          <w:p>
            <w:pPr>
              <w:spacing w:after="0" w:line="150" w:lineRule="exact"/>
              <w:rPr>
                <w:rFonts w:ascii="Times New Roman" w:cs="Times New Roman" w:eastAsia="Times New Roman" w:hAnsi="Times New Roman"/>
                <w:sz w:val="17"/>
                <w:szCs w:val="17"/>
                <w:color w:val="0000FF"/>
              </w:rPr>
            </w:pPr>
            <w:hyperlink r:id="rId136">
              <w:r>
                <w:rPr>
                  <w:rFonts w:ascii="Times New Roman" w:cs="Times New Roman" w:eastAsia="Times New Roman" w:hAnsi="Times New Roman"/>
                  <w:sz w:val="17"/>
                  <w:szCs w:val="17"/>
                  <w:color w:val="0000FF"/>
                </w:rPr>
                <w:t>by reference to Exhibit 10.3 to the Company's Annual Report on Form 10-K filed on February 27, 2018)</w:t>
              </w:r>
            </w:hyperlink>
          </w:p>
        </w:tc>
        <w:tc>
          <w:tcPr>
            <w:tcW w:w="2380" w:type="dxa"/>
            <w:vAlign w:val="bottom"/>
            <w:tcBorders>
              <w:top w:val="single" w:sz="8" w:color="0000FF"/>
            </w:tcBorders>
            <w:gridSpan w:val="16"/>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10.3+</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Company 2013 Equity Incentive Plan (incorporated by reference to Exhibit 10.5 to the Registration Statement on Form S-1 (File No. 333-</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32"/>
          </w:tcPr>
          <w:p>
            <w:pPr>
              <w:spacing w:after="0" w:line="150" w:lineRule="exact"/>
              <w:rPr>
                <w:rFonts w:ascii="Times New Roman" w:cs="Times New Roman" w:eastAsia="Times New Roman" w:hAnsi="Times New Roman"/>
                <w:sz w:val="17"/>
                <w:szCs w:val="17"/>
                <w:color w:val="0000FF"/>
              </w:rPr>
            </w:pPr>
            <w:hyperlink r:id="rId137">
              <w:r>
                <w:rPr>
                  <w:rFonts w:ascii="Times New Roman" w:cs="Times New Roman" w:eastAsia="Times New Roman" w:hAnsi="Times New Roman"/>
                  <w:sz w:val="17"/>
                  <w:szCs w:val="17"/>
                  <w:color w:val="0000FF"/>
                </w:rPr>
                <w:t>190994) filed by the Company on October 1, 2013)</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10.4+</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Form of Incentive Stock Option Agreement under 2013 Equity Incentive Plan (incorporated by reference to Exhibit 10.6 to the</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0" w:type="dxa"/>
            <w:vAlign w:val="bottom"/>
            <w:tcBorders>
              <w:top w:val="single" w:sz="8" w:color="0000FF"/>
            </w:tcBorders>
            <w:gridSpan w:val="21"/>
          </w:tcPr>
          <w:p>
            <w:pPr>
              <w:spacing w:after="0" w:line="150" w:lineRule="exact"/>
              <w:rPr>
                <w:rFonts w:ascii="Times New Roman" w:cs="Times New Roman" w:eastAsia="Times New Roman" w:hAnsi="Times New Roman"/>
                <w:sz w:val="17"/>
                <w:szCs w:val="17"/>
                <w:color w:val="0000FF"/>
              </w:rPr>
            </w:pPr>
            <w:hyperlink r:id="rId138">
              <w:r>
                <w:rPr>
                  <w:rFonts w:ascii="Times New Roman" w:cs="Times New Roman" w:eastAsia="Times New Roman" w:hAnsi="Times New Roman"/>
                  <w:sz w:val="17"/>
                  <w:szCs w:val="17"/>
                  <w:color w:val="0000FF"/>
                </w:rPr>
                <w:t>Registration Statement on Form S-1 (File No. 333-190994) filed by the Company on October 1, 2013)</w:t>
              </w:r>
            </w:hyperlink>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10.5+</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Form of Nonstatutory Stock Option Agreement under 2013 Equity Incentive Plan (incorporated by reference to Exhibit 10.7 to the</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60" w:type="dxa"/>
            <w:vAlign w:val="bottom"/>
            <w:tcBorders>
              <w:top w:val="single" w:sz="8" w:color="0000FF"/>
            </w:tcBorders>
            <w:gridSpan w:val="24"/>
          </w:tcPr>
          <w:p>
            <w:pPr>
              <w:spacing w:after="0" w:line="150" w:lineRule="exact"/>
              <w:rPr>
                <w:rFonts w:ascii="Times New Roman" w:cs="Times New Roman" w:eastAsia="Times New Roman" w:hAnsi="Times New Roman"/>
                <w:sz w:val="17"/>
                <w:szCs w:val="17"/>
                <w:color w:val="0000FF"/>
              </w:rPr>
            </w:pPr>
            <w:hyperlink r:id="rId139">
              <w:r>
                <w:rPr>
                  <w:rFonts w:ascii="Times New Roman" w:cs="Times New Roman" w:eastAsia="Times New Roman" w:hAnsi="Times New Roman"/>
                  <w:sz w:val="17"/>
                  <w:szCs w:val="17"/>
                  <w:color w:val="0000FF"/>
                </w:rPr>
                <w:t>Registration Statement on Form S-1 (File No. 333-190994) filed by the Company on October 1, 2013)</w:t>
              </w:r>
            </w:hyperlink>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auto"/>
              </w:rPr>
              <w:t>10.6+</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Form of Restricted Stock Units Grant Notice under 2013 Equity Incentive Plan (incorporated by reference to Exhibit 10.2 to the</w:t>
              </w:r>
            </w:hyperlink>
          </w:p>
        </w:tc>
        <w:tc>
          <w:tcPr>
            <w:tcW w:w="0" w:type="dxa"/>
            <w:vAlign w:val="bottom"/>
          </w:tcPr>
          <w:p>
            <w:pPr>
              <w:spacing w:after="0"/>
              <w:rPr>
                <w:sz w:val="1"/>
                <w:szCs w:val="1"/>
                <w:color w:val="auto"/>
              </w:rPr>
            </w:pPr>
          </w:p>
        </w:tc>
      </w:tr>
      <w:tr>
        <w:trPr>
          <w:trHeight w:val="110"/>
        </w:trPr>
        <w:tc>
          <w:tcPr>
            <w:tcW w:w="1120" w:type="dxa"/>
            <w:vAlign w:val="bottom"/>
            <w:gridSpan w:val="2"/>
            <w:vMerge w:val="continue"/>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8880" w:type="dxa"/>
            <w:vAlign w:val="bottom"/>
            <w:tcBorders>
              <w:top w:val="single" w:sz="8" w:color="0000FF"/>
            </w:tcBorders>
            <w:gridSpan w:val="22"/>
            <w:vMerge w:val="restart"/>
          </w:tcPr>
          <w:p>
            <w:pPr>
              <w:spacing w:after="0" w:line="150" w:lineRule="exact"/>
              <w:rPr>
                <w:rFonts w:ascii="Times New Roman" w:cs="Times New Roman" w:eastAsia="Times New Roman" w:hAnsi="Times New Roman"/>
                <w:sz w:val="17"/>
                <w:szCs w:val="17"/>
                <w:color w:val="0000FF"/>
              </w:rPr>
            </w:pPr>
            <w:hyperlink r:id="rId140">
              <w:r>
                <w:rPr>
                  <w:rFonts w:ascii="Times New Roman" w:cs="Times New Roman" w:eastAsia="Times New Roman" w:hAnsi="Times New Roman"/>
                  <w:sz w:val="17"/>
                  <w:szCs w:val="17"/>
                  <w:color w:val="0000FF"/>
                </w:rPr>
                <w:t>Company's Quarterly Report on Form 10-Q filed on May 6, 2015)</w:t>
              </w:r>
            </w:hyperlink>
          </w:p>
        </w:tc>
        <w:tc>
          <w:tcPr>
            <w:tcW w:w="840" w:type="dxa"/>
            <w:vAlign w:val="bottom"/>
            <w:gridSpan w:val="16"/>
            <w:vMerge w:val="restart"/>
          </w:tcPr>
          <w:p>
            <w:pPr>
              <w:spacing w:after="0"/>
              <w:rPr>
                <w:sz w:val="9"/>
                <w:szCs w:val="9"/>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0" w:type="dxa"/>
            <w:vAlign w:val="bottom"/>
          </w:tcPr>
          <w:p>
            <w:pPr>
              <w:spacing w:after="0"/>
              <w:rPr>
                <w:sz w:val="3"/>
                <w:szCs w:val="3"/>
                <w:color w:val="auto"/>
              </w:rPr>
            </w:pPr>
          </w:p>
        </w:tc>
        <w:tc>
          <w:tcPr>
            <w:tcW w:w="8880" w:type="dxa"/>
            <w:vAlign w:val="bottom"/>
            <w:gridSpan w:val="22"/>
            <w:vMerge w:val="continue"/>
          </w:tcPr>
          <w:p>
            <w:pPr>
              <w:spacing w:after="0"/>
              <w:rPr>
                <w:sz w:val="3"/>
                <w:szCs w:val="3"/>
                <w:color w:val="auto"/>
              </w:rPr>
            </w:pPr>
          </w:p>
        </w:tc>
        <w:tc>
          <w:tcPr>
            <w:tcW w:w="840" w:type="dxa"/>
            <w:vAlign w:val="bottom"/>
            <w:gridSpan w:val="16"/>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42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10.7+</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Company 2023 Equity Incentive Plan (incorporated by reference to Exhibit 99.1 to the Registration Statement on Form S-8 (File No. 333-</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80" w:type="dxa"/>
            <w:vAlign w:val="bottom"/>
            <w:tcBorders>
              <w:top w:val="single" w:sz="8" w:color="0000FF"/>
            </w:tcBorders>
            <w:gridSpan w:val="32"/>
          </w:tcPr>
          <w:p>
            <w:pPr>
              <w:spacing w:after="0" w:line="150" w:lineRule="exact"/>
              <w:rPr>
                <w:rFonts w:ascii="Times New Roman" w:cs="Times New Roman" w:eastAsia="Times New Roman" w:hAnsi="Times New Roman"/>
                <w:sz w:val="17"/>
                <w:szCs w:val="17"/>
                <w:color w:val="0000FF"/>
              </w:rPr>
            </w:pPr>
            <w:hyperlink r:id="rId141">
              <w:r>
                <w:rPr>
                  <w:rFonts w:ascii="Times New Roman" w:cs="Times New Roman" w:eastAsia="Times New Roman" w:hAnsi="Times New Roman"/>
                  <w:sz w:val="17"/>
                  <w:szCs w:val="17"/>
                  <w:color w:val="0000FF"/>
                </w:rPr>
                <w:t>272451) filed by the Company on June 6, 2023)</w:t>
              </w:r>
            </w:hyperlink>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320" w:type="dxa"/>
            <w:vAlign w:val="bottom"/>
            <w:gridSpan w:val="4"/>
            <w:shd w:val="clear" w:color="auto" w:fill="0000FF"/>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10.8+</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Form of Employee Stock Option Grant Notice and Stock Option Agreement under 2023 Equity Incentive Plan (incorporated by reference</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540" w:type="dxa"/>
            <w:vAlign w:val="bottom"/>
            <w:tcBorders>
              <w:top w:val="single" w:sz="8" w:color="0000FF"/>
            </w:tcBorders>
            <w:gridSpan w:val="31"/>
          </w:tcPr>
          <w:p>
            <w:pPr>
              <w:spacing w:after="0" w:line="150" w:lineRule="exact"/>
              <w:rPr>
                <w:rFonts w:ascii="Times New Roman" w:cs="Times New Roman" w:eastAsia="Times New Roman" w:hAnsi="Times New Roman"/>
                <w:sz w:val="17"/>
                <w:szCs w:val="17"/>
                <w:color w:val="0000FF"/>
              </w:rPr>
            </w:pPr>
            <w:hyperlink r:id="rId142">
              <w:r>
                <w:rPr>
                  <w:rFonts w:ascii="Times New Roman" w:cs="Times New Roman" w:eastAsia="Times New Roman" w:hAnsi="Times New Roman"/>
                  <w:sz w:val="17"/>
                  <w:szCs w:val="17"/>
                  <w:color w:val="0000FF"/>
                </w:rPr>
                <w:t>to Exhibit 10.8 to the Company's Annual Report on Form 10-K filed on March 7, 2024)</w:t>
              </w:r>
            </w:hyperlink>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740" w:type="dxa"/>
            <w:vAlign w:val="bottom"/>
            <w:gridSpan w:val="8"/>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10.9+</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Form of Employee Restricted Stock Unit Award Grant Notice and Award Agreement under 2023 Equity Incentive Plan (incorporated by</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780" w:type="dxa"/>
            <w:vAlign w:val="bottom"/>
            <w:tcBorders>
              <w:top w:val="single" w:sz="8" w:color="0000FF"/>
              <w:bottom w:val="single" w:sz="8" w:color="0000FF"/>
            </w:tcBorders>
            <w:gridSpan w:val="16"/>
          </w:tcPr>
          <w:p>
            <w:pPr>
              <w:spacing w:after="0" w:line="150"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reference to Exhibit 10.9 to the Company's Annual Report on Form 10-K filed on March 7, 2024)</w:t>
              </w:r>
            </w:hyperlink>
          </w:p>
        </w:tc>
        <w:tc>
          <w:tcPr>
            <w:tcW w:w="2680" w:type="dxa"/>
            <w:vAlign w:val="bottom"/>
            <w:tcBorders>
              <w:top w:val="single" w:sz="8" w:color="0000FF"/>
            </w:tcBorders>
            <w:gridSpan w:val="13"/>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4"/>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10.10+</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Form of Director Stock Option Grant Notice and Stock Option Agreement under 2023 Equity Incentive Plan (incorporated by reference to</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0" w:type="dxa"/>
            <w:vAlign w:val="bottom"/>
            <w:tcBorders>
              <w:top w:val="single" w:sz="8" w:color="0000FF"/>
              <w:bottom w:val="single" w:sz="8" w:color="0000FF"/>
            </w:tcBorders>
            <w:gridSpan w:val="14"/>
          </w:tcPr>
          <w:p>
            <w:pPr>
              <w:spacing w:after="0" w:line="150"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Exhibit 10.10 to the Company's Annual Report on Form 10-K filed on March 7, 2024)</w:t>
              </w:r>
            </w:hyperlink>
          </w:p>
        </w:tc>
        <w:tc>
          <w:tcPr>
            <w:tcW w:w="3620" w:type="dxa"/>
            <w:vAlign w:val="bottom"/>
            <w:tcBorders>
              <w:top w:val="single" w:sz="8" w:color="0000FF"/>
            </w:tcBorders>
            <w:gridSpan w:val="20"/>
          </w:tcPr>
          <w:p>
            <w:pPr>
              <w:spacing w:after="0"/>
              <w:rPr>
                <w:sz w:val="12"/>
                <w:szCs w:val="12"/>
                <w:color w:val="auto"/>
              </w:rPr>
            </w:pPr>
          </w:p>
        </w:tc>
        <w:tc>
          <w:tcPr>
            <w:tcW w:w="60" w:type="dxa"/>
            <w:vAlign w:val="bottom"/>
            <w:gridSpan w:val="3"/>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10.11+</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Form of Director Restricted Stock Unit Award Grant Notice and Award Agreement under 2023 Equity Incentive Plan (incorporated by</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60" w:type="dxa"/>
            <w:vAlign w:val="bottom"/>
            <w:tcBorders>
              <w:top w:val="single" w:sz="8" w:color="0000FF"/>
              <w:bottom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144">
              <w:r>
                <w:rPr>
                  <w:rFonts w:ascii="Times New Roman" w:cs="Times New Roman" w:eastAsia="Times New Roman" w:hAnsi="Times New Roman"/>
                  <w:sz w:val="17"/>
                  <w:szCs w:val="17"/>
                  <w:color w:val="0000FF"/>
                </w:rPr>
                <w:t>reference to Exhibit 10.11 to the Company's Annual Report on Form 10-K filed on March 7, 2024)</w:t>
              </w:r>
            </w:hyperlink>
          </w:p>
        </w:tc>
        <w:tc>
          <w:tcPr>
            <w:tcW w:w="2480" w:type="dxa"/>
            <w:vAlign w:val="bottom"/>
            <w:tcBorders>
              <w:top w:val="single" w:sz="8" w:color="0000FF"/>
            </w:tcBorders>
            <w:gridSpan w:val="9"/>
          </w:tcPr>
          <w:p>
            <w:pPr>
              <w:spacing w:after="0"/>
              <w:rPr>
                <w:sz w:val="12"/>
                <w:szCs w:val="12"/>
                <w:color w:val="auto"/>
              </w:rPr>
            </w:pPr>
          </w:p>
        </w:tc>
        <w:tc>
          <w:tcPr>
            <w:tcW w:w="10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7"/>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10.12+</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2016 Employee Stock Purchase Plan (incorporated by reference to Exhibit 4.1 to the Registration Statement on Form S-8 (File No. 333-</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740" w:type="dxa"/>
            <w:vAlign w:val="bottom"/>
            <w:tcBorders>
              <w:top w:val="single" w:sz="8" w:color="0000FF"/>
              <w:bottom w:val="single" w:sz="8" w:color="0000FF"/>
            </w:tcBorders>
            <w:gridSpan w:val="8"/>
          </w:tcPr>
          <w:p>
            <w:pPr>
              <w:spacing w:after="0" w:line="150" w:lineRule="exact"/>
              <w:rPr>
                <w:rFonts w:ascii="Times New Roman" w:cs="Times New Roman" w:eastAsia="Times New Roman" w:hAnsi="Times New Roman"/>
                <w:sz w:val="17"/>
                <w:szCs w:val="17"/>
                <w:color w:val="0000FF"/>
              </w:rPr>
            </w:pPr>
            <w:hyperlink r:id="rId145">
              <w:r>
                <w:rPr>
                  <w:rFonts w:ascii="Times New Roman" w:cs="Times New Roman" w:eastAsia="Times New Roman" w:hAnsi="Times New Roman"/>
                  <w:sz w:val="17"/>
                  <w:szCs w:val="17"/>
                  <w:color w:val="0000FF"/>
                </w:rPr>
                <w:t>214386) filed by the Company on November 2, 2016)</w:t>
              </w:r>
            </w:hyperlink>
          </w:p>
        </w:tc>
        <w:tc>
          <w:tcPr>
            <w:tcW w:w="5700" w:type="dxa"/>
            <w:vAlign w:val="bottom"/>
            <w:tcBorders>
              <w:top w:val="single" w:sz="8" w:color="0000FF"/>
            </w:tcBorders>
            <w:gridSpan w:val="20"/>
          </w:tcPr>
          <w:p>
            <w:pPr>
              <w:spacing w:after="0"/>
              <w:rPr>
                <w:sz w:val="12"/>
                <w:szCs w:val="12"/>
                <w:color w:val="auto"/>
              </w:rPr>
            </w:pPr>
          </w:p>
        </w:tc>
        <w:tc>
          <w:tcPr>
            <w:tcW w:w="40" w:type="dxa"/>
            <w:vAlign w:val="bottom"/>
            <w:gridSpan w:val="2"/>
          </w:tcPr>
          <w:p>
            <w:pPr>
              <w:spacing w:after="0"/>
              <w:rPr>
                <w:sz w:val="12"/>
                <w:szCs w:val="12"/>
                <w:color w:val="auto"/>
              </w:rPr>
            </w:pPr>
          </w:p>
        </w:tc>
        <w:tc>
          <w:tcPr>
            <w:tcW w:w="200" w:type="dxa"/>
            <w:vAlign w:val="bottom"/>
            <w:gridSpan w:val="7"/>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10.13+</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Employment Agreement between the Company and Scott Koenig, M.D., Ph.D. (incorporated by reference to Exhibit 10.14 to the</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960" w:type="dxa"/>
            <w:vAlign w:val="bottom"/>
            <w:tcBorders>
              <w:top w:val="single" w:sz="8" w:color="0000FF"/>
            </w:tcBorders>
            <w:gridSpan w:val="23"/>
          </w:tcPr>
          <w:p>
            <w:pPr>
              <w:spacing w:after="0" w:line="150" w:lineRule="exact"/>
              <w:rPr>
                <w:rFonts w:ascii="Times New Roman" w:cs="Times New Roman" w:eastAsia="Times New Roman" w:hAnsi="Times New Roman"/>
                <w:sz w:val="17"/>
                <w:szCs w:val="17"/>
                <w:color w:val="0000FF"/>
              </w:rPr>
            </w:pPr>
            <w:hyperlink r:id="rId143">
              <w:r>
                <w:rPr>
                  <w:rFonts w:ascii="Times New Roman" w:cs="Times New Roman" w:eastAsia="Times New Roman" w:hAnsi="Times New Roman"/>
                  <w:sz w:val="17"/>
                  <w:szCs w:val="17"/>
                  <w:color w:val="0000FF"/>
                </w:rPr>
                <w:t>Company's Annual Report on Form 10-K filed by the Company on February 29, 2016)</w:t>
              </w:r>
            </w:hyperlink>
          </w:p>
        </w:tc>
        <w:tc>
          <w:tcPr>
            <w:tcW w:w="220" w:type="dxa"/>
            <w:vAlign w:val="bottom"/>
            <w:gridSpan w:val="2"/>
          </w:tcPr>
          <w:p>
            <w:pPr>
              <w:spacing w:after="0"/>
              <w:rPr>
                <w:sz w:val="12"/>
                <w:szCs w:val="12"/>
                <w:color w:val="auto"/>
              </w:rPr>
            </w:pPr>
          </w:p>
        </w:tc>
        <w:tc>
          <w:tcPr>
            <w:tcW w:w="300" w:type="dxa"/>
            <w:vAlign w:val="bottom"/>
            <w:gridSpan w:val="5"/>
          </w:tcPr>
          <w:p>
            <w:pPr>
              <w:spacing w:after="0"/>
              <w:rPr>
                <w:sz w:val="12"/>
                <w:szCs w:val="12"/>
                <w:color w:val="auto"/>
              </w:rPr>
            </w:pPr>
          </w:p>
        </w:tc>
        <w:tc>
          <w:tcPr>
            <w:tcW w:w="200" w:type="dxa"/>
            <w:vAlign w:val="bottom"/>
            <w:gridSpan w:val="7"/>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2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gridSpan w:val="9"/>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620" w:type="dxa"/>
            <w:vAlign w:val="bottom"/>
            <w:gridSpan w:val="5"/>
          </w:tcPr>
          <w:p>
            <w:pPr>
              <w:spacing w:after="0" w:line="20" w:lineRule="exact"/>
              <w:rPr>
                <w:sz w:val="1"/>
                <w:szCs w:val="1"/>
                <w:color w:val="auto"/>
              </w:rPr>
            </w:pPr>
          </w:p>
        </w:tc>
        <w:tc>
          <w:tcPr>
            <w:tcW w:w="540" w:type="dxa"/>
            <w:vAlign w:val="bottom"/>
            <w:gridSpan w:val="5"/>
          </w:tcPr>
          <w:p>
            <w:pPr>
              <w:spacing w:after="0" w:line="20" w:lineRule="exact"/>
              <w:rPr>
                <w:sz w:val="1"/>
                <w:szCs w:val="1"/>
                <w:color w:val="auto"/>
              </w:rPr>
            </w:pPr>
          </w:p>
        </w:tc>
        <w:tc>
          <w:tcPr>
            <w:tcW w:w="300" w:type="dxa"/>
            <w:vAlign w:val="bottom"/>
            <w:gridSpan w:val="5"/>
          </w:tcPr>
          <w:p>
            <w:pPr>
              <w:spacing w:after="0" w:line="20" w:lineRule="exact"/>
              <w:rPr>
                <w:sz w:val="1"/>
                <w:szCs w:val="1"/>
                <w:color w:val="auto"/>
              </w:rPr>
            </w:pPr>
          </w:p>
        </w:tc>
        <w:tc>
          <w:tcPr>
            <w:tcW w:w="20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10.14+</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Employment Agreement between the Company and James Karrels (incorporated by reference to Exhibit 10.15 to the Company's Annual</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60" w:type="dxa"/>
            <w:vAlign w:val="bottom"/>
            <w:tcBorders>
              <w:top w:val="single" w:sz="8" w:color="0000FF"/>
              <w:bottom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146">
              <w:r>
                <w:rPr>
                  <w:rFonts w:ascii="Times New Roman" w:cs="Times New Roman" w:eastAsia="Times New Roman" w:hAnsi="Times New Roman"/>
                  <w:sz w:val="17"/>
                  <w:szCs w:val="17"/>
                  <w:color w:val="0000FF"/>
                </w:rPr>
                <w:t>Report on Form 10-K filed by the Company on February 29, 2016)</w:t>
              </w:r>
            </w:hyperlink>
          </w:p>
        </w:tc>
        <w:tc>
          <w:tcPr>
            <w:tcW w:w="4820" w:type="dxa"/>
            <w:vAlign w:val="bottom"/>
            <w:tcBorders>
              <w:top w:val="single" w:sz="8" w:color="0000FF"/>
            </w:tcBorders>
            <w:gridSpan w:val="17"/>
          </w:tcPr>
          <w:p>
            <w:pPr>
              <w:spacing w:after="0"/>
              <w:rPr>
                <w:sz w:val="12"/>
                <w:szCs w:val="12"/>
                <w:color w:val="auto"/>
              </w:rPr>
            </w:pPr>
          </w:p>
        </w:tc>
        <w:tc>
          <w:tcPr>
            <w:tcW w:w="200" w:type="dxa"/>
            <w:vAlign w:val="bottom"/>
            <w:gridSpan w:val="7"/>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67"/>
        </w:trPr>
        <w:tc>
          <w:tcPr>
            <w:tcW w:w="112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10.15+</w:t>
            </w:r>
          </w:p>
        </w:tc>
        <w:tc>
          <w:tcPr>
            <w:tcW w:w="3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Employment Agreement between the Company and Stephen Eck, M.D. (incorporated by reference to Exhibit 10.1 to the Company's</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180" w:type="dxa"/>
            <w:vAlign w:val="bottom"/>
            <w:tcBorders>
              <w:top w:val="single" w:sz="8" w:color="0000FF"/>
            </w:tcBorders>
            <w:gridSpan w:val="25"/>
          </w:tcPr>
          <w:p>
            <w:pPr>
              <w:spacing w:after="0" w:line="150" w:lineRule="exact"/>
              <w:rPr>
                <w:rFonts w:ascii="Times New Roman" w:cs="Times New Roman" w:eastAsia="Times New Roman" w:hAnsi="Times New Roman"/>
                <w:sz w:val="17"/>
                <w:szCs w:val="17"/>
                <w:color w:val="0000FF"/>
              </w:rPr>
            </w:pPr>
            <w:hyperlink r:id="rId147">
              <w:r>
                <w:rPr>
                  <w:rFonts w:ascii="Times New Roman" w:cs="Times New Roman" w:eastAsia="Times New Roman" w:hAnsi="Times New Roman"/>
                  <w:sz w:val="17"/>
                  <w:szCs w:val="17"/>
                  <w:color w:val="0000FF"/>
                </w:rPr>
                <w:t>Quarterly Report on Form 10-Q filed on April 29, 2021)</w:t>
              </w:r>
            </w:hyperlink>
          </w:p>
        </w:tc>
        <w:tc>
          <w:tcPr>
            <w:tcW w:w="500" w:type="dxa"/>
            <w:vAlign w:val="bottom"/>
            <w:gridSpan w:val="12"/>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900" w:type="dxa"/>
            <w:vAlign w:val="bottom"/>
            <w:gridSpan w:val="9"/>
            <w:shd w:val="clear" w:color="auto" w:fill="0000FF"/>
          </w:tcPr>
          <w:p>
            <w:pPr>
              <w:spacing w:after="0" w:line="20" w:lineRule="exact"/>
              <w:rPr>
                <w:sz w:val="1"/>
                <w:szCs w:val="1"/>
                <w:color w:val="auto"/>
              </w:rPr>
            </w:pPr>
          </w:p>
        </w:tc>
        <w:tc>
          <w:tcPr>
            <w:tcW w:w="4740" w:type="dxa"/>
            <w:vAlign w:val="bottom"/>
            <w:gridSpan w:val="11"/>
          </w:tcPr>
          <w:p>
            <w:pPr>
              <w:spacing w:after="0" w:line="20" w:lineRule="exact"/>
              <w:rPr>
                <w:sz w:val="1"/>
                <w:szCs w:val="1"/>
                <w:color w:val="auto"/>
              </w:rPr>
            </w:pPr>
          </w:p>
        </w:tc>
        <w:tc>
          <w:tcPr>
            <w:tcW w:w="1040" w:type="dxa"/>
            <w:vAlign w:val="bottom"/>
            <w:gridSpan w:val="1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40" w:type="dxa"/>
            <w:vAlign w:val="bottom"/>
          </w:tcPr>
          <w:p>
            <w:pPr>
              <w:spacing w:after="0"/>
              <w:rPr>
                <w:sz w:val="23"/>
                <w:szCs w:val="23"/>
                <w:color w:val="auto"/>
              </w:rPr>
            </w:pPr>
          </w:p>
        </w:tc>
        <w:tc>
          <w:tcPr>
            <w:tcW w:w="14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10.16†</w:t>
            </w:r>
          </w:p>
        </w:tc>
        <w:tc>
          <w:tcPr>
            <w:tcW w:w="20" w:type="dxa"/>
            <w:vAlign w:val="bottom"/>
          </w:tcPr>
          <w:p>
            <w:pPr>
              <w:spacing w:after="0"/>
              <w:rPr>
                <w:sz w:val="23"/>
                <w:szCs w:val="23"/>
                <w:color w:val="auto"/>
              </w:rPr>
            </w:pPr>
          </w:p>
        </w:tc>
        <w:tc>
          <w:tcPr>
            <w:tcW w:w="9720" w:type="dxa"/>
            <w:vAlign w:val="bottom"/>
            <w:gridSpan w:val="38"/>
          </w:tcPr>
          <w:p>
            <w:pPr>
              <w:spacing w:after="0"/>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Amendment No, 1 to the Global Collaboration and License Agreement by and between the Company and Incyte Corporation, dated March</w:t>
              </w:r>
            </w:hyperlink>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80" w:type="dxa"/>
            <w:vAlign w:val="bottom"/>
            <w:tcBorders>
              <w:top w:val="single" w:sz="8" w:color="0000FF"/>
            </w:tcBorders>
            <w:gridSpan w:val="37"/>
          </w:tcPr>
          <w:p>
            <w:pPr>
              <w:spacing w:after="0" w:line="150" w:lineRule="exact"/>
              <w:rPr>
                <w:rFonts w:ascii="Times New Roman" w:cs="Times New Roman" w:eastAsia="Times New Roman" w:hAnsi="Times New Roman"/>
                <w:sz w:val="17"/>
                <w:szCs w:val="17"/>
                <w:color w:val="0000FF"/>
              </w:rPr>
            </w:pPr>
            <w:hyperlink r:id="rId148">
              <w:r>
                <w:rPr>
                  <w:rFonts w:ascii="Times New Roman" w:cs="Times New Roman" w:eastAsia="Times New Roman" w:hAnsi="Times New Roman"/>
                  <w:sz w:val="17"/>
                  <w:szCs w:val="17"/>
                  <w:color w:val="0000FF"/>
                </w:rPr>
                <w:t>15, 2018 (incorporated by reference to Exhibit 10.1 to the Company's Quarterly Report on Form 10-Q filed on May 7, 2018)</w:t>
              </w:r>
            </w:hyperlink>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8"/>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60" w:type="dxa"/>
            <w:vAlign w:val="bottom"/>
            <w:tcBorders>
              <w:top w:val="single" w:sz="8" w:color="0000FF"/>
              <w:bottom w:val="single" w:sz="8" w:color="9A9A9A"/>
            </w:tcBorders>
          </w:tcPr>
          <w:p>
            <w:pPr>
              <w:spacing w:after="0"/>
              <w:rPr>
                <w:sz w:val="24"/>
                <w:szCs w:val="24"/>
                <w:color w:val="auto"/>
              </w:rPr>
            </w:pPr>
          </w:p>
        </w:tc>
        <w:tc>
          <w:tcPr>
            <w:tcW w:w="228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2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13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7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4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138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1" w:right="3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195"/>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10.17#</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Amendment No. 2 to the Global Collaboration and License Agreement by and between the Company and Incyte Corporation, dated April</w:t>
              </w:r>
            </w:hyperlink>
          </w:p>
        </w:tc>
      </w:tr>
      <w:tr>
        <w:trPr>
          <w:trHeight w:val="149"/>
        </w:trPr>
        <w:tc>
          <w:tcPr>
            <w:tcW w:w="1520" w:type="dxa"/>
            <w:vAlign w:val="bottom"/>
          </w:tcPr>
          <w:p>
            <w:pPr>
              <w:spacing w:after="0"/>
              <w:rPr>
                <w:sz w:val="12"/>
                <w:szCs w:val="12"/>
                <w:color w:val="auto"/>
              </w:rPr>
            </w:pPr>
          </w:p>
        </w:tc>
        <w:tc>
          <w:tcPr>
            <w:tcW w:w="8740" w:type="dxa"/>
            <w:vAlign w:val="bottom"/>
            <w:tcBorders>
              <w:top w:val="single" w:sz="8" w:color="0000FF"/>
              <w:bottom w:val="single" w:sz="8" w:color="0000FF"/>
            </w:tcBorders>
            <w:gridSpan w:val="13"/>
          </w:tcPr>
          <w:p>
            <w:pPr>
              <w:spacing w:after="0" w:line="150" w:lineRule="exact"/>
              <w:rPr>
                <w:rFonts w:ascii="Times New Roman" w:cs="Times New Roman" w:eastAsia="Times New Roman" w:hAnsi="Times New Roman"/>
                <w:sz w:val="17"/>
                <w:szCs w:val="17"/>
                <w:color w:val="0000FF"/>
              </w:rPr>
            </w:pPr>
            <w:hyperlink r:id="rId151">
              <w:r>
                <w:rPr>
                  <w:rFonts w:ascii="Times New Roman" w:cs="Times New Roman" w:eastAsia="Times New Roman" w:hAnsi="Times New Roman"/>
                  <w:sz w:val="17"/>
                  <w:szCs w:val="17"/>
                  <w:color w:val="0000FF"/>
                </w:rPr>
                <w:t>7, 2022 (incorporated by reference to Exhibit 10.1 to the Company's Quarterly Report on Form 10-Q filed on August 8, 2022)</w:t>
              </w:r>
            </w:hyperlink>
          </w:p>
        </w:tc>
        <w:tc>
          <w:tcPr>
            <w:tcW w:w="820" w:type="dxa"/>
            <w:vAlign w:val="bottom"/>
            <w:tcBorders>
              <w:top w:val="single" w:sz="8" w:color="0000FF"/>
            </w:tcBorders>
            <w:gridSpan w:val="16"/>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10.18#</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Amendment No. 3 to the Global Collaboration and License Agreement by and between the Company and Incyte Corporation, dated April</w:t>
              </w:r>
            </w:hyperlink>
          </w:p>
        </w:tc>
      </w:tr>
      <w:tr>
        <w:trPr>
          <w:trHeight w:val="149"/>
        </w:trPr>
        <w:tc>
          <w:tcPr>
            <w:tcW w:w="1520" w:type="dxa"/>
            <w:vAlign w:val="bottom"/>
          </w:tcPr>
          <w:p>
            <w:pPr>
              <w:spacing w:after="0"/>
              <w:rPr>
                <w:sz w:val="12"/>
                <w:szCs w:val="12"/>
                <w:color w:val="auto"/>
              </w:rPr>
            </w:pPr>
          </w:p>
        </w:tc>
        <w:tc>
          <w:tcPr>
            <w:tcW w:w="9560" w:type="dxa"/>
            <w:vAlign w:val="bottom"/>
            <w:tcBorders>
              <w:top w:val="single" w:sz="8" w:color="0000FF"/>
            </w:tcBorders>
            <w:gridSpan w:val="29"/>
          </w:tcPr>
          <w:p>
            <w:pPr>
              <w:spacing w:after="0" w:line="150" w:lineRule="exact"/>
              <w:rPr>
                <w:rFonts w:ascii="Times New Roman" w:cs="Times New Roman" w:eastAsia="Times New Roman" w:hAnsi="Times New Roman"/>
                <w:sz w:val="17"/>
                <w:szCs w:val="17"/>
                <w:color w:val="0000FF"/>
              </w:rPr>
            </w:pPr>
            <w:hyperlink r:id="rId152">
              <w:r>
                <w:rPr>
                  <w:rFonts w:ascii="Times New Roman" w:cs="Times New Roman" w:eastAsia="Times New Roman" w:hAnsi="Times New Roman"/>
                  <w:sz w:val="17"/>
                  <w:szCs w:val="17"/>
                  <w:color w:val="0000FF"/>
                </w:rPr>
                <w:t>7, 2022 (incorporated by reference to Exhibit 10.1 to the Company's Quarterly Report on Form 10-Q filed on November 3, 2022)</w:t>
              </w:r>
            </w:hyperlink>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10.19#</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Amendment No. 4 to the Global Collaboration and License Agreement by and between the Company and Incyte Corporation, dated July</w:t>
              </w:r>
            </w:hyperlink>
          </w:p>
        </w:tc>
      </w:tr>
      <w:tr>
        <w:trPr>
          <w:trHeight w:val="149"/>
        </w:trPr>
        <w:tc>
          <w:tcPr>
            <w:tcW w:w="1520" w:type="dxa"/>
            <w:vAlign w:val="bottom"/>
          </w:tcPr>
          <w:p>
            <w:pPr>
              <w:spacing w:after="0"/>
              <w:rPr>
                <w:sz w:val="12"/>
                <w:szCs w:val="12"/>
                <w:color w:val="auto"/>
              </w:rPr>
            </w:pPr>
          </w:p>
        </w:tc>
        <w:tc>
          <w:tcPr>
            <w:tcW w:w="9060" w:type="dxa"/>
            <w:vAlign w:val="bottom"/>
            <w:tcBorders>
              <w:top w:val="single" w:sz="8" w:color="0000FF"/>
              <w:bottom w:val="single" w:sz="8" w:color="0000FF"/>
            </w:tcBorders>
            <w:gridSpan w:val="15"/>
          </w:tcPr>
          <w:p>
            <w:pPr>
              <w:spacing w:after="0" w:line="150" w:lineRule="exact"/>
              <w:rPr>
                <w:rFonts w:ascii="Times New Roman" w:cs="Times New Roman" w:eastAsia="Times New Roman" w:hAnsi="Times New Roman"/>
                <w:sz w:val="17"/>
                <w:szCs w:val="17"/>
                <w:color w:val="0000FF"/>
              </w:rPr>
            </w:pPr>
            <w:hyperlink r:id="rId153">
              <w:r>
                <w:rPr>
                  <w:rFonts w:ascii="Times New Roman" w:cs="Times New Roman" w:eastAsia="Times New Roman" w:hAnsi="Times New Roman"/>
                  <w:sz w:val="17"/>
                  <w:szCs w:val="17"/>
                  <w:color w:val="0000FF"/>
                </w:rPr>
                <w:t>24, 2024 (incorporated by reference to Exhibit 10.1 to the Company's Quarterly Report on Form 10-Q filed on November 5, 2024)</w:t>
              </w:r>
            </w:hyperlink>
          </w:p>
        </w:tc>
        <w:tc>
          <w:tcPr>
            <w:tcW w:w="44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10.20#</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Commercial Supply Agreement by and between Incyte Corporation and the Company, dated October 13, 2020 (incorporated by reference</w:t>
              </w:r>
            </w:hyperlink>
          </w:p>
        </w:tc>
      </w:tr>
      <w:tr>
        <w:trPr>
          <w:trHeight w:val="149"/>
        </w:trPr>
        <w:tc>
          <w:tcPr>
            <w:tcW w:w="1520" w:type="dxa"/>
            <w:vAlign w:val="bottom"/>
          </w:tcPr>
          <w:p>
            <w:pPr>
              <w:spacing w:after="0"/>
              <w:rPr>
                <w:sz w:val="12"/>
                <w:szCs w:val="12"/>
                <w:color w:val="auto"/>
              </w:rPr>
            </w:pPr>
          </w:p>
        </w:tc>
        <w:tc>
          <w:tcPr>
            <w:tcW w:w="9540" w:type="dxa"/>
            <w:vAlign w:val="bottom"/>
            <w:tcBorders>
              <w:top w:val="single" w:sz="8" w:color="0000FF"/>
            </w:tcBorders>
            <w:gridSpan w:val="28"/>
          </w:tcPr>
          <w:p>
            <w:pPr>
              <w:spacing w:after="0" w:line="150" w:lineRule="exact"/>
              <w:rPr>
                <w:rFonts w:ascii="Times New Roman" w:cs="Times New Roman" w:eastAsia="Times New Roman" w:hAnsi="Times New Roman"/>
                <w:sz w:val="17"/>
                <w:szCs w:val="17"/>
                <w:color w:val="0000FF"/>
              </w:rPr>
            </w:pPr>
            <w:hyperlink r:id="rId154">
              <w:r>
                <w:rPr>
                  <w:rFonts w:ascii="Times New Roman" w:cs="Times New Roman" w:eastAsia="Times New Roman" w:hAnsi="Times New Roman"/>
                  <w:sz w:val="17"/>
                  <w:szCs w:val="17"/>
                  <w:color w:val="0000FF"/>
                </w:rPr>
                <w:t>to Exhibit 10.16 to the Company’s Annual Report on Form 10-K filed on February 25, 2021)</w:t>
              </w:r>
            </w:hyperlink>
          </w:p>
        </w:tc>
        <w:tc>
          <w:tcPr>
            <w:tcW w:w="80" w:type="dxa"/>
            <w:vAlign w:val="bottom"/>
            <w:gridSpan w:val="2"/>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10.21#</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Collaboration and License Agreement by and between the Company and Gilead Sciences, Inc., dated October 14, 2022 (incorporated by</w:t>
              </w:r>
            </w:hyperlink>
          </w:p>
        </w:tc>
      </w:tr>
      <w:tr>
        <w:trPr>
          <w:trHeight w:val="149"/>
        </w:trPr>
        <w:tc>
          <w:tcPr>
            <w:tcW w:w="1520" w:type="dxa"/>
            <w:vAlign w:val="bottom"/>
          </w:tcPr>
          <w:p>
            <w:pPr>
              <w:spacing w:after="0"/>
              <w:rPr>
                <w:sz w:val="12"/>
                <w:szCs w:val="12"/>
                <w:color w:val="auto"/>
              </w:rPr>
            </w:pPr>
          </w:p>
        </w:tc>
        <w:tc>
          <w:tcPr>
            <w:tcW w:w="816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155">
              <w:r>
                <w:rPr>
                  <w:rFonts w:ascii="Times New Roman" w:cs="Times New Roman" w:eastAsia="Times New Roman" w:hAnsi="Times New Roman"/>
                  <w:sz w:val="17"/>
                  <w:szCs w:val="17"/>
                  <w:color w:val="0000FF"/>
                </w:rPr>
                <w:t>reference to Exhibit 10.22 to the Company's Annual Report on Form 10-K filed by the Company on March 15, 2023)</w:t>
              </w:r>
            </w:hyperlink>
          </w:p>
        </w:tc>
        <w:tc>
          <w:tcPr>
            <w:tcW w:w="1320" w:type="dxa"/>
            <w:vAlign w:val="bottom"/>
            <w:tcBorders>
              <w:top w:val="single" w:sz="8" w:color="0000FF"/>
            </w:tcBorders>
            <w:gridSpan w:val="15"/>
          </w:tcPr>
          <w:p>
            <w:pPr>
              <w:spacing w:after="0"/>
              <w:rPr>
                <w:sz w:val="12"/>
                <w:szCs w:val="12"/>
                <w:color w:val="auto"/>
              </w:rPr>
            </w:pPr>
          </w:p>
        </w:tc>
        <w:tc>
          <w:tcPr>
            <w:tcW w:w="40" w:type="dxa"/>
            <w:vAlign w:val="bottom"/>
            <w:gridSpan w:val="2"/>
          </w:tcPr>
          <w:p>
            <w:pPr>
              <w:spacing w:after="0"/>
              <w:rPr>
                <w:sz w:val="12"/>
                <w:szCs w:val="12"/>
                <w:color w:val="auto"/>
              </w:rPr>
            </w:pPr>
          </w:p>
        </w:tc>
        <w:tc>
          <w:tcPr>
            <w:tcW w:w="100" w:type="dxa"/>
            <w:vAlign w:val="bottom"/>
            <w:gridSpan w:val="3"/>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10.22#</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Amendment No. 1 to the Collaboration and License Agreement by and between the Company and Gilead Sciences, Inc., dated January 11,</w:t>
              </w:r>
            </w:hyperlink>
          </w:p>
        </w:tc>
      </w:tr>
      <w:tr>
        <w:trPr>
          <w:trHeight w:val="149"/>
        </w:trPr>
        <w:tc>
          <w:tcPr>
            <w:tcW w:w="1520" w:type="dxa"/>
            <w:vAlign w:val="bottom"/>
          </w:tcPr>
          <w:p>
            <w:pPr>
              <w:spacing w:after="0"/>
              <w:rPr>
                <w:sz w:val="12"/>
                <w:szCs w:val="12"/>
                <w:color w:val="auto"/>
              </w:rPr>
            </w:pPr>
          </w:p>
        </w:tc>
        <w:tc>
          <w:tcPr>
            <w:tcW w:w="8380" w:type="dxa"/>
            <w:vAlign w:val="bottom"/>
            <w:tcBorders>
              <w:top w:val="single" w:sz="8" w:color="0000FF"/>
              <w:bottom w:val="single" w:sz="8" w:color="0000FF"/>
            </w:tcBorders>
            <w:gridSpan w:val="12"/>
          </w:tcPr>
          <w:p>
            <w:pPr>
              <w:spacing w:after="0" w:line="150" w:lineRule="exact"/>
              <w:rPr>
                <w:rFonts w:ascii="Times New Roman" w:cs="Times New Roman" w:eastAsia="Times New Roman" w:hAnsi="Times New Roman"/>
                <w:sz w:val="17"/>
                <w:szCs w:val="17"/>
                <w:color w:val="0000FF"/>
              </w:rPr>
            </w:pPr>
            <w:hyperlink r:id="rId156">
              <w:r>
                <w:rPr>
                  <w:rFonts w:ascii="Times New Roman" w:cs="Times New Roman" w:eastAsia="Times New Roman" w:hAnsi="Times New Roman"/>
                  <w:sz w:val="17"/>
                  <w:szCs w:val="17"/>
                  <w:color w:val="0000FF"/>
                </w:rPr>
                <w:t>2024 (incorporated by reference to Exhibit 10.1 to the Company's Quarterly Report on Form 10-Q filed on May 9, 2024)</w:t>
              </w:r>
            </w:hyperlink>
          </w:p>
        </w:tc>
        <w:tc>
          <w:tcPr>
            <w:tcW w:w="1240" w:type="dxa"/>
            <w:vAlign w:val="bottom"/>
            <w:tcBorders>
              <w:top w:val="single" w:sz="8" w:color="0000FF"/>
            </w:tcBorders>
            <w:gridSpan w:val="18"/>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10.23#</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Second Letter Agreement by and between the Company and Gilead Sciences, Inc., dated August 30, 2024 (incorporated by reference to</w:t>
              </w:r>
            </w:hyperlink>
          </w:p>
        </w:tc>
      </w:tr>
      <w:tr>
        <w:trPr>
          <w:trHeight w:val="149"/>
        </w:trPr>
        <w:tc>
          <w:tcPr>
            <w:tcW w:w="1520" w:type="dxa"/>
            <w:vAlign w:val="bottom"/>
          </w:tcPr>
          <w:p>
            <w:pPr>
              <w:spacing w:after="0"/>
              <w:rPr>
                <w:sz w:val="12"/>
                <w:szCs w:val="12"/>
                <w:color w:val="auto"/>
              </w:rPr>
            </w:pPr>
          </w:p>
        </w:tc>
        <w:tc>
          <w:tcPr>
            <w:tcW w:w="6360" w:type="dxa"/>
            <w:vAlign w:val="bottom"/>
            <w:tcBorders>
              <w:top w:val="single" w:sz="8" w:color="0000FF"/>
              <w:bottom w:val="single" w:sz="8" w:color="0000FF"/>
            </w:tcBorders>
            <w:gridSpan w:val="3"/>
          </w:tcPr>
          <w:p>
            <w:pPr>
              <w:spacing w:after="0" w:line="150" w:lineRule="exact"/>
              <w:rPr>
                <w:rFonts w:ascii="Times New Roman" w:cs="Times New Roman" w:eastAsia="Times New Roman" w:hAnsi="Times New Roman"/>
                <w:sz w:val="17"/>
                <w:szCs w:val="17"/>
                <w:color w:val="0000FF"/>
              </w:rPr>
            </w:pPr>
            <w:hyperlink r:id="rId157">
              <w:r>
                <w:rPr>
                  <w:rFonts w:ascii="Times New Roman" w:cs="Times New Roman" w:eastAsia="Times New Roman" w:hAnsi="Times New Roman"/>
                  <w:sz w:val="17"/>
                  <w:szCs w:val="17"/>
                  <w:color w:val="0000FF"/>
                </w:rPr>
                <w:t>Exhibit 10.2 to the Company's Quarterly Report on Form 10-Q filed on November 5, 2024)</w:t>
              </w:r>
            </w:hyperlink>
          </w:p>
        </w:tc>
        <w:tc>
          <w:tcPr>
            <w:tcW w:w="3080" w:type="dxa"/>
            <w:vAlign w:val="bottom"/>
            <w:tcBorders>
              <w:top w:val="single" w:sz="8" w:color="0000FF"/>
            </w:tcBorders>
            <w:gridSpan w:val="20"/>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r>
      <w:tr>
        <w:trPr>
          <w:trHeight w:val="214"/>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10.24#</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Asset Purchase Agreement by and between the Company and Provention Bio, Inc., dated May 7, 2018 (incorporated by reference to</w:t>
              </w:r>
            </w:hyperlink>
          </w:p>
        </w:tc>
      </w:tr>
      <w:tr>
        <w:trPr>
          <w:trHeight w:val="149"/>
        </w:trPr>
        <w:tc>
          <w:tcPr>
            <w:tcW w:w="1520" w:type="dxa"/>
            <w:vAlign w:val="bottom"/>
          </w:tcPr>
          <w:p>
            <w:pPr>
              <w:spacing w:after="0"/>
              <w:rPr>
                <w:sz w:val="12"/>
                <w:szCs w:val="12"/>
                <w:color w:val="auto"/>
              </w:rPr>
            </w:pPr>
          </w:p>
        </w:tc>
        <w:tc>
          <w:tcPr>
            <w:tcW w:w="7280" w:type="dxa"/>
            <w:vAlign w:val="bottom"/>
            <w:tcBorders>
              <w:top w:val="single" w:sz="8" w:color="0000FF"/>
              <w:bottom w:val="single" w:sz="8" w:color="0000FF"/>
            </w:tcBorders>
            <w:gridSpan w:val="6"/>
          </w:tcPr>
          <w:p>
            <w:pPr>
              <w:spacing w:after="0" w:line="150" w:lineRule="exact"/>
              <w:rPr>
                <w:rFonts w:ascii="Times New Roman" w:cs="Times New Roman" w:eastAsia="Times New Roman" w:hAnsi="Times New Roman"/>
                <w:sz w:val="17"/>
                <w:szCs w:val="17"/>
                <w:color w:val="0000FF"/>
              </w:rPr>
            </w:pPr>
            <w:hyperlink r:id="rId158">
              <w:r>
                <w:rPr>
                  <w:rFonts w:ascii="Times New Roman" w:cs="Times New Roman" w:eastAsia="Times New Roman" w:hAnsi="Times New Roman"/>
                  <w:sz w:val="17"/>
                  <w:szCs w:val="17"/>
                  <w:color w:val="0000FF"/>
                </w:rPr>
                <w:t>Exhibit 10.23 to the Company's Annual Report on Form 10-K filed by the Company on March 15, 2023)</w:t>
              </w:r>
            </w:hyperlink>
          </w:p>
        </w:tc>
        <w:tc>
          <w:tcPr>
            <w:tcW w:w="1880" w:type="dxa"/>
            <w:vAlign w:val="bottom"/>
            <w:tcBorders>
              <w:top w:val="single" w:sz="8" w:color="0000FF"/>
            </w:tcBorders>
            <w:gridSpan w:val="10"/>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10.25#</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Amendment No. 1 to the Asset Purchase Agreement by and between the Company and Provention Bio, Inc., dated November 30, 2022</w:t>
              </w:r>
            </w:hyperlink>
          </w:p>
        </w:tc>
      </w:tr>
      <w:tr>
        <w:trPr>
          <w:trHeight w:val="149"/>
        </w:trPr>
        <w:tc>
          <w:tcPr>
            <w:tcW w:w="1520" w:type="dxa"/>
            <w:vAlign w:val="bottom"/>
          </w:tcPr>
          <w:p>
            <w:pPr>
              <w:spacing w:after="0"/>
              <w:rPr>
                <w:sz w:val="12"/>
                <w:szCs w:val="12"/>
                <w:color w:val="auto"/>
              </w:rPr>
            </w:pPr>
          </w:p>
        </w:tc>
        <w:tc>
          <w:tcPr>
            <w:tcW w:w="9340" w:type="dxa"/>
            <w:vAlign w:val="bottom"/>
            <w:tcBorders>
              <w:top w:val="single" w:sz="8" w:color="0000FF"/>
              <w:bottom w:val="single" w:sz="8" w:color="0000FF"/>
            </w:tcBorders>
            <w:gridSpan w:val="18"/>
          </w:tcPr>
          <w:p>
            <w:pPr>
              <w:spacing w:after="0" w:line="150" w:lineRule="exact"/>
              <w:rPr>
                <w:rFonts w:ascii="Times New Roman" w:cs="Times New Roman" w:eastAsia="Times New Roman" w:hAnsi="Times New Roman"/>
                <w:sz w:val="17"/>
                <w:szCs w:val="17"/>
                <w:color w:val="0000FF"/>
              </w:rPr>
            </w:pPr>
            <w:hyperlink r:id="rId159">
              <w:r>
                <w:rPr>
                  <w:rFonts w:ascii="Times New Roman" w:cs="Times New Roman" w:eastAsia="Times New Roman" w:hAnsi="Times New Roman"/>
                  <w:sz w:val="17"/>
                  <w:szCs w:val="17"/>
                  <w:color w:val="0000FF"/>
                </w:rPr>
                <w:t>(incorporated by reference to Exhibit 10.24 to the Company's Annual Report on Form 10-K filed by the Company on March 15, 2023)</w:t>
              </w:r>
            </w:hyperlink>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10.26#</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Amendment No. 2 to the Asset Purchase Agreement by and between the Company and Provention Bio, Inc., dated September 19, 2023</w:t>
              </w:r>
            </w:hyperlink>
          </w:p>
        </w:tc>
      </w:tr>
      <w:tr>
        <w:trPr>
          <w:trHeight w:val="149"/>
        </w:trPr>
        <w:tc>
          <w:tcPr>
            <w:tcW w:w="1520" w:type="dxa"/>
            <w:vAlign w:val="bottom"/>
          </w:tcPr>
          <w:p>
            <w:pPr>
              <w:spacing w:after="0"/>
              <w:rPr>
                <w:sz w:val="12"/>
                <w:szCs w:val="12"/>
                <w:color w:val="auto"/>
              </w:rPr>
            </w:pPr>
          </w:p>
        </w:tc>
        <w:tc>
          <w:tcPr>
            <w:tcW w:w="9400" w:type="dxa"/>
            <w:vAlign w:val="bottom"/>
            <w:tcBorders>
              <w:top w:val="single" w:sz="8" w:color="0000FF"/>
            </w:tcBorders>
            <w:gridSpan w:val="21"/>
          </w:tcPr>
          <w:p>
            <w:pPr>
              <w:spacing w:after="0" w:line="150" w:lineRule="exact"/>
              <w:rPr>
                <w:rFonts w:ascii="Times New Roman" w:cs="Times New Roman" w:eastAsia="Times New Roman" w:hAnsi="Times New Roman"/>
                <w:sz w:val="17"/>
                <w:szCs w:val="17"/>
                <w:color w:val="0000FF"/>
              </w:rPr>
            </w:pPr>
            <w:hyperlink r:id="rId160">
              <w:r>
                <w:rPr>
                  <w:rFonts w:ascii="Times New Roman" w:cs="Times New Roman" w:eastAsia="Times New Roman" w:hAnsi="Times New Roman"/>
                  <w:sz w:val="17"/>
                  <w:szCs w:val="17"/>
                  <w:color w:val="0000FF"/>
                </w:rPr>
                <w:t>(incorporated by reference to Exhibit 10.1 to the Company’s Quarterly Report on Form 10-Q filed on November 6, 2023</w:t>
              </w:r>
            </w:hyperlink>
          </w:p>
        </w:tc>
        <w:tc>
          <w:tcPr>
            <w:tcW w:w="2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16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880" w:type="dxa"/>
            <w:vAlign w:val="bottom"/>
            <w:gridSpan w:val="6"/>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10.27#</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Lease by and between BMR-Medical Center Drive LLC and J. Craig Venter Institute, Inc., dated May 3, 2010 (incorporated by reference</w:t>
              </w:r>
            </w:hyperlink>
          </w:p>
        </w:tc>
      </w:tr>
      <w:tr>
        <w:trPr>
          <w:trHeight w:val="149"/>
        </w:trPr>
        <w:tc>
          <w:tcPr>
            <w:tcW w:w="1520" w:type="dxa"/>
            <w:vAlign w:val="bottom"/>
          </w:tcPr>
          <w:p>
            <w:pPr>
              <w:spacing w:after="0"/>
              <w:rPr>
                <w:sz w:val="12"/>
                <w:szCs w:val="12"/>
                <w:color w:val="auto"/>
              </w:rPr>
            </w:pPr>
          </w:p>
        </w:tc>
        <w:tc>
          <w:tcPr>
            <w:tcW w:w="9520" w:type="dxa"/>
            <w:vAlign w:val="bottom"/>
            <w:tcBorders>
              <w:top w:val="single" w:sz="8" w:color="0000FF"/>
            </w:tcBorders>
            <w:gridSpan w:val="27"/>
          </w:tcPr>
          <w:p>
            <w:pPr>
              <w:spacing w:after="0" w:line="150" w:lineRule="exact"/>
              <w:rPr>
                <w:rFonts w:ascii="Times New Roman" w:cs="Times New Roman" w:eastAsia="Times New Roman" w:hAnsi="Times New Roman"/>
                <w:sz w:val="17"/>
                <w:szCs w:val="17"/>
                <w:color w:val="0000FF"/>
              </w:rPr>
            </w:pPr>
            <w:hyperlink r:id="rId161">
              <w:r>
                <w:rPr>
                  <w:rFonts w:ascii="Times New Roman" w:cs="Times New Roman" w:eastAsia="Times New Roman" w:hAnsi="Times New Roman"/>
                  <w:sz w:val="17"/>
                  <w:szCs w:val="17"/>
                  <w:color w:val="0000FF"/>
                </w:rPr>
                <w:t>to Exhibit 10.25 to the Company's Annual Report on Form 10-K filed by the Company on March 15, 2023)</w:t>
              </w:r>
            </w:hyperlink>
          </w:p>
        </w:tc>
        <w:tc>
          <w:tcPr>
            <w:tcW w:w="160" w:type="dxa"/>
            <w:vAlign w:val="bottom"/>
            <w:gridSpan w:val="4"/>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52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35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2"/>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gridSpan w:val="8"/>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2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10.28#</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First Amendment to Lease by and between BMR-Medical Center Drive LLC and J. Craig Venter Institute, Inc. dated March 26, 2014</w:t>
              </w:r>
            </w:hyperlink>
          </w:p>
        </w:tc>
      </w:tr>
      <w:tr>
        <w:trPr>
          <w:trHeight w:val="149"/>
        </w:trPr>
        <w:tc>
          <w:tcPr>
            <w:tcW w:w="1520" w:type="dxa"/>
            <w:vAlign w:val="bottom"/>
          </w:tcPr>
          <w:p>
            <w:pPr>
              <w:spacing w:after="0"/>
              <w:rPr>
                <w:sz w:val="12"/>
                <w:szCs w:val="12"/>
                <w:color w:val="auto"/>
              </w:rPr>
            </w:pPr>
          </w:p>
        </w:tc>
        <w:tc>
          <w:tcPr>
            <w:tcW w:w="9240" w:type="dxa"/>
            <w:vAlign w:val="bottom"/>
            <w:tcBorders>
              <w:top w:val="single" w:sz="8" w:color="0000FF"/>
              <w:bottom w:val="single" w:sz="8" w:color="0000FF"/>
            </w:tcBorders>
            <w:gridSpan w:val="17"/>
          </w:tcPr>
          <w:p>
            <w:pPr>
              <w:spacing w:after="0" w:line="150" w:lineRule="exact"/>
              <w:rPr>
                <w:rFonts w:ascii="Times New Roman" w:cs="Times New Roman" w:eastAsia="Times New Roman" w:hAnsi="Times New Roman"/>
                <w:sz w:val="17"/>
                <w:szCs w:val="17"/>
                <w:color w:val="0000FF"/>
              </w:rPr>
            </w:pPr>
            <w:hyperlink r:id="rId162">
              <w:r>
                <w:rPr>
                  <w:rFonts w:ascii="Times New Roman" w:cs="Times New Roman" w:eastAsia="Times New Roman" w:hAnsi="Times New Roman"/>
                  <w:sz w:val="17"/>
                  <w:szCs w:val="17"/>
                  <w:color w:val="0000FF"/>
                </w:rPr>
                <w:t>(incorporated by reference to Exhibit 10.26 to the Company's Annual Report on Form 10-K filed by the Company on March 15, 2023)</w:t>
              </w:r>
            </w:hyperlink>
          </w:p>
        </w:tc>
        <w:tc>
          <w:tcPr>
            <w:tcW w:w="100" w:type="dxa"/>
            <w:vAlign w:val="bottom"/>
            <w:tcBorders>
              <w:bottom w:val="single" w:sz="8" w:color="0000FF"/>
            </w:tcBorders>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40" w:type="dxa"/>
            <w:vAlign w:val="bottom"/>
            <w:gridSpan w:val="2"/>
          </w:tcPr>
          <w:p>
            <w:pPr>
              <w:spacing w:after="0"/>
              <w:rPr>
                <w:sz w:val="12"/>
                <w:szCs w:val="12"/>
                <w:color w:val="auto"/>
              </w:rPr>
            </w:pPr>
          </w:p>
        </w:tc>
        <w:tc>
          <w:tcPr>
            <w:tcW w:w="220" w:type="dxa"/>
            <w:vAlign w:val="bottom"/>
            <w:gridSpan w:val="7"/>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10.29#</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Second Amendment to Lease by and between the Company and BMR-Medical Center Drive LLC, dated July 31, 2015 (incorporated by</w:t>
              </w:r>
            </w:hyperlink>
          </w:p>
        </w:tc>
      </w:tr>
      <w:tr>
        <w:trPr>
          <w:trHeight w:val="149"/>
        </w:trPr>
        <w:tc>
          <w:tcPr>
            <w:tcW w:w="1520" w:type="dxa"/>
            <w:vAlign w:val="bottom"/>
          </w:tcPr>
          <w:p>
            <w:pPr>
              <w:spacing w:after="0"/>
              <w:rPr>
                <w:sz w:val="12"/>
                <w:szCs w:val="12"/>
                <w:color w:val="auto"/>
              </w:rPr>
            </w:pPr>
          </w:p>
        </w:tc>
        <w:tc>
          <w:tcPr>
            <w:tcW w:w="816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163">
              <w:r>
                <w:rPr>
                  <w:rFonts w:ascii="Times New Roman" w:cs="Times New Roman" w:eastAsia="Times New Roman" w:hAnsi="Times New Roman"/>
                  <w:sz w:val="17"/>
                  <w:szCs w:val="17"/>
                  <w:color w:val="0000FF"/>
                </w:rPr>
                <w:t>reference to Exhibit 10.27 to the Company's Annual Report on Form 10-K filed by the Company on March 15, 2023)</w:t>
              </w:r>
            </w:hyperlink>
          </w:p>
        </w:tc>
        <w:tc>
          <w:tcPr>
            <w:tcW w:w="1300" w:type="dxa"/>
            <w:vAlign w:val="bottom"/>
            <w:tcBorders>
              <w:top w:val="single" w:sz="8" w:color="0000FF"/>
            </w:tcBorders>
            <w:gridSpan w:val="14"/>
          </w:tcPr>
          <w:p>
            <w:pPr>
              <w:spacing w:after="0"/>
              <w:rPr>
                <w:sz w:val="12"/>
                <w:szCs w:val="12"/>
                <w:color w:val="auto"/>
              </w:rPr>
            </w:pPr>
          </w:p>
        </w:tc>
        <w:tc>
          <w:tcPr>
            <w:tcW w:w="220" w:type="dxa"/>
            <w:vAlign w:val="bottom"/>
            <w:gridSpan w:val="7"/>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10.30#</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Third Amendment to Lease by and between the Company and BMR-Medical Center Drive LLC, dated November 5, 2015 (incorporated by</w:t>
              </w:r>
            </w:hyperlink>
          </w:p>
        </w:tc>
      </w:tr>
      <w:tr>
        <w:trPr>
          <w:trHeight w:val="149"/>
        </w:trPr>
        <w:tc>
          <w:tcPr>
            <w:tcW w:w="1520" w:type="dxa"/>
            <w:vAlign w:val="bottom"/>
          </w:tcPr>
          <w:p>
            <w:pPr>
              <w:spacing w:after="0"/>
              <w:rPr>
                <w:sz w:val="12"/>
                <w:szCs w:val="12"/>
                <w:color w:val="auto"/>
              </w:rPr>
            </w:pPr>
          </w:p>
        </w:tc>
        <w:tc>
          <w:tcPr>
            <w:tcW w:w="816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164">
              <w:r>
                <w:rPr>
                  <w:rFonts w:ascii="Times New Roman" w:cs="Times New Roman" w:eastAsia="Times New Roman" w:hAnsi="Times New Roman"/>
                  <w:sz w:val="17"/>
                  <w:szCs w:val="17"/>
                  <w:color w:val="0000FF"/>
                </w:rPr>
                <w:t>reference to Exhibit 10.28 to the Company's Annual Report on Form 10-K filed by the Company on March 15, 2023)</w:t>
              </w:r>
            </w:hyperlink>
          </w:p>
        </w:tc>
        <w:tc>
          <w:tcPr>
            <w:tcW w:w="1520" w:type="dxa"/>
            <w:vAlign w:val="bottom"/>
            <w:tcBorders>
              <w:top w:val="single" w:sz="8" w:color="0000FF"/>
            </w:tcBorders>
            <w:gridSpan w:val="21"/>
          </w:tcPr>
          <w:p>
            <w:pPr>
              <w:spacing w:after="0"/>
              <w:rPr>
                <w:sz w:val="12"/>
                <w:szCs w:val="12"/>
                <w:color w:val="auto"/>
              </w:rPr>
            </w:pPr>
          </w:p>
        </w:tc>
        <w:tc>
          <w:tcPr>
            <w:tcW w:w="40" w:type="dxa"/>
            <w:vAlign w:val="bottom"/>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10.31#</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Fourth Amendment to Lease by and between the Company and BMR-Medical Center Drive LLC, dated July 21, 2017 (incorporated by</w:t>
              </w:r>
            </w:hyperlink>
          </w:p>
        </w:tc>
      </w:tr>
      <w:tr>
        <w:trPr>
          <w:trHeight w:val="149"/>
        </w:trPr>
        <w:tc>
          <w:tcPr>
            <w:tcW w:w="1520" w:type="dxa"/>
            <w:vAlign w:val="bottom"/>
          </w:tcPr>
          <w:p>
            <w:pPr>
              <w:spacing w:after="0"/>
              <w:rPr>
                <w:sz w:val="12"/>
                <w:szCs w:val="12"/>
                <w:color w:val="auto"/>
              </w:rPr>
            </w:pPr>
          </w:p>
        </w:tc>
        <w:tc>
          <w:tcPr>
            <w:tcW w:w="8160" w:type="dxa"/>
            <w:vAlign w:val="bottom"/>
            <w:tcBorders>
              <w:top w:val="single" w:sz="8" w:color="0000FF"/>
              <w:bottom w:val="single" w:sz="8" w:color="0000FF"/>
            </w:tcBorders>
            <w:gridSpan w:val="10"/>
          </w:tcPr>
          <w:p>
            <w:pPr>
              <w:spacing w:after="0" w:line="150" w:lineRule="exact"/>
              <w:rPr>
                <w:rFonts w:ascii="Times New Roman" w:cs="Times New Roman" w:eastAsia="Times New Roman" w:hAnsi="Times New Roman"/>
                <w:sz w:val="17"/>
                <w:szCs w:val="17"/>
                <w:color w:val="0000FF"/>
              </w:rPr>
            </w:pPr>
            <w:hyperlink r:id="rId165">
              <w:r>
                <w:rPr>
                  <w:rFonts w:ascii="Times New Roman" w:cs="Times New Roman" w:eastAsia="Times New Roman" w:hAnsi="Times New Roman"/>
                  <w:sz w:val="17"/>
                  <w:szCs w:val="17"/>
                  <w:color w:val="0000FF"/>
                </w:rPr>
                <w:t>reference to Exhibit 10.29 to the Company's Annual Report on Form 10-K filed by the Company on March 15, 2023)</w:t>
              </w:r>
            </w:hyperlink>
          </w:p>
        </w:tc>
        <w:tc>
          <w:tcPr>
            <w:tcW w:w="1260" w:type="dxa"/>
            <w:vAlign w:val="bottom"/>
            <w:tcBorders>
              <w:top w:val="single" w:sz="8" w:color="0000FF"/>
            </w:tcBorders>
            <w:gridSpan w:val="12"/>
          </w:tcPr>
          <w:p>
            <w:pPr>
              <w:spacing w:after="0"/>
              <w:rPr>
                <w:sz w:val="12"/>
                <w:szCs w:val="12"/>
                <w:color w:val="auto"/>
              </w:rPr>
            </w:pPr>
          </w:p>
        </w:tc>
        <w:tc>
          <w:tcPr>
            <w:tcW w:w="300" w:type="dxa"/>
            <w:vAlign w:val="bottom"/>
            <w:gridSpan w:val="10"/>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10.32#</w:t>
            </w:r>
          </w:p>
        </w:tc>
        <w:tc>
          <w:tcPr>
            <w:tcW w:w="9720" w:type="dxa"/>
            <w:vAlign w:val="bottom"/>
            <w:gridSpan w:val="32"/>
          </w:tcPr>
          <w:p>
            <w:pPr>
              <w:spacing w:after="0"/>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Fifth Amendment to Lease by and between the Company and ARE-Maryland No. 45, LLC, dated December 14, 2022 (incorporated by</w:t>
              </w:r>
            </w:hyperlink>
          </w:p>
        </w:tc>
      </w:tr>
      <w:tr>
        <w:trPr>
          <w:trHeight w:val="149"/>
        </w:trPr>
        <w:tc>
          <w:tcPr>
            <w:tcW w:w="1520" w:type="dxa"/>
            <w:vAlign w:val="bottom"/>
          </w:tcPr>
          <w:p>
            <w:pPr>
              <w:spacing w:after="0"/>
              <w:rPr>
                <w:sz w:val="12"/>
                <w:szCs w:val="12"/>
                <w:color w:val="auto"/>
              </w:rPr>
            </w:pPr>
          </w:p>
        </w:tc>
        <w:tc>
          <w:tcPr>
            <w:tcW w:w="8140" w:type="dxa"/>
            <w:vAlign w:val="bottom"/>
            <w:tcBorders>
              <w:top w:val="single" w:sz="8" w:color="0000FF"/>
              <w:bottom w:val="single" w:sz="8" w:color="0000FF"/>
            </w:tcBorders>
            <w:gridSpan w:val="9"/>
          </w:tcPr>
          <w:p>
            <w:pPr>
              <w:spacing w:after="0" w:line="150" w:lineRule="exact"/>
              <w:rPr>
                <w:rFonts w:ascii="Times New Roman" w:cs="Times New Roman" w:eastAsia="Times New Roman" w:hAnsi="Times New Roman"/>
                <w:sz w:val="17"/>
                <w:szCs w:val="17"/>
                <w:color w:val="0000FF"/>
              </w:rPr>
            </w:pPr>
            <w:hyperlink r:id="rId166">
              <w:r>
                <w:rPr>
                  <w:rFonts w:ascii="Times New Roman" w:cs="Times New Roman" w:eastAsia="Times New Roman" w:hAnsi="Times New Roman"/>
                  <w:sz w:val="17"/>
                  <w:szCs w:val="17"/>
                  <w:color w:val="0000FF"/>
                </w:rPr>
                <w:t>reference to Exhibit 10.30 to the Company's Annual Report on Form 10-K filed by the Company on March 15, 2023)</w:t>
              </w:r>
            </w:hyperlink>
          </w:p>
        </w:tc>
        <w:tc>
          <w:tcPr>
            <w:tcW w:w="1240" w:type="dxa"/>
            <w:vAlign w:val="bottom"/>
            <w:tcBorders>
              <w:top w:val="single" w:sz="8" w:color="0000FF"/>
            </w:tcBorders>
            <w:gridSpan w:val="11"/>
          </w:tcPr>
          <w:p>
            <w:pPr>
              <w:spacing w:after="0"/>
              <w:rPr>
                <w:sz w:val="12"/>
                <w:szCs w:val="12"/>
                <w:color w:val="auto"/>
              </w:rPr>
            </w:pPr>
          </w:p>
        </w:tc>
        <w:tc>
          <w:tcPr>
            <w:tcW w:w="340" w:type="dxa"/>
            <w:vAlign w:val="bottom"/>
            <w:gridSpan w:val="12"/>
          </w:tcPr>
          <w:p>
            <w:pPr>
              <w:spacing w:after="0"/>
              <w:rPr>
                <w:sz w:val="12"/>
                <w:szCs w:val="12"/>
                <w:color w:val="auto"/>
              </w:rPr>
            </w:pPr>
          </w:p>
        </w:tc>
      </w:tr>
      <w:tr>
        <w:trPr>
          <w:trHeight w:val="267"/>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10.33+*</w:t>
            </w:r>
          </w:p>
        </w:tc>
        <w:tc>
          <w:tcPr>
            <w:tcW w:w="97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Separation and Consulting Agreement between the Company and Scott Koenig, M.D., Ph.D.</w:t>
            </w:r>
          </w:p>
        </w:tc>
      </w:tr>
      <w:tr>
        <w:trPr>
          <w:trHeight w:val="254"/>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10.34+*</w:t>
            </w:r>
          </w:p>
        </w:tc>
        <w:tc>
          <w:tcPr>
            <w:tcW w:w="634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Amendment No.1 to the Employment Agreement between the Company and James Karrels</w:t>
            </w:r>
          </w:p>
        </w:tc>
        <w:tc>
          <w:tcPr>
            <w:tcW w:w="100" w:type="dxa"/>
            <w:vAlign w:val="bottom"/>
            <w:tcBorders>
              <w:top w:val="single" w:sz="8" w:color="0000FF"/>
            </w:tcBorders>
            <w:gridSpan w:val="2"/>
          </w:tcPr>
          <w:p>
            <w:pPr>
              <w:spacing w:after="0"/>
              <w:rPr>
                <w:sz w:val="22"/>
                <w:szCs w:val="22"/>
                <w:color w:val="auto"/>
              </w:rPr>
            </w:pPr>
          </w:p>
        </w:tc>
        <w:tc>
          <w:tcPr>
            <w:tcW w:w="3280" w:type="dxa"/>
            <w:vAlign w:val="bottom"/>
            <w:gridSpan w:val="28"/>
          </w:tcPr>
          <w:p>
            <w:pPr>
              <w:spacing w:after="0"/>
              <w:rPr>
                <w:sz w:val="22"/>
                <w:szCs w:val="22"/>
                <w:color w:val="auto"/>
              </w:rPr>
            </w:pPr>
          </w:p>
        </w:tc>
      </w:tr>
      <w:tr>
        <w:trPr>
          <w:trHeight w:val="254"/>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10.35+*</w:t>
            </w:r>
          </w:p>
        </w:tc>
        <w:tc>
          <w:tcPr>
            <w:tcW w:w="97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Amendment No.1 to the Employment Agreement between the Company and Stephen Eck, M.D.,Ph.D.</w:t>
            </w:r>
          </w:p>
        </w:tc>
      </w:tr>
      <w:tr>
        <w:trPr>
          <w:trHeight w:val="20"/>
        </w:trPr>
        <w:tc>
          <w:tcPr>
            <w:tcW w:w="1520" w:type="dxa"/>
            <w:vAlign w:val="bottom"/>
          </w:tcPr>
          <w:p>
            <w:pPr>
              <w:spacing w:after="0" w:line="20" w:lineRule="exact"/>
              <w:rPr>
                <w:sz w:val="1"/>
                <w:szCs w:val="1"/>
                <w:color w:val="auto"/>
              </w:rPr>
            </w:pPr>
          </w:p>
        </w:tc>
        <w:tc>
          <w:tcPr>
            <w:tcW w:w="2840" w:type="dxa"/>
            <w:vAlign w:val="bottom"/>
            <w:shd w:val="clear" w:color="auto" w:fill="0000FF"/>
          </w:tcPr>
          <w:p>
            <w:pPr>
              <w:spacing w:after="0" w:line="20" w:lineRule="exact"/>
              <w:rPr>
                <w:sz w:val="1"/>
                <w:szCs w:val="1"/>
                <w:color w:val="auto"/>
              </w:rPr>
            </w:pPr>
          </w:p>
        </w:tc>
        <w:tc>
          <w:tcPr>
            <w:tcW w:w="4280" w:type="dxa"/>
            <w:vAlign w:val="bottom"/>
            <w:gridSpan w:val="4"/>
            <w:shd w:val="clear" w:color="auto" w:fill="0000FF"/>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220" w:type="dxa"/>
            <w:vAlign w:val="bottom"/>
            <w:gridSpan w:val="24"/>
          </w:tcPr>
          <w:p>
            <w:pPr>
              <w:spacing w:after="0" w:line="20" w:lineRule="exact"/>
              <w:rPr>
                <w:sz w:val="1"/>
                <w:szCs w:val="1"/>
                <w:color w:val="auto"/>
              </w:rPr>
            </w:pPr>
          </w:p>
        </w:tc>
      </w:tr>
      <w:tr>
        <w:trPr>
          <w:trHeight w:val="254"/>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10.36+*</w:t>
            </w:r>
          </w:p>
        </w:tc>
        <w:tc>
          <w:tcPr>
            <w:tcW w:w="9720" w:type="dxa"/>
            <w:vAlign w:val="bottom"/>
            <w:gridSpan w:val="32"/>
          </w:tcPr>
          <w:p>
            <w:pPr>
              <w:spacing w:after="0"/>
              <w:rPr>
                <w:sz w:val="20"/>
                <w:szCs w:val="20"/>
                <w:color w:val="auto"/>
              </w:rPr>
            </w:pPr>
            <w:r>
              <w:rPr>
                <w:rFonts w:ascii="Times New Roman" w:cs="Times New Roman" w:eastAsia="Times New Roman" w:hAnsi="Times New Roman"/>
                <w:sz w:val="17"/>
                <w:szCs w:val="17"/>
                <w:color w:val="0000FF"/>
              </w:rPr>
              <w:t>Amendment to Separation and Consulting Agreement between the Company and Scott Koenig, M.D., Ph.D.</w:t>
            </w:r>
          </w:p>
        </w:tc>
      </w:tr>
      <w:tr>
        <w:trPr>
          <w:trHeight w:val="254"/>
        </w:trPr>
        <w:tc>
          <w:tcPr>
            <w:tcW w:w="152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19.1*</w:t>
            </w:r>
          </w:p>
        </w:tc>
        <w:tc>
          <w:tcPr>
            <w:tcW w:w="750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7"/>
                <w:szCs w:val="17"/>
                <w:color w:val="0000FF"/>
              </w:rPr>
              <w:t>MacroGenics Inc. Insider Trading Policy</w:t>
            </w:r>
          </w:p>
        </w:tc>
        <w:tc>
          <w:tcPr>
            <w:tcW w:w="2220" w:type="dxa"/>
            <w:vAlign w:val="bottom"/>
            <w:gridSpan w:val="24"/>
          </w:tcPr>
          <w:p>
            <w:pPr>
              <w:spacing w:after="0"/>
              <w:rPr>
                <w:sz w:val="22"/>
                <w:szCs w:val="22"/>
                <w:color w:val="auto"/>
              </w:rPr>
            </w:pPr>
          </w:p>
        </w:tc>
      </w:tr>
      <w:tr>
        <w:trPr>
          <w:trHeight w:val="1015"/>
        </w:trPr>
        <w:tc>
          <w:tcPr>
            <w:tcW w:w="1520" w:type="dxa"/>
            <w:vAlign w:val="bottom"/>
            <w:tcBorders>
              <w:bottom w:val="single" w:sz="8" w:color="9A9A9A"/>
            </w:tcBorders>
          </w:tcPr>
          <w:p>
            <w:pPr>
              <w:spacing w:after="0"/>
              <w:rPr>
                <w:sz w:val="24"/>
                <w:szCs w:val="24"/>
                <w:color w:val="auto"/>
              </w:rPr>
            </w:pPr>
          </w:p>
        </w:tc>
        <w:tc>
          <w:tcPr>
            <w:tcW w:w="2840" w:type="dxa"/>
            <w:vAlign w:val="bottom"/>
            <w:tcBorders>
              <w:top w:val="single" w:sz="8" w:color="0000FF"/>
              <w:bottom w:val="single" w:sz="8" w:color="9A9A9A"/>
            </w:tcBorders>
          </w:tcPr>
          <w:p>
            <w:pPr>
              <w:spacing w:after="0"/>
              <w:rPr>
                <w:sz w:val="24"/>
                <w:szCs w:val="24"/>
                <w:color w:val="auto"/>
              </w:rPr>
            </w:pPr>
          </w:p>
        </w:tc>
        <w:tc>
          <w:tcPr>
            <w:tcW w:w="3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7118985</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6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11" w:name="page112"/>
    <w:bookmarkEnd w:id="111"/>
    <w:tbl>
      <w:tblPr>
        <w:tblLayout w:type="fixed"/>
        <w:tblInd w:w="40" w:type="dxa"/>
        <w:tblCellMar>
          <w:top w:w="0" w:type="dxa"/>
          <w:left w:w="0" w:type="dxa"/>
          <w:bottom w:w="0" w:type="dxa"/>
          <w:right w:w="0" w:type="dxa"/>
        </w:tblCellMar>
      </w:tblPr>
      <w:tr>
        <w:trPr>
          <w:trHeight w:val="195"/>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23.1*</w:t>
            </w:r>
          </w:p>
        </w:tc>
        <w:tc>
          <w:tcPr>
            <w:tcW w:w="9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Consent of Ernst &amp; Young, LLP, Independent Registered Public Accounting Firm</w:t>
            </w:r>
          </w:p>
        </w:tc>
      </w:tr>
      <w:tr>
        <w:trPr>
          <w:trHeight w:val="25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31.1*</w:t>
            </w:r>
          </w:p>
        </w:tc>
        <w:tc>
          <w:tcPr>
            <w:tcW w:w="410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7"/>
                <w:szCs w:val="17"/>
                <w:color w:val="0000FF"/>
              </w:rPr>
              <w:t>Rule 13a-14(a) Certification of Principal Executive Officer</w:t>
            </w:r>
          </w:p>
        </w:tc>
        <w:tc>
          <w:tcPr>
            <w:tcW w:w="1560" w:type="dxa"/>
            <w:vAlign w:val="bottom"/>
            <w:tcBorders>
              <w:top w:val="single" w:sz="8" w:color="0000FF"/>
            </w:tcBorders>
          </w:tcPr>
          <w:p>
            <w:pPr>
              <w:spacing w:after="0"/>
              <w:rPr>
                <w:sz w:val="22"/>
                <w:szCs w:val="22"/>
                <w:color w:val="auto"/>
              </w:rPr>
            </w:pPr>
          </w:p>
        </w:tc>
        <w:tc>
          <w:tcPr>
            <w:tcW w:w="4020" w:type="dxa"/>
            <w:vAlign w:val="bottom"/>
            <w:gridSpan w:val="2"/>
          </w:tcPr>
          <w:p>
            <w:pPr>
              <w:spacing w:after="0"/>
              <w:rPr>
                <w:sz w:val="22"/>
                <w:szCs w:val="22"/>
                <w:color w:val="auto"/>
              </w:rPr>
            </w:pPr>
          </w:p>
        </w:tc>
      </w:tr>
      <w:tr>
        <w:trPr>
          <w:trHeight w:val="25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31.2*</w:t>
            </w:r>
          </w:p>
        </w:tc>
        <w:tc>
          <w:tcPr>
            <w:tcW w:w="9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Rule 13a-14(a) Certification of Principal Financial Officer</w:t>
            </w:r>
          </w:p>
        </w:tc>
      </w:tr>
      <w:tr>
        <w:trPr>
          <w:trHeight w:val="253"/>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32.1**</w:t>
            </w:r>
          </w:p>
        </w:tc>
        <w:tc>
          <w:tcPr>
            <w:tcW w:w="40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7"/>
                <w:szCs w:val="17"/>
                <w:color w:val="0000FF"/>
              </w:rPr>
              <w:t>Section 1350 Certification of Principal Executive Officer</w:t>
            </w:r>
          </w:p>
        </w:tc>
        <w:tc>
          <w:tcPr>
            <w:tcW w:w="5640" w:type="dxa"/>
            <w:vAlign w:val="bottom"/>
            <w:gridSpan w:val="4"/>
          </w:tcPr>
          <w:p>
            <w:pPr>
              <w:spacing w:after="0"/>
              <w:rPr>
                <w:sz w:val="22"/>
                <w:szCs w:val="22"/>
                <w:color w:val="auto"/>
              </w:rPr>
            </w:pPr>
          </w:p>
        </w:tc>
      </w:tr>
      <w:tr>
        <w:trPr>
          <w:trHeight w:val="25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32.2**</w:t>
            </w:r>
          </w:p>
        </w:tc>
        <w:tc>
          <w:tcPr>
            <w:tcW w:w="392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7"/>
                <w:szCs w:val="17"/>
                <w:color w:val="0000FF"/>
              </w:rPr>
              <w:t>Section 1350 Certification of Principal Financial Officer</w:t>
            </w:r>
          </w:p>
        </w:tc>
        <w:tc>
          <w:tcPr>
            <w:tcW w:w="40" w:type="dxa"/>
            <w:vAlign w:val="bottom"/>
            <w:tcBorders>
              <w:top w:val="single" w:sz="8" w:color="0000FF"/>
            </w:tcBorders>
          </w:tcPr>
          <w:p>
            <w:pPr>
              <w:spacing w:after="0"/>
              <w:rPr>
                <w:sz w:val="22"/>
                <w:szCs w:val="22"/>
                <w:color w:val="auto"/>
              </w:rPr>
            </w:pPr>
          </w:p>
        </w:tc>
        <w:tc>
          <w:tcPr>
            <w:tcW w:w="5720" w:type="dxa"/>
            <w:vAlign w:val="bottom"/>
            <w:gridSpan w:val="5"/>
          </w:tcPr>
          <w:p>
            <w:pPr>
              <w:spacing w:after="0"/>
              <w:rPr>
                <w:sz w:val="22"/>
                <w:szCs w:val="22"/>
                <w:color w:val="auto"/>
              </w:rPr>
            </w:pPr>
          </w:p>
        </w:tc>
      </w:tr>
      <w:tr>
        <w:trPr>
          <w:trHeight w:val="25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97.1</w:t>
            </w:r>
          </w:p>
        </w:tc>
        <w:tc>
          <w:tcPr>
            <w:tcW w:w="9680" w:type="dxa"/>
            <w:vAlign w:val="bottom"/>
            <w:gridSpan w:val="8"/>
          </w:tcPr>
          <w:p>
            <w:pPr>
              <w:spacing w:after="0"/>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MacroGenics.Inc. Incentive Compensation Recoupment Policy (incorporated by reference to Exhibit 97.1 to the Company's Annual Report</w:t>
              </w:r>
            </w:hyperlink>
          </w:p>
        </w:tc>
      </w:tr>
      <w:tr>
        <w:trPr>
          <w:trHeight w:val="149"/>
        </w:trPr>
        <w:tc>
          <w:tcPr>
            <w:tcW w:w="1480" w:type="dxa"/>
            <w:vAlign w:val="bottom"/>
          </w:tcPr>
          <w:p>
            <w:pPr>
              <w:spacing w:after="0"/>
              <w:rPr>
                <w:sz w:val="12"/>
                <w:szCs w:val="12"/>
                <w:color w:val="auto"/>
              </w:rPr>
            </w:pPr>
          </w:p>
        </w:tc>
        <w:tc>
          <w:tcPr>
            <w:tcW w:w="3880" w:type="dxa"/>
            <w:vAlign w:val="bottom"/>
            <w:tcBorders>
              <w:top w:val="single" w:sz="8" w:color="0000FF"/>
              <w:bottom w:val="single" w:sz="8" w:color="0000FF"/>
            </w:tcBorders>
          </w:tcPr>
          <w:p>
            <w:pPr>
              <w:spacing w:after="0" w:line="150" w:lineRule="exact"/>
              <w:rPr>
                <w:rFonts w:ascii="Times New Roman" w:cs="Times New Roman" w:eastAsia="Times New Roman" w:hAnsi="Times New Roman"/>
                <w:sz w:val="17"/>
                <w:szCs w:val="17"/>
                <w:color w:val="0000FF"/>
              </w:rPr>
            </w:pPr>
            <w:hyperlink r:id="rId169">
              <w:r>
                <w:rPr>
                  <w:rFonts w:ascii="Times New Roman" w:cs="Times New Roman" w:eastAsia="Times New Roman" w:hAnsi="Times New Roman"/>
                  <w:sz w:val="17"/>
                  <w:szCs w:val="17"/>
                  <w:color w:val="0000FF"/>
                </w:rPr>
                <w:t>on Form 10-K filed by the Company on March 7, 2024)</w:t>
              </w:r>
            </w:hyperlink>
          </w:p>
        </w:tc>
        <w:tc>
          <w:tcPr>
            <w:tcW w:w="5780" w:type="dxa"/>
            <w:vAlign w:val="bottom"/>
            <w:tcBorders>
              <w:top w:val="single" w:sz="8" w:color="0000FF"/>
            </w:tcBorders>
            <w:gridSpan w:val="6"/>
          </w:tcPr>
          <w:p>
            <w:pPr>
              <w:spacing w:after="0"/>
              <w:rPr>
                <w:sz w:val="12"/>
                <w:szCs w:val="12"/>
                <w:color w:val="auto"/>
              </w:rPr>
            </w:pPr>
          </w:p>
        </w:tc>
        <w:tc>
          <w:tcPr>
            <w:tcW w:w="20" w:type="dxa"/>
            <w:vAlign w:val="bottom"/>
          </w:tcPr>
          <w:p>
            <w:pPr>
              <w:spacing w:after="0"/>
              <w:rPr>
                <w:sz w:val="12"/>
                <w:szCs w:val="12"/>
                <w:color w:val="auto"/>
              </w:rPr>
            </w:pPr>
          </w:p>
        </w:tc>
      </w:tr>
      <w:tr>
        <w:trPr>
          <w:trHeight w:val="306"/>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101.INS</w:t>
            </w:r>
          </w:p>
        </w:tc>
        <w:tc>
          <w:tcPr>
            <w:tcW w:w="96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Instance Document</w:t>
            </w:r>
          </w:p>
        </w:tc>
      </w:tr>
      <w:tr>
        <w:trPr>
          <w:trHeight w:val="27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101.SCH</w:t>
            </w:r>
          </w:p>
        </w:tc>
        <w:tc>
          <w:tcPr>
            <w:tcW w:w="96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Schema Document</w:t>
            </w:r>
          </w:p>
        </w:tc>
      </w:tr>
      <w:tr>
        <w:trPr>
          <w:trHeight w:val="27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101.CAL</w:t>
            </w:r>
          </w:p>
        </w:tc>
        <w:tc>
          <w:tcPr>
            <w:tcW w:w="96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Calculation Linkbase Document</w:t>
            </w:r>
          </w:p>
        </w:tc>
      </w:tr>
      <w:tr>
        <w:trPr>
          <w:trHeight w:val="27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101.DEF</w:t>
            </w:r>
          </w:p>
        </w:tc>
        <w:tc>
          <w:tcPr>
            <w:tcW w:w="96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Definition Linkbase Document</w:t>
            </w:r>
          </w:p>
        </w:tc>
      </w:tr>
      <w:tr>
        <w:trPr>
          <w:trHeight w:val="27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101.LAB</w:t>
            </w:r>
          </w:p>
        </w:tc>
        <w:tc>
          <w:tcPr>
            <w:tcW w:w="96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Labels Linkbase Document</w:t>
            </w:r>
          </w:p>
        </w:tc>
      </w:tr>
      <w:tr>
        <w:trPr>
          <w:trHeight w:val="274"/>
        </w:trPr>
        <w:tc>
          <w:tcPr>
            <w:tcW w:w="148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9680" w:type="dxa"/>
            <w:vAlign w:val="bottom"/>
            <w:gridSpan w:val="8"/>
          </w:tcPr>
          <w:p>
            <w:pPr>
              <w:spacing w:after="0"/>
              <w:rPr>
                <w:sz w:val="20"/>
                <w:szCs w:val="20"/>
                <w:color w:val="auto"/>
              </w:rPr>
            </w:pPr>
            <w:r>
              <w:rPr>
                <w:rFonts w:ascii="Times New Roman" w:cs="Times New Roman" w:eastAsia="Times New Roman" w:hAnsi="Times New Roman"/>
                <w:sz w:val="17"/>
                <w:szCs w:val="17"/>
                <w:color w:val="auto"/>
              </w:rPr>
              <w:t>XBRL Presentation Linkbase Document</w:t>
            </w:r>
          </w:p>
        </w:tc>
      </w:tr>
    </w:tbl>
    <w:p>
      <w:pPr>
        <w:spacing w:after="0" w:line="47" w:lineRule="exact"/>
        <w:rPr>
          <w:sz w:val="20"/>
          <w:szCs w:val="20"/>
          <w:color w:val="auto"/>
        </w:rPr>
      </w:pPr>
    </w:p>
    <w:p>
      <w:pPr>
        <w:ind w:left="1520" w:hanging="1479"/>
        <w:spacing w:after="0"/>
        <w:tabs>
          <w:tab w:leader="none" w:pos="1520" w:val="left"/>
        </w:tabs>
        <w:numPr>
          <w:ilvl w:val="1"/>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(formatted as Inline XBRL and contained in Exhibit 101 filed herewith)</w:t>
      </w:r>
    </w:p>
    <w:p>
      <w:pPr>
        <w:spacing w:after="0" w:line="208" w:lineRule="exact"/>
        <w:rPr>
          <w:rFonts w:ascii="Times New Roman" w:cs="Times New Roman" w:eastAsia="Times New Roman" w:hAnsi="Times New Roman"/>
          <w:sz w:val="17"/>
          <w:szCs w:val="17"/>
          <w:color w:val="auto"/>
        </w:rPr>
      </w:pPr>
    </w:p>
    <w:p>
      <w:pPr>
        <w:ind w:left="260" w:hanging="256"/>
        <w:spacing w:after="0"/>
        <w:tabs>
          <w:tab w:leader="none" w:pos="26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exhibit (indicated by asterisks) have been omitted pursuant to a request for confidential treatment granted by the SEC.</w:t>
      </w:r>
    </w:p>
    <w:p>
      <w:pPr>
        <w:spacing w:after="0" w:line="65" w:lineRule="exact"/>
        <w:rPr>
          <w:sz w:val="20"/>
          <w:szCs w:val="20"/>
          <w:color w:val="auto"/>
        </w:rPr>
      </w:pPr>
    </w:p>
    <w:p>
      <w:pPr>
        <w:ind w:left="620" w:hanging="616"/>
        <w:spacing w:after="0" w:line="271" w:lineRule="auto"/>
        <w:tabs>
          <w:tab w:leader="none" w:pos="255"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Portions of this document (indicated by “[***]” have been omitted because they are not material and are the type that MacroGenics, Inc. treats as private and confidential.</w:t>
      </w:r>
    </w:p>
    <w:p>
      <w:pPr>
        <w:spacing w:after="0" w:line="1" w:lineRule="exact"/>
        <w:rPr>
          <w:sz w:val="20"/>
          <w:szCs w:val="20"/>
          <w:color w:val="auto"/>
        </w:rPr>
      </w:pPr>
    </w:p>
    <w:p>
      <w:pPr>
        <w:ind w:right="7160" w:firstLine="4"/>
        <w:spacing w:after="0" w:line="319" w:lineRule="auto"/>
        <w:tabs>
          <w:tab w:leader="none" w:pos="271"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Indicates management contract or compensatory plan. * Filed herewith.</w:t>
      </w:r>
    </w:p>
    <w:p>
      <w:pPr>
        <w:spacing w:after="0" w:line="1"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Furnished herewith.</w:t>
      </w:r>
    </w:p>
    <w:p>
      <w:pPr>
        <w:sectPr>
          <w:pgSz w:w="11900" w:h="16838" w:orient="portrait"/>
          <w:cols w:equalWidth="0" w:num="1">
            <w:col w:w="11180"/>
          </w:cols>
          <w:pgMar w:left="320" w:top="895" w:right="39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17"/>
          <w:szCs w:val="17"/>
          <w:color w:val="auto"/>
        </w:rPr>
        <w:t>Exhibit.10.33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October 25, 2024 Scott Koenig</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7109 Malibu Cove</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Austin, TX 78730 Dear Scott:</w:t>
      </w:r>
    </w:p>
    <w:p>
      <w:pPr>
        <w:spacing w:after="0" w:line="67" w:lineRule="exact"/>
        <w:rPr>
          <w:sz w:val="20"/>
          <w:szCs w:val="20"/>
          <w:color w:val="auto"/>
        </w:rPr>
      </w:pPr>
    </w:p>
    <w:p>
      <w:pPr>
        <w:ind w:right="660"/>
        <w:spacing w:after="0" w:line="266" w:lineRule="auto"/>
        <w:rPr>
          <w:sz w:val="20"/>
          <w:szCs w:val="20"/>
          <w:color w:val="auto"/>
        </w:rPr>
      </w:pPr>
      <w:r>
        <w:rPr>
          <w:rFonts w:ascii="Times New Roman" w:cs="Times New Roman" w:eastAsia="Times New Roman" w:hAnsi="Times New Roman"/>
          <w:sz w:val="21"/>
          <w:szCs w:val="21"/>
          <w:color w:val="auto"/>
        </w:rPr>
        <w:t>This letter sets forth the substance of the separation agreement (the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21"/>
          <w:szCs w:val="21"/>
          <w:color w:val="auto"/>
        </w:rPr>
        <w:t>”) that MacroGenics, Inc. (the “</w:t>
      </w:r>
      <w:r>
        <w:rPr>
          <w:rFonts w:ascii="Times New Roman" w:cs="Times New Roman" w:eastAsia="Times New Roman" w:hAnsi="Times New Roman"/>
          <w:sz w:val="21"/>
          <w:szCs w:val="21"/>
          <w:b w:val="1"/>
          <w:bCs w:val="1"/>
          <w:color w:val="auto"/>
        </w:rPr>
        <w:t>Company</w:t>
      </w:r>
      <w:r>
        <w:rPr>
          <w:rFonts w:ascii="Times New Roman" w:cs="Times New Roman" w:eastAsia="Times New Roman" w:hAnsi="Times New Roman"/>
          <w:sz w:val="21"/>
          <w:szCs w:val="21"/>
          <w:color w:val="auto"/>
        </w:rPr>
        <w:t>”) is offering to you to aid in your employment transition.</w:t>
      </w:r>
    </w:p>
    <w:p>
      <w:pPr>
        <w:spacing w:after="0" w:line="168" w:lineRule="exact"/>
        <w:rPr>
          <w:sz w:val="20"/>
          <w:szCs w:val="20"/>
          <w:color w:val="auto"/>
        </w:rPr>
      </w:pPr>
    </w:p>
    <w:p>
      <w:pPr>
        <w:jc w:val="both"/>
        <w:ind w:firstLine="317"/>
        <w:spacing w:after="0" w:line="234" w:lineRule="auto"/>
        <w:tabs>
          <w:tab w:leader="none" w:pos="625"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6"/>
          <w:szCs w:val="16"/>
          <w:b w:val="1"/>
          <w:bCs w:val="1"/>
          <w:color w:val="auto"/>
        </w:rPr>
        <w:t>EPARATION</w:t>
      </w:r>
      <w:r>
        <w:rPr>
          <w:rFonts w:ascii="Times New Roman" w:cs="Times New Roman" w:eastAsia="Times New Roman" w:hAnsi="Times New Roman"/>
          <w:sz w:val="21"/>
          <w:szCs w:val="21"/>
          <w:color w:val="auto"/>
        </w:rPr>
        <w:t>. Your last day of work with the Company and your employment termination date will be February 28, 2025 (the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b w:val="1"/>
          <w:bCs w:val="1"/>
          <w:color w:val="auto"/>
        </w:rPr>
        <w:t>Separation Date</w:t>
      </w:r>
      <w:r>
        <w:rPr>
          <w:rFonts w:ascii="Times New Roman" w:cs="Times New Roman" w:eastAsia="Times New Roman" w:hAnsi="Times New Roman"/>
          <w:sz w:val="21"/>
          <w:szCs w:val="21"/>
          <w:color w:val="auto"/>
        </w:rPr>
        <w:t>”). Either you or the Company may elect, upon seven (7) days’ notice to the other party, to change the Separation Date to a date that is earlier than February 28, 2025. In addition, the Separation Date may be extended past February 28, 2025 with the mutual consent of both you and the Company’s Board of Directors. You will remain eligible for your full normal 2024 annual bonus regardless of whether your Separation Date occurs before or after February 28, 2025, and regardless of whether your Separation Date occurs before the date on which the 2024 annual bonus is paid. Effective as of the Separation Date, you hereby voluntarily resign your position on the Company’s Board of Directors, and resign from any and all other officer or other positions you may hold with the Company, its Board of Directors, and any affiliated or related companies; provided that, upon the written request of the incoming Chief Executive Officer of the Company, which request shall be made prior to the Separation Date, you may revoke your resignation from the Board of Directors. (For the avoidance of doubt, such resignations are effective upon your execution of this Agreement, and regardless of whether or not you revoke this Agreement as set forth below.) You understand and agree that you are not authorized to hold yourself out as being employed or affiliated with the Company in any way following the Separation Date, including as a member of the Board of Directors.</w:t>
      </w:r>
    </w:p>
    <w:p>
      <w:pPr>
        <w:spacing w:after="0" w:line="195" w:lineRule="exact"/>
        <w:rPr>
          <w:rFonts w:ascii="Times New Roman" w:cs="Times New Roman" w:eastAsia="Times New Roman" w:hAnsi="Times New Roman"/>
          <w:sz w:val="19"/>
          <w:szCs w:val="19"/>
          <w:color w:val="auto"/>
        </w:rPr>
      </w:pPr>
    </w:p>
    <w:p>
      <w:pPr>
        <w:jc w:val="both"/>
        <w:ind w:firstLine="317"/>
        <w:spacing w:after="0" w:line="249" w:lineRule="auto"/>
        <w:tabs>
          <w:tab w:leader="none" w:pos="625"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F</w:t>
      </w:r>
      <w:r>
        <w:rPr>
          <w:rFonts w:ascii="Times New Roman" w:cs="Times New Roman" w:eastAsia="Times New Roman" w:hAnsi="Times New Roman"/>
          <w:sz w:val="16"/>
          <w:szCs w:val="16"/>
          <w:b w:val="1"/>
          <w:bCs w:val="1"/>
          <w:color w:val="auto"/>
        </w:rPr>
        <w:t>INAL</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6"/>
          <w:szCs w:val="16"/>
          <w:b w:val="1"/>
          <w:bCs w:val="1"/>
          <w:color w:val="auto"/>
        </w:rPr>
        <w:t>AY</w:t>
      </w:r>
      <w:r>
        <w:rPr>
          <w:rFonts w:ascii="Times New Roman" w:cs="Times New Roman" w:eastAsia="Times New Roman" w:hAnsi="Times New Roman"/>
          <w:sz w:val="21"/>
          <w:szCs w:val="21"/>
          <w:color w:val="auto"/>
        </w:rPr>
        <w:t>. On the next regularly scheduled pay date following the Separation Date, the Company will pay you all accrued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salary and all accrued and unused vacation time earned through the Separation Date, subject to standard payroll deductions and withholdings. You are entitled to this payment by law.</w:t>
      </w:r>
    </w:p>
    <w:p>
      <w:pPr>
        <w:spacing w:after="0" w:line="186" w:lineRule="exact"/>
        <w:rPr>
          <w:rFonts w:ascii="Times New Roman" w:cs="Times New Roman" w:eastAsia="Times New Roman" w:hAnsi="Times New Roman"/>
          <w:sz w:val="19"/>
          <w:szCs w:val="19"/>
          <w:color w:val="auto"/>
        </w:rPr>
      </w:pPr>
    </w:p>
    <w:p>
      <w:pPr>
        <w:jc w:val="both"/>
        <w:ind w:firstLine="317"/>
        <w:spacing w:after="0" w:line="241" w:lineRule="auto"/>
        <w:tabs>
          <w:tab w:leader="none" w:pos="625" w:val="left"/>
        </w:tabs>
        <w:numPr>
          <w:ilvl w:val="0"/>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6"/>
          <w:szCs w:val="16"/>
          <w:b w:val="1"/>
          <w:bCs w:val="1"/>
          <w:color w:val="auto"/>
        </w:rPr>
        <w:t>EVERANCE</w:t>
      </w:r>
      <w:r>
        <w:rPr>
          <w:rFonts w:ascii="Times New Roman" w:cs="Times New Roman" w:eastAsia="Times New Roman" w:hAnsi="Times New Roman"/>
          <w:sz w:val="21"/>
          <w:szCs w:val="21"/>
          <w:b w:val="1"/>
          <w:bCs w:val="1"/>
          <w:color w:val="auto"/>
        </w:rPr>
        <w:t xml:space="preserve"> P</w:t>
      </w:r>
      <w:r>
        <w:rPr>
          <w:rFonts w:ascii="Times New Roman" w:cs="Times New Roman" w:eastAsia="Times New Roman" w:hAnsi="Times New Roman"/>
          <w:sz w:val="16"/>
          <w:szCs w:val="16"/>
          <w:b w:val="1"/>
          <w:bCs w:val="1"/>
          <w:color w:val="auto"/>
        </w:rPr>
        <w:t>AYMENT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If you timely sign this Agreement, allow the release(s) contained herein to become effective, and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comply with your obligations under it (collectively, the “</w:t>
      </w:r>
      <w:r>
        <w:rPr>
          <w:rFonts w:ascii="Times New Roman" w:cs="Times New Roman" w:eastAsia="Times New Roman" w:hAnsi="Times New Roman"/>
          <w:sz w:val="21"/>
          <w:szCs w:val="21"/>
          <w:b w:val="1"/>
          <w:bCs w:val="1"/>
          <w:color w:val="auto"/>
        </w:rPr>
        <w:t>Severance Preconditions</w:t>
      </w:r>
      <w:r>
        <w:rPr>
          <w:rFonts w:ascii="Times New Roman" w:cs="Times New Roman" w:eastAsia="Times New Roman" w:hAnsi="Times New Roman"/>
          <w:sz w:val="21"/>
          <w:szCs w:val="21"/>
          <w:color w:val="auto"/>
        </w:rPr>
        <w:t>”), then the Company will provide you (or your heirs, in the event of your death during the time that such benefits would otherwise be paid out under this Agreement) the severance benefits as if your employment termination was a termination by the Employer without Cause (each as defined and set forth in that certain Employment Agreement between you</w:t>
      </w:r>
    </w:p>
    <w:p>
      <w:pPr>
        <w:spacing w:after="0" w:line="19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and the Company, dated October 9, 2013, a copy of which is attached hereto as Exhibit A (the “</w:t>
      </w:r>
      <w:r>
        <w:rPr>
          <w:rFonts w:ascii="Times New Roman" w:cs="Times New Roman" w:eastAsia="Times New Roman" w:hAnsi="Times New Roman"/>
          <w:sz w:val="21"/>
          <w:szCs w:val="21"/>
          <w:b w:val="1"/>
          <w:bCs w:val="1"/>
          <w:color w:val="auto"/>
        </w:rPr>
        <w:t>Employment Agreement</w:t>
      </w:r>
      <w:r>
        <w:rPr>
          <w:rFonts w:ascii="Times New Roman" w:cs="Times New Roman" w:eastAsia="Times New Roman" w:hAnsi="Times New Roman"/>
          <w:sz w:val="21"/>
          <w:szCs w:val="21"/>
          <w:color w:val="auto"/>
        </w:rPr>
        <w:t>”)):</w:t>
      </w:r>
    </w:p>
    <w:p>
      <w:pPr>
        <w:spacing w:after="0" w:line="214" w:lineRule="exact"/>
        <w:rPr>
          <w:sz w:val="20"/>
          <w:szCs w:val="20"/>
          <w:color w:val="auto"/>
        </w:rPr>
      </w:pPr>
    </w:p>
    <w:p>
      <w:pPr>
        <w:jc w:val="both"/>
        <w:ind w:firstLine="629"/>
        <w:spacing w:after="0" w:line="244" w:lineRule="auto"/>
        <w:tabs>
          <w:tab w:leader="none" w:pos="1241" w:val="left"/>
        </w:tabs>
        <w:numPr>
          <w:ilvl w:val="0"/>
          <w:numId w:val="57"/>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C</w:t>
      </w:r>
      <w:r>
        <w:rPr>
          <w:rFonts w:ascii="Times New Roman" w:cs="Times New Roman" w:eastAsia="Times New Roman" w:hAnsi="Times New Roman"/>
          <w:sz w:val="16"/>
          <w:szCs w:val="16"/>
          <w:b w:val="1"/>
          <w:bCs w:val="1"/>
          <w:color w:val="auto"/>
        </w:rPr>
        <w:t>ASH</w:t>
      </w:r>
      <w:r>
        <w:rPr>
          <w:rFonts w:ascii="Times New Roman" w:cs="Times New Roman" w:eastAsia="Times New Roman" w:hAnsi="Times New Roman"/>
          <w:sz w:val="21"/>
          <w:szCs w:val="21"/>
          <w:b w:val="1"/>
          <w:bCs w:val="1"/>
          <w:color w:val="auto"/>
        </w:rPr>
        <w:t xml:space="preserve"> S</w:t>
      </w:r>
      <w:r>
        <w:rPr>
          <w:rFonts w:ascii="Times New Roman" w:cs="Times New Roman" w:eastAsia="Times New Roman" w:hAnsi="Times New Roman"/>
          <w:sz w:val="16"/>
          <w:szCs w:val="16"/>
          <w:b w:val="1"/>
          <w:bCs w:val="1"/>
          <w:color w:val="auto"/>
        </w:rPr>
        <w:t>EVERANCE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will pay you, the product of (i) two and (ii) the sum of your base salary and target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bonus in effect immediately prior to the Separation Date (for an aggregate severance amount of $2,362,880), subject to standard payroll deductions and withholdings. This amount will be paid over the two (2) year period running from the Separation Date, paid on the same payroll schedule on which current employees are paid (“</w:t>
      </w:r>
      <w:r>
        <w:rPr>
          <w:rFonts w:ascii="Times New Roman" w:cs="Times New Roman" w:eastAsia="Times New Roman" w:hAnsi="Times New Roman"/>
          <w:sz w:val="21"/>
          <w:szCs w:val="21"/>
          <w:b w:val="1"/>
          <w:bCs w:val="1"/>
          <w:color w:val="auto"/>
        </w:rPr>
        <w:t>Severance</w:t>
      </w:r>
    </w:p>
    <w:p>
      <w:pPr>
        <w:sectPr>
          <w:pgSz w:w="11900" w:h="16838" w:orient="portrait"/>
          <w:cols w:equalWidth="0" w:num="1">
            <w:col w:w="11240"/>
          </w:cols>
          <w:pgMar w:left="320" w:top="121" w:right="339" w:bottom="1440" w:gutter="0" w:footer="0" w:header="0"/>
        </w:sectPr>
      </w:pPr>
    </w:p>
    <w:bookmarkStart w:id="113" w:name="page114"/>
    <w:bookmarkEnd w:id="113"/>
    <w:p>
      <w:pPr>
        <w:jc w:val="both"/>
        <w:spacing w:after="0" w:line="249" w:lineRule="auto"/>
        <w:rPr>
          <w:sz w:val="20"/>
          <w:szCs w:val="20"/>
          <w:color w:val="auto"/>
        </w:rPr>
      </w:pPr>
      <w:r>
        <w:rPr>
          <w:rFonts w:ascii="Times New Roman" w:cs="Times New Roman" w:eastAsia="Times New Roman" w:hAnsi="Times New Roman"/>
          <w:sz w:val="21"/>
          <w:szCs w:val="21"/>
          <w:b w:val="1"/>
          <w:bCs w:val="1"/>
          <w:color w:val="auto"/>
        </w:rPr>
        <w:t>Payments</w:t>
      </w:r>
      <w:r>
        <w:rPr>
          <w:rFonts w:ascii="Times New Roman" w:cs="Times New Roman" w:eastAsia="Times New Roman" w:hAnsi="Times New Roman"/>
          <w:sz w:val="21"/>
          <w:szCs w:val="21"/>
          <w:color w:val="auto"/>
        </w:rPr>
        <w:t>”); provided, however, that no Severance Payment will be made prior to the first regular Company payday no earlier than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one week after the Effective Date (as defined below), with such first amount totaling the amounts that would have been paid on the regular payroll paydays but for the delay for effectiveness of the release.</w:t>
      </w:r>
    </w:p>
    <w:p>
      <w:pPr>
        <w:spacing w:after="0" w:line="186" w:lineRule="exact"/>
        <w:rPr>
          <w:sz w:val="20"/>
          <w:szCs w:val="20"/>
          <w:color w:val="auto"/>
        </w:rPr>
      </w:pPr>
    </w:p>
    <w:p>
      <w:pPr>
        <w:jc w:val="both"/>
        <w:ind w:firstLine="629"/>
        <w:spacing w:after="0" w:line="234" w:lineRule="auto"/>
        <w:tabs>
          <w:tab w:leader="none" w:pos="1238"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H</w:t>
      </w:r>
      <w:r>
        <w:rPr>
          <w:rFonts w:ascii="Times New Roman" w:cs="Times New Roman" w:eastAsia="Times New Roman" w:hAnsi="Times New Roman"/>
          <w:sz w:val="16"/>
          <w:szCs w:val="16"/>
          <w:b w:val="1"/>
          <w:bCs w:val="1"/>
          <w:color w:val="auto"/>
        </w:rPr>
        <w:t>EALTH</w:t>
      </w:r>
      <w:r>
        <w:rPr>
          <w:rFonts w:ascii="Times New Roman" w:cs="Times New Roman" w:eastAsia="Times New Roman" w:hAnsi="Times New Roman"/>
          <w:sz w:val="21"/>
          <w:szCs w:val="21"/>
          <w:b w:val="1"/>
          <w:bCs w:val="1"/>
          <w:color w:val="auto"/>
        </w:rPr>
        <w:t xml:space="preserve"> I</w:t>
      </w:r>
      <w:r>
        <w:rPr>
          <w:rFonts w:ascii="Times New Roman" w:cs="Times New Roman" w:eastAsia="Times New Roman" w:hAnsi="Times New Roman"/>
          <w:sz w:val="16"/>
          <w:szCs w:val="16"/>
          <w:b w:val="1"/>
          <w:bCs w:val="1"/>
          <w:color w:val="auto"/>
        </w:rPr>
        <w:t>NSURANCE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As an additional severance benefit under this Agreement, provided that you satisfy the Severance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Preconditions set forth above and timely elect continued coverage under COBRA, you and your eligible dependents will continue to participate in the Company’s medical, dental, and vision benefit plans at the same premium cost to you as charged to you immediately prior to the Separation Date for a period of twenty-four (24) months immediately following the Separation Date, or if earlier, until you obtain other employment which provides the same type of benefit; provided, however, that (a) it is understood and agreed that such continued medical, dental, and vision benefits may at the election of the Company be provided by you electing the discontinuation of coverage pursuant to COBRA with the Company reimbursing you for COBRA premiums to the extent required so that your premium cost for the coverage in effect for you and your eligible dependents prior to the Separation Date is substantially the same as immediately prior to the Separation Date, and (b) if the Company determines, in its reasonable judgment, that providing medical, dental, and/or vision benefits in accordance with the preceding provisions of this Section 3(b) would result in a violation of applicable law, the imposition of any penalties under applicable law, or adverse tax consequences for participants covered by the Company’s medical, dental, and/or vision plans, the Company may terminate such coverage (or reimbursement) with respect to you and your eligible dependents and instead pay you taxable cash payments at the same time and in the same amounts as the Company would have been paid as premiums (or as COBRA premium reimbursements) to provide such coverage.</w:t>
      </w:r>
    </w:p>
    <w:p>
      <w:pPr>
        <w:spacing w:after="0" w:line="194" w:lineRule="exact"/>
        <w:rPr>
          <w:rFonts w:ascii="Times New Roman" w:cs="Times New Roman" w:eastAsia="Times New Roman" w:hAnsi="Times New Roman"/>
          <w:sz w:val="19"/>
          <w:szCs w:val="19"/>
          <w:color w:val="auto"/>
        </w:rPr>
      </w:pPr>
    </w:p>
    <w:p>
      <w:pPr>
        <w:jc w:val="both"/>
        <w:ind w:firstLine="629"/>
        <w:spacing w:after="0" w:line="238" w:lineRule="auto"/>
        <w:tabs>
          <w:tab w:leader="none" w:pos="1241" w:val="left"/>
        </w:tabs>
        <w:numPr>
          <w:ilvl w:val="1"/>
          <w:numId w:val="5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S</w:t>
      </w:r>
      <w:r>
        <w:rPr>
          <w:rFonts w:ascii="Times New Roman" w:cs="Times New Roman" w:eastAsia="Times New Roman" w:hAnsi="Times New Roman"/>
          <w:sz w:val="16"/>
          <w:szCs w:val="16"/>
          <w:b w:val="1"/>
          <w:bCs w:val="1"/>
          <w:color w:val="auto"/>
        </w:rPr>
        <w:t>TOCK</w:t>
      </w:r>
      <w:r>
        <w:rPr>
          <w:rFonts w:ascii="Times New Roman" w:cs="Times New Roman" w:eastAsia="Times New Roman" w:hAnsi="Times New Roman"/>
          <w:sz w:val="21"/>
          <w:szCs w:val="21"/>
          <w:b w:val="1"/>
          <w:bCs w:val="1"/>
          <w:color w:val="auto"/>
        </w:rPr>
        <w:t xml:space="preserve"> O</w:t>
      </w:r>
      <w:r>
        <w:rPr>
          <w:rFonts w:ascii="Times New Roman" w:cs="Times New Roman" w:eastAsia="Times New Roman" w:hAnsi="Times New Roman"/>
          <w:sz w:val="16"/>
          <w:szCs w:val="16"/>
          <w:b w:val="1"/>
          <w:bCs w:val="1"/>
          <w:color w:val="auto"/>
        </w:rPr>
        <w:t>PTIONS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Notwithstanding Section 5.05(c) of the Employment Agreement or in any applicable equity incentive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award plan or agreement, effective as of the Effective Date each stock option and restricted stock unit granted to you by the Company that is outstanding and not yet vested as of the Separation Date shall become vested with respect to 50% of the shares with respect to which the stock option or restricted stock unit is not vested as of the Separation Date (such vested and unvested stock options and restricted stock units after giving effect to such vesting, including stock options or restricted stock units that become vested during the Advisory Period (defined in Section 4(a) below), the “</w:t>
      </w:r>
      <w:r>
        <w:rPr>
          <w:rFonts w:ascii="Times New Roman" w:cs="Times New Roman" w:eastAsia="Times New Roman" w:hAnsi="Times New Roman"/>
          <w:sz w:val="21"/>
          <w:szCs w:val="21"/>
          <w:b w:val="1"/>
          <w:bCs w:val="1"/>
          <w:color w:val="auto"/>
        </w:rPr>
        <w:t>Separation Date Equity</w:t>
      </w:r>
      <w:r>
        <w:rPr>
          <w:rFonts w:ascii="Times New Roman" w:cs="Times New Roman" w:eastAsia="Times New Roman" w:hAnsi="Times New Roman"/>
          <w:sz w:val="21"/>
          <w:szCs w:val="21"/>
          <w:color w:val="auto"/>
        </w:rPr>
        <w:t>” and such vested and unvested stock options after giving effect to such vesting, including stock options that become vested during the Advisory Period (defined in Section 4(a) below), the “</w:t>
      </w:r>
      <w:r>
        <w:rPr>
          <w:rFonts w:ascii="Times New Roman" w:cs="Times New Roman" w:eastAsia="Times New Roman" w:hAnsi="Times New Roman"/>
          <w:sz w:val="21"/>
          <w:szCs w:val="21"/>
          <w:b w:val="1"/>
          <w:bCs w:val="1"/>
          <w:color w:val="auto"/>
        </w:rPr>
        <w:t>Separation Date Options</w:t>
      </w:r>
      <w:r>
        <w:rPr>
          <w:rFonts w:ascii="Times New Roman" w:cs="Times New Roman" w:eastAsia="Times New Roman" w:hAnsi="Times New Roman"/>
          <w:sz w:val="21"/>
          <w:szCs w:val="21"/>
          <w:color w:val="auto"/>
        </w:rPr>
        <w:t>”).</w:t>
      </w:r>
    </w:p>
    <w:p>
      <w:pPr>
        <w:spacing w:after="0" w:line="194" w:lineRule="exact"/>
        <w:rPr>
          <w:rFonts w:ascii="Times New Roman" w:cs="Times New Roman" w:eastAsia="Times New Roman" w:hAnsi="Times New Roman"/>
          <w:sz w:val="19"/>
          <w:szCs w:val="19"/>
          <w:color w:val="auto"/>
        </w:rPr>
      </w:pPr>
    </w:p>
    <w:p>
      <w:pPr>
        <w:ind w:firstLine="317"/>
        <w:spacing w:after="0" w:line="266" w:lineRule="auto"/>
        <w:tabs>
          <w:tab w:leader="none" w:pos="625"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 xml:space="preserve">Advisory Relationship. </w:t>
      </w:r>
      <w:r>
        <w:rPr>
          <w:rFonts w:ascii="Times New Roman" w:cs="Times New Roman" w:eastAsia="Times New Roman" w:hAnsi="Times New Roman"/>
          <w:sz w:val="21"/>
          <w:szCs w:val="21"/>
          <w:color w:val="auto"/>
        </w:rPr>
        <w:t>Although the Company has no obligation to do so, if you satisfy the Severance Preconditions, then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the Company will engage you as an advisor under the terms and conditions set forth in this Section.</w:t>
      </w:r>
    </w:p>
    <w:p>
      <w:pPr>
        <w:spacing w:after="0" w:line="154" w:lineRule="exact"/>
        <w:rPr>
          <w:rFonts w:ascii="Times New Roman" w:cs="Times New Roman" w:eastAsia="Times New Roman" w:hAnsi="Times New Roman"/>
          <w:sz w:val="19"/>
          <w:szCs w:val="19"/>
          <w:color w:val="auto"/>
        </w:rPr>
      </w:pPr>
    </w:p>
    <w:p>
      <w:pPr>
        <w:jc w:val="both"/>
        <w:ind w:firstLine="629"/>
        <w:spacing w:after="0" w:line="241" w:lineRule="auto"/>
        <w:tabs>
          <w:tab w:leader="none" w:pos="1241" w:val="left"/>
        </w:tabs>
        <w:numPr>
          <w:ilvl w:val="1"/>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 xml:space="preserve">Advisory Period. </w:t>
      </w:r>
      <w:r>
        <w:rPr>
          <w:rFonts w:ascii="Times New Roman" w:cs="Times New Roman" w:eastAsia="Times New Roman" w:hAnsi="Times New Roman"/>
          <w:sz w:val="21"/>
          <w:szCs w:val="21"/>
          <w:color w:val="auto"/>
        </w:rPr>
        <w:t>Your advisory engagement will begin on the Separation Date. If you do not timely (i.e., within 21</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days after you receive this Agreement) execute and return this Agreement to the Company, or you revoke it after you sign it, then your advisory engagement will end immediately upon the 30</w:t>
      </w:r>
      <w:r>
        <w:rPr>
          <w:rFonts w:ascii="Times New Roman" w:cs="Times New Roman" w:eastAsia="Times New Roman" w:hAnsi="Times New Roman"/>
          <w:sz w:val="11"/>
          <w:szCs w:val="11"/>
          <w:color w:val="auto"/>
        </w:rPr>
        <w:t>th</w:t>
      </w:r>
      <w:r>
        <w:rPr>
          <w:rFonts w:ascii="Times New Roman" w:cs="Times New Roman" w:eastAsia="Times New Roman" w:hAnsi="Times New Roman"/>
          <w:sz w:val="21"/>
          <w:szCs w:val="21"/>
          <w:color w:val="auto"/>
        </w:rPr>
        <w:t xml:space="preserve"> day after you receive this Agreement. However, if you timely sign and return this Agreement to the Company, and allow it to become effective, then the Company will continue your advisory engagement until February 28, 2030, unless</w:t>
      </w:r>
    </w:p>
    <w:p>
      <w:pPr>
        <w:sectPr>
          <w:pgSz w:w="11900" w:h="16838" w:orient="portrait"/>
          <w:cols w:equalWidth="0" w:num="1">
            <w:col w:w="11240"/>
          </w:cols>
          <w:pgMar w:left="320" w:top="1359" w:right="339" w:bottom="1440" w:gutter="0" w:footer="0" w:header="0"/>
        </w:sectPr>
      </w:pPr>
    </w:p>
    <w:bookmarkStart w:id="114" w:name="page115"/>
    <w:bookmarkEnd w:id="114"/>
    <w:p>
      <w:pPr>
        <w:spacing w:after="0" w:line="262" w:lineRule="auto"/>
        <w:rPr>
          <w:sz w:val="20"/>
          <w:szCs w:val="20"/>
          <w:color w:val="auto"/>
        </w:rPr>
      </w:pPr>
      <w:r>
        <w:rPr>
          <w:rFonts w:ascii="Times New Roman" w:cs="Times New Roman" w:eastAsia="Times New Roman" w:hAnsi="Times New Roman"/>
          <w:sz w:val="21"/>
          <w:szCs w:val="21"/>
          <w:color w:val="auto"/>
        </w:rPr>
        <w:t>earlier terminated pursuant to Paragraph 4(i) below or extended by the parties in writing. Your full advisory engagement will be referred to as the “</w:t>
      </w:r>
      <w:r>
        <w:rPr>
          <w:rFonts w:ascii="Times New Roman" w:cs="Times New Roman" w:eastAsia="Times New Roman" w:hAnsi="Times New Roman"/>
          <w:sz w:val="21"/>
          <w:szCs w:val="21"/>
          <w:b w:val="1"/>
          <w:bCs w:val="1"/>
          <w:color w:val="auto"/>
        </w:rPr>
        <w:t>Advisory Period</w:t>
      </w:r>
      <w:r>
        <w:rPr>
          <w:rFonts w:ascii="Times New Roman" w:cs="Times New Roman" w:eastAsia="Times New Roman" w:hAnsi="Times New Roman"/>
          <w:sz w:val="21"/>
          <w:szCs w:val="21"/>
          <w:color w:val="auto"/>
        </w:rPr>
        <w:t>”.</w:t>
      </w:r>
    </w:p>
    <w:p>
      <w:pPr>
        <w:spacing w:after="0" w:line="172" w:lineRule="exact"/>
        <w:rPr>
          <w:sz w:val="20"/>
          <w:szCs w:val="20"/>
          <w:color w:val="auto"/>
        </w:rPr>
      </w:pPr>
    </w:p>
    <w:p>
      <w:pPr>
        <w:jc w:val="both"/>
        <w:ind w:firstLine="629"/>
        <w:spacing w:after="0" w:line="236" w:lineRule="auto"/>
        <w:tabs>
          <w:tab w:leader="none" w:pos="1238"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b w:val="1"/>
          <w:bCs w:val="1"/>
          <w:color w:val="auto"/>
        </w:rPr>
        <w:t>Advisory Services</w:t>
      </w:r>
      <w:r>
        <w:rPr>
          <w:rFonts w:ascii="Times New Roman" w:cs="Times New Roman" w:eastAsia="Times New Roman" w:hAnsi="Times New Roman"/>
          <w:sz w:val="21"/>
          <w:szCs w:val="21"/>
          <w:color w:val="auto"/>
        </w:rPr>
        <w:t>. You agree to provide advisory services to the Company in any area of your expertise or relevant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skills, knowledge and experience with the Company, and/or as requested by the Company (the “</w:t>
      </w:r>
      <w:r>
        <w:rPr>
          <w:rFonts w:ascii="Times New Roman" w:cs="Times New Roman" w:eastAsia="Times New Roman" w:hAnsi="Times New Roman"/>
          <w:sz w:val="21"/>
          <w:szCs w:val="21"/>
          <w:b w:val="1"/>
          <w:bCs w:val="1"/>
          <w:color w:val="auto"/>
        </w:rPr>
        <w:t>Advisory Services</w:t>
      </w:r>
      <w:r>
        <w:rPr>
          <w:rFonts w:ascii="Times New Roman" w:cs="Times New Roman" w:eastAsia="Times New Roman" w:hAnsi="Times New Roman"/>
          <w:sz w:val="21"/>
          <w:szCs w:val="21"/>
          <w:color w:val="auto"/>
        </w:rPr>
        <w:t>”). You agree to make yourself available to provide the Advisory Services for up to four (4) hours per week on an as- needed basis during the Advisory Period. During the Advisory Period, you will report directly to the Company’s Board of Directors or their designee. You agree to exercise the highest degree of professionalism and utilize your expertise and creative talents in performing these services. You will not be required to report to the Company’s offices during the Advisory Period, except as specifically requested by the Company upon reasonable notice. When providing such services, you shall abide by the Company’s policies and procedures.</w:t>
      </w:r>
    </w:p>
    <w:p>
      <w:pPr>
        <w:spacing w:after="0" w:line="200" w:lineRule="exact"/>
        <w:rPr>
          <w:rFonts w:ascii="Times New Roman" w:cs="Times New Roman" w:eastAsia="Times New Roman" w:hAnsi="Times New Roman"/>
          <w:sz w:val="19"/>
          <w:szCs w:val="19"/>
          <w:color w:val="auto"/>
        </w:rPr>
      </w:pPr>
    </w:p>
    <w:p>
      <w:pPr>
        <w:jc w:val="both"/>
        <w:ind w:firstLine="629"/>
        <w:spacing w:after="0" w:line="235" w:lineRule="auto"/>
        <w:tabs>
          <w:tab w:leader="none" w:pos="124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Advisory Compensation</w:t>
      </w:r>
      <w:r>
        <w:rPr>
          <w:rFonts w:ascii="Times New Roman" w:cs="Times New Roman" w:eastAsia="Times New Roman" w:hAnsi="Times New Roman"/>
          <w:sz w:val="21"/>
          <w:szCs w:val="21"/>
          <w:color w:val="auto"/>
        </w:rPr>
        <w:t>. Notwithstanding Section 5.05(c) of the Employment Agreement or in any applicable equity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incentive award plan or agreement but subject to Paragraph 3(c), provided you shall not have revoked this Agreement, as sole compensation for the Advisory Services, you shall continue to vest during the Advisory Period in the portion the Separation Date Equity that is not vested as of the Separation Date ratably over the period remaining in the original vesting schedule of the Separation Date Equity, and your period of service during the Advisory Period shall be deemed to be continued employment with the Company for purposes of determining the period during which, after the end of the Advisory Period, you may exercise the Separation Date Options, meaning that your Separation Date Options will remain exercisable until the earlier of (i) ninety (90) days or three (3) months, as applicable, after the end of the Advisory Period (or twelve (12) months after the end of the Advisory Period if the Advisory Period ends due to your death or Disability), or (ii) the expiration of the original term of such Separation Date Options. You acknowledge and agree that the compensation set forth in this paragraph is sufficient consideration for the Advisory Services.</w:t>
      </w:r>
    </w:p>
    <w:p>
      <w:pPr>
        <w:spacing w:after="0" w:line="201" w:lineRule="exact"/>
        <w:rPr>
          <w:rFonts w:ascii="Times New Roman" w:cs="Times New Roman" w:eastAsia="Times New Roman" w:hAnsi="Times New Roman"/>
          <w:sz w:val="21"/>
          <w:szCs w:val="21"/>
          <w:color w:val="auto"/>
        </w:rPr>
      </w:pPr>
    </w:p>
    <w:p>
      <w:pPr>
        <w:jc w:val="both"/>
        <w:ind w:firstLine="629"/>
        <w:spacing w:after="0" w:line="239" w:lineRule="auto"/>
        <w:tabs>
          <w:tab w:leader="none" w:pos="1246"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Independent Contractor Status. </w:t>
      </w:r>
      <w:r>
        <w:rPr>
          <w:rFonts w:ascii="Times New Roman" w:cs="Times New Roman" w:eastAsia="Times New Roman" w:hAnsi="Times New Roman"/>
          <w:sz w:val="21"/>
          <w:szCs w:val="21"/>
          <w:color w:val="auto"/>
        </w:rPr>
        <w:t>Your relationship with the Company during the Advisory Period will be that of an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independent contractor, and nothing in this Agreement is intended to, or should be construed to, create a partnership, agency, joint venture or employment relationship after the Separation Date. You will not be entitled to any of the benefits which the Company may make available to its employees, including but not limited to, group health or life insurance, profit-sharing or retirement benefits, and you acknowledge and agree that your relationship with the Company during the Advisory Period will not be subject to the Fair Labor Standards Act or other laws or regulations governing employment relationships.</w:t>
      </w:r>
    </w:p>
    <w:p>
      <w:pPr>
        <w:spacing w:after="0" w:line="198" w:lineRule="exact"/>
        <w:rPr>
          <w:rFonts w:ascii="Times New Roman" w:cs="Times New Roman" w:eastAsia="Times New Roman" w:hAnsi="Times New Roman"/>
          <w:sz w:val="21"/>
          <w:szCs w:val="21"/>
          <w:color w:val="auto"/>
        </w:rPr>
      </w:pPr>
    </w:p>
    <w:p>
      <w:pPr>
        <w:jc w:val="both"/>
        <w:ind w:firstLine="629"/>
        <w:spacing w:after="0"/>
        <w:tabs>
          <w:tab w:leader="none" w:pos="1247"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Limitations on Authority. </w:t>
      </w:r>
      <w:r>
        <w:rPr>
          <w:rFonts w:ascii="Times New Roman" w:cs="Times New Roman" w:eastAsia="Times New Roman" w:hAnsi="Times New Roman"/>
          <w:sz w:val="21"/>
          <w:szCs w:val="21"/>
          <w:color w:val="auto"/>
        </w:rPr>
        <w:t>You will have no responsibilities or authority as an advisor to the Company other than as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provided above. You will have no authority to bind the Company to any contractual obligations, whether written, oral or implied, except with the Company’s express written authorization. You agree not to represent or purport to represent the Company in any manner whatsoever to any third party unless authorized by the Company, in writing, to do so.</w:t>
      </w:r>
    </w:p>
    <w:p>
      <w:pPr>
        <w:spacing w:after="0" w:line="193" w:lineRule="exact"/>
        <w:rPr>
          <w:rFonts w:ascii="Times New Roman" w:cs="Times New Roman" w:eastAsia="Times New Roman" w:hAnsi="Times New Roman"/>
          <w:sz w:val="21"/>
          <w:szCs w:val="21"/>
          <w:color w:val="auto"/>
        </w:rPr>
      </w:pPr>
    </w:p>
    <w:p>
      <w:pPr>
        <w:jc w:val="both"/>
        <w:ind w:firstLine="629"/>
        <w:spacing w:after="0" w:line="249" w:lineRule="auto"/>
        <w:tabs>
          <w:tab w:leader="none" w:pos="1250" w:val="left"/>
        </w:tabs>
        <w:numPr>
          <w:ilvl w:val="0"/>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Proprietary Information and Inventions. </w:t>
      </w:r>
      <w:r>
        <w:rPr>
          <w:rFonts w:ascii="Times New Roman" w:cs="Times New Roman" w:eastAsia="Times New Roman" w:hAnsi="Times New Roman"/>
          <w:sz w:val="21"/>
          <w:szCs w:val="21"/>
          <w:color w:val="auto"/>
        </w:rPr>
        <w:t>You agree that, during the Advisory Period and thereafter, you will not use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or disclose any confidential or proprietary information or materials of the Company, including any confidential or proprietary information that you obtain</w:t>
      </w:r>
    </w:p>
    <w:p>
      <w:pPr>
        <w:sectPr>
          <w:pgSz w:w="11900" w:h="16838" w:orient="portrait"/>
          <w:cols w:equalWidth="0" w:num="1">
            <w:col w:w="11240"/>
          </w:cols>
          <w:pgMar w:left="320" w:top="1362" w:right="339" w:bottom="1440" w:gutter="0" w:footer="0" w:header="0"/>
        </w:sectPr>
      </w:pPr>
    </w:p>
    <w:bookmarkStart w:id="115" w:name="page116"/>
    <w:bookmarkEnd w:id="115"/>
    <w:p>
      <w:pPr>
        <w:jc w:val="both"/>
        <w:spacing w:after="0" w:line="236" w:lineRule="auto"/>
        <w:rPr>
          <w:sz w:val="20"/>
          <w:szCs w:val="20"/>
          <w:color w:val="auto"/>
        </w:rPr>
      </w:pPr>
      <w:r>
        <w:rPr>
          <w:rFonts w:ascii="Times New Roman" w:cs="Times New Roman" w:eastAsia="Times New Roman" w:hAnsi="Times New Roman"/>
          <w:sz w:val="21"/>
          <w:szCs w:val="21"/>
          <w:color w:val="auto"/>
        </w:rPr>
        <w:t>or develop in the course of performing the Advisory Services. Notwithstanding the foregoing, pursuant to 18 U.S.C. Section 1833(b), you shall not be held criminally or civilly liable under any Federal or State trade secret law for the disclosure of a trade secret that: (1) is made in confidence to a Federal, State, or local government official, either directly or indirectly, or to an attorney, and solely for the purpose of reporting or investigating a suspected violation of law; or (2) is made in a complaint or other document filed in a lawsuit or other proceeding, if such filing is made under seal. Any and all work product you create in the course of performing the Advisory Services will be the sole and exclusive property of the Company. You hereby assign to the Company all right, title, and interest in all inventions, techniques, processes, materials, and other intellectual property developed in the course of performing the Advisory Services.</w:t>
      </w:r>
    </w:p>
    <w:p>
      <w:pPr>
        <w:spacing w:after="0" w:line="193" w:lineRule="exact"/>
        <w:rPr>
          <w:sz w:val="20"/>
          <w:szCs w:val="20"/>
          <w:color w:val="auto"/>
        </w:rPr>
      </w:pPr>
    </w:p>
    <w:p>
      <w:pPr>
        <w:jc w:val="both"/>
        <w:ind w:firstLine="629"/>
        <w:spacing w:after="0" w:line="249" w:lineRule="auto"/>
        <w:tabs>
          <w:tab w:leader="none" w:pos="124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Termination of Advisory Period. </w:t>
      </w:r>
      <w:r>
        <w:rPr>
          <w:rFonts w:ascii="Times New Roman" w:cs="Times New Roman" w:eastAsia="Times New Roman" w:hAnsi="Times New Roman"/>
          <w:sz w:val="21"/>
          <w:szCs w:val="21"/>
          <w:color w:val="auto"/>
        </w:rPr>
        <w:t>Without waiving any other rights or remedies, you and the Company may mutually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 to terminate the advisory relationship at any time and for any reason. Upon termination of the Advisory Period, all equity will cease vesting.</w:t>
      </w:r>
    </w:p>
    <w:p>
      <w:pPr>
        <w:spacing w:after="0" w:line="186" w:lineRule="exact"/>
        <w:rPr>
          <w:rFonts w:ascii="Times New Roman" w:cs="Times New Roman" w:eastAsia="Times New Roman" w:hAnsi="Times New Roman"/>
          <w:sz w:val="21"/>
          <w:szCs w:val="21"/>
          <w:color w:val="auto"/>
        </w:rPr>
      </w:pPr>
    </w:p>
    <w:p>
      <w:pPr>
        <w:jc w:val="both"/>
        <w:ind w:firstLine="629"/>
        <w:spacing w:after="0" w:line="235" w:lineRule="auto"/>
        <w:tabs>
          <w:tab w:leader="none" w:pos="124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Other Work Activities / Non-Competition. </w:t>
      </w:r>
      <w:r>
        <w:rPr>
          <w:rFonts w:ascii="Times New Roman" w:cs="Times New Roman" w:eastAsia="Times New Roman" w:hAnsi="Times New Roman"/>
          <w:sz w:val="21"/>
          <w:szCs w:val="21"/>
          <w:color w:val="auto"/>
        </w:rPr>
        <w:t>Throughout the Advisory Period, you retain the right to engage in</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employment, consulting, or other work relationships in addition to your work for the Company. In order to protect the trade secrets and confidential and proprietary information of the Company, you agree that, during the Advisory Period, you will not perform services for, or in any way manage, operate, join, control or be connected to as an employee, shareholder (other than as a shareholder of a publicly traded company), director, manager, member, consultant, adviser, volunteer, or partner to, any company that engages in a business that is researching or developing pharmaceutical products addressing any biological target that is the subject of the Company’s drug development efforts during the period of employment prior to the Separation Date (and in which your duties and authorities for such company involve work on any molecules that are structurally or functionally identical or similar to proprietary molecules developed by or under development by the Company during the period of employment prior to the Separation Date). You agree that ten (10) days prior to beginning any director, employment, consulting, or other work relationships with another company, you will notify the General Counsel of the Company in writing (which may be via email).</w:t>
      </w:r>
    </w:p>
    <w:p>
      <w:pPr>
        <w:spacing w:after="0" w:line="199" w:lineRule="exact"/>
        <w:rPr>
          <w:rFonts w:ascii="Times New Roman" w:cs="Times New Roman" w:eastAsia="Times New Roman" w:hAnsi="Times New Roman"/>
          <w:sz w:val="21"/>
          <w:szCs w:val="21"/>
          <w:color w:val="auto"/>
        </w:rPr>
      </w:pPr>
    </w:p>
    <w:p>
      <w:pPr>
        <w:jc w:val="both"/>
        <w:ind w:firstLine="629"/>
        <w:spacing w:after="0" w:line="235" w:lineRule="auto"/>
        <w:tabs>
          <w:tab w:leader="none" w:pos="1238"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Representations. </w:t>
      </w:r>
      <w:r>
        <w:rPr>
          <w:rFonts w:ascii="Times New Roman" w:cs="Times New Roman" w:eastAsia="Times New Roman" w:hAnsi="Times New Roman"/>
          <w:sz w:val="21"/>
          <w:szCs w:val="21"/>
          <w:color w:val="auto"/>
        </w:rPr>
        <w:t>You represent and warrant that you are self-employed in an independently established trade,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occupation, or business, maintain and operate a business that is separate and independent from the Company’s business, hold yourself out to the public as independently competent and available to provide applicable services similar to the Advisory Services, have obtained and/or expect to obtain clients or customers other than the Company for whom you will perform services, and will perform work for the Company that you understand is</w:t>
      </w:r>
    </w:p>
    <w:p>
      <w:pPr>
        <w:spacing w:after="0" w:line="4" w:lineRule="exact"/>
        <w:rPr>
          <w:rFonts w:ascii="Times New Roman" w:cs="Times New Roman" w:eastAsia="Times New Roman" w:hAnsi="Times New Roman"/>
          <w:sz w:val="21"/>
          <w:szCs w:val="21"/>
          <w:color w:val="auto"/>
        </w:rPr>
      </w:pPr>
    </w:p>
    <w:p>
      <w:pPr>
        <w:ind w:right="120"/>
        <w:spacing w:after="0" w:line="27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outside the usual course of the Company’s business. The Company will make reasonable arrangements to enable you to perform your work for the Company at such times and in such a manner so that it will not interfere with other activities in which you may engage.</w:t>
      </w:r>
    </w:p>
    <w:p>
      <w:pPr>
        <w:spacing w:after="0" w:line="159" w:lineRule="exact"/>
        <w:rPr>
          <w:rFonts w:ascii="Times New Roman" w:cs="Times New Roman" w:eastAsia="Times New Roman" w:hAnsi="Times New Roman"/>
          <w:sz w:val="21"/>
          <w:szCs w:val="21"/>
          <w:color w:val="auto"/>
        </w:rPr>
      </w:pPr>
    </w:p>
    <w:p>
      <w:pPr>
        <w:jc w:val="both"/>
        <w:ind w:firstLine="317"/>
        <w:spacing w:after="0" w:line="239" w:lineRule="auto"/>
        <w:tabs>
          <w:tab w:leader="none" w:pos="62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Other Compensation or Benefits. </w:t>
      </w:r>
      <w:r>
        <w:rPr>
          <w:rFonts w:ascii="Times New Roman" w:cs="Times New Roman" w:eastAsia="Times New Roman" w:hAnsi="Times New Roman"/>
          <w:sz w:val="21"/>
          <w:szCs w:val="21"/>
          <w:color w:val="auto"/>
        </w:rPr>
        <w:t>You acknowledge and agree that the benefits offered to you herein satisfy fully and exceed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any and all of the obligations the Company would have had to pay you severance benefits in connection with your employment termination, whether pursuant to the Employment Agreement between you and the Company or any other agreement, plan or policy. By executing this Agreement, you agree and acknowledge that the Company’s obligations to provide you any and all severance benefits (including without limitation under the Employment Agreement), compensation or other benefits, other than as set forth in this</w:t>
      </w:r>
    </w:p>
    <w:p>
      <w:pPr>
        <w:sectPr>
          <w:pgSz w:w="11900" w:h="16838" w:orient="portrait"/>
          <w:cols w:equalWidth="0" w:num="1">
            <w:col w:w="11240"/>
          </w:cols>
          <w:pgMar w:left="320" w:top="1362" w:right="339" w:bottom="1440" w:gutter="0" w:footer="0" w:header="0"/>
        </w:sectPr>
      </w:pPr>
    </w:p>
    <w:bookmarkStart w:id="116" w:name="page117"/>
    <w:bookmarkEnd w:id="116"/>
    <w:p>
      <w:pPr>
        <w:jc w:val="both"/>
        <w:spacing w:after="0" w:line="242" w:lineRule="auto"/>
        <w:rPr>
          <w:sz w:val="20"/>
          <w:szCs w:val="20"/>
          <w:color w:val="auto"/>
        </w:rPr>
      </w:pPr>
      <w:r>
        <w:rPr>
          <w:rFonts w:ascii="Times New Roman" w:cs="Times New Roman" w:eastAsia="Times New Roman" w:hAnsi="Times New Roman"/>
          <w:sz w:val="21"/>
          <w:szCs w:val="21"/>
          <w:color w:val="auto"/>
        </w:rPr>
        <w:t>Agreement, are hereby extinguished. You further acknowledge that, except as expressly provided in this Agreement, you have not earned and will not receive from the Company any additional compensation (including base salary, bonus, incentive compensation, or equity), severance, or benefits before or after the Separation Date, with the exception of any vested right you may have under the express terms of a written ERISA-qualified benefit plan (e.g., 401(k) account) or any vested stock options.</w:t>
      </w:r>
    </w:p>
    <w:p>
      <w:pPr>
        <w:spacing w:after="0" w:line="194" w:lineRule="exact"/>
        <w:rPr>
          <w:sz w:val="20"/>
          <w:szCs w:val="20"/>
          <w:color w:val="auto"/>
        </w:rPr>
      </w:pPr>
    </w:p>
    <w:p>
      <w:pPr>
        <w:jc w:val="both"/>
        <w:ind w:firstLine="317"/>
        <w:spacing w:after="0" w:line="238" w:lineRule="auto"/>
        <w:tabs>
          <w:tab w:leader="none" w:pos="625"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Expense Reimbursements. </w:t>
      </w:r>
      <w:r>
        <w:rPr>
          <w:rFonts w:ascii="Times New Roman" w:cs="Times New Roman" w:eastAsia="Times New Roman" w:hAnsi="Times New Roman"/>
          <w:sz w:val="21"/>
          <w:szCs w:val="21"/>
          <w:color w:val="auto"/>
        </w:rPr>
        <w:t>You agree that, within thirty (30) days after the Separation Date, you will submit your final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documented expense reimbursement statement reflecting all business expenses you incurred through the Separation Date, if any, for which you seek reimbursement. The Company also agrees to reimburse you for up to $10,000 of your reasonable and documented legal fees incurred in connection with negotiating and documenting this Agreement and any related agreements. The Company will reimburse you for these expenses pursuant to its regular business practice.</w:t>
      </w:r>
    </w:p>
    <w:p>
      <w:pPr>
        <w:spacing w:after="0" w:line="196" w:lineRule="exact"/>
        <w:rPr>
          <w:rFonts w:ascii="Times New Roman" w:cs="Times New Roman" w:eastAsia="Times New Roman" w:hAnsi="Times New Roman"/>
          <w:sz w:val="21"/>
          <w:szCs w:val="21"/>
          <w:color w:val="auto"/>
        </w:rPr>
      </w:pPr>
    </w:p>
    <w:p>
      <w:pPr>
        <w:ind w:left="620" w:hanging="303"/>
        <w:spacing w:after="0"/>
        <w:tabs>
          <w:tab w:leader="none" w:pos="6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Release of Claims.</w:t>
      </w:r>
    </w:p>
    <w:p>
      <w:pPr>
        <w:spacing w:after="0" w:line="227" w:lineRule="exact"/>
        <w:rPr>
          <w:rFonts w:ascii="Times New Roman" w:cs="Times New Roman" w:eastAsia="Times New Roman" w:hAnsi="Times New Roman"/>
          <w:sz w:val="21"/>
          <w:szCs w:val="21"/>
          <w:color w:val="auto"/>
        </w:rPr>
      </w:pPr>
    </w:p>
    <w:p>
      <w:pPr>
        <w:jc w:val="both"/>
        <w:ind w:firstLine="629"/>
        <w:spacing w:after="0" w:line="239" w:lineRule="auto"/>
        <w:tabs>
          <w:tab w:leader="none" w:pos="1247"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General Release of Claims</w:t>
      </w:r>
      <w:r>
        <w:rPr>
          <w:rFonts w:ascii="Times New Roman" w:cs="Times New Roman" w:eastAsia="Times New Roman" w:hAnsi="Times New Roman"/>
          <w:sz w:val="21"/>
          <w:szCs w:val="21"/>
          <w:color w:val="auto"/>
        </w:rPr>
        <w:t>. In exchange for the consideration provided to you under this Agreement to which you</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would not otherwise be entitled, you hereby generally and completely release the Company, and its affiliated, related, parent and subsidiary entities, and its and their current and former directors, officers, employees, shareholders, partners, agents, attorneys, predecessors, successors, insurers, affiliates, and assigns from any and all claims, liabilities, demands, causes of action, and obligations, both known and unknown, arising from or in any way related to events, acts, conduct, or omissions occurring at any time prior to and including the date you sign this Agreement.</w:t>
      </w:r>
    </w:p>
    <w:p>
      <w:pPr>
        <w:spacing w:after="0" w:line="198" w:lineRule="exact"/>
        <w:rPr>
          <w:rFonts w:ascii="Times New Roman" w:cs="Times New Roman" w:eastAsia="Times New Roman" w:hAnsi="Times New Roman"/>
          <w:sz w:val="21"/>
          <w:szCs w:val="21"/>
          <w:color w:val="auto"/>
        </w:rPr>
      </w:pPr>
    </w:p>
    <w:p>
      <w:pPr>
        <w:jc w:val="both"/>
        <w:ind w:firstLine="629"/>
        <w:spacing w:after="0" w:line="235" w:lineRule="auto"/>
        <w:tabs>
          <w:tab w:leader="none" w:pos="1246"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Scope of Release</w:t>
      </w:r>
      <w:r>
        <w:rPr>
          <w:rFonts w:ascii="Times New Roman" w:cs="Times New Roman" w:eastAsia="Times New Roman" w:hAnsi="Times New Roman"/>
          <w:sz w:val="21"/>
          <w:szCs w:val="21"/>
          <w:color w:val="auto"/>
        </w:rPr>
        <w:t>. This general release includes, but is not limited to: (i) all claims arising from or in any way related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your employment with the Company or the termination of that employment; (ii) all claims related to your compensation or benefits from the Company, including salary, bonuses, commissions, vacation pay, expense reimbursements, severance pay, fringe benefits, stock, stock options, or any other ownership, equity, or profits interests in the Company; (iii) all claims for breach of contract, wrongful termination, and breach of the implied covenant of good faith and fair dealing; (iv) all tort claims, including claims for fraud, defamation, emotional distress, and discharge in violation of public policy; and (v) all federal, state, and local statutory claims, including claims for discrimination, harassment, retaliation, attorneys’ fees, or other claims arising under the federal Civil Rights Act of 1964 (as amended), the federal Americans with Disabilities Act of 1990, the Age Discrimination in Employment Act (“</w:t>
      </w:r>
      <w:r>
        <w:rPr>
          <w:rFonts w:ascii="Times New Roman" w:cs="Times New Roman" w:eastAsia="Times New Roman" w:hAnsi="Times New Roman"/>
          <w:sz w:val="21"/>
          <w:szCs w:val="21"/>
          <w:b w:val="1"/>
          <w:bCs w:val="1"/>
          <w:color w:val="auto"/>
        </w:rPr>
        <w:t>ADEA</w:t>
      </w:r>
      <w:r>
        <w:rPr>
          <w:rFonts w:ascii="Times New Roman" w:cs="Times New Roman" w:eastAsia="Times New Roman" w:hAnsi="Times New Roman"/>
          <w:sz w:val="21"/>
          <w:szCs w:val="21"/>
          <w:color w:val="auto"/>
        </w:rPr>
        <w:t>”), the Fair Employment Practice Act of Maryland, the Maryland False Claims Act, the Maryland Parental Leave Act, and the Maryland Healthy Working Families Act.</w:t>
      </w:r>
    </w:p>
    <w:p>
      <w:pPr>
        <w:spacing w:after="0" w:line="201" w:lineRule="exact"/>
        <w:rPr>
          <w:rFonts w:ascii="Times New Roman" w:cs="Times New Roman" w:eastAsia="Times New Roman" w:hAnsi="Times New Roman"/>
          <w:sz w:val="21"/>
          <w:szCs w:val="21"/>
          <w:color w:val="auto"/>
        </w:rPr>
      </w:pPr>
    </w:p>
    <w:p>
      <w:pPr>
        <w:jc w:val="both"/>
        <w:ind w:firstLine="629"/>
        <w:spacing w:after="0" w:line="238" w:lineRule="auto"/>
        <w:tabs>
          <w:tab w:leader="none" w:pos="1247" w:val="left"/>
        </w:tabs>
        <w:numPr>
          <w:ilvl w:val="1"/>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ADEA Release</w:t>
      </w:r>
      <w:r>
        <w:rPr>
          <w:rFonts w:ascii="Times New Roman" w:cs="Times New Roman" w:eastAsia="Times New Roman" w:hAnsi="Times New Roman"/>
          <w:sz w:val="21"/>
          <w:szCs w:val="21"/>
          <w:color w:val="auto"/>
        </w:rPr>
        <w:t>. You acknowledge that you are knowingly and voluntarily waiving and releasing any rights you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have under the ADEA, and that the consideration given for the waiver and releases you have given in this Agreement is in addition to anything of value to which you were already entitled. You further acknowledge that you have been advised, as required by the ADEA, that: (i) your waiver and release does not apply to any rights or claims arising after the date you sign this Agreement; (ii) you should consult with an attorney prior to signing this Agreement (although you may choose voluntarily not to do so); (iii) you have</w:t>
      </w:r>
    </w:p>
    <w:p>
      <w:pPr>
        <w:sectPr>
          <w:pgSz w:w="11900" w:h="16838" w:orient="portrait"/>
          <w:cols w:equalWidth="0" w:num="1">
            <w:col w:w="11240"/>
          </w:cols>
          <w:pgMar w:left="320" w:top="1362" w:right="339" w:bottom="1440" w:gutter="0" w:footer="0" w:header="0"/>
        </w:sectPr>
      </w:pPr>
    </w:p>
    <w:bookmarkStart w:id="117" w:name="page118"/>
    <w:bookmarkEnd w:id="117"/>
    <w:p>
      <w:pPr>
        <w:jc w:val="both"/>
        <w:spacing w:after="0" w:line="242" w:lineRule="auto"/>
        <w:rPr>
          <w:sz w:val="20"/>
          <w:szCs w:val="20"/>
          <w:color w:val="auto"/>
        </w:rPr>
      </w:pPr>
      <w:r>
        <w:rPr>
          <w:rFonts w:ascii="Times New Roman" w:cs="Times New Roman" w:eastAsia="Times New Roman" w:hAnsi="Times New Roman"/>
          <w:sz w:val="21"/>
          <w:szCs w:val="21"/>
          <w:color w:val="auto"/>
        </w:rPr>
        <w:t>twenty-one (21) days to consider this Agreement (although you may choose voluntarily to sign it sooner); (iv) you have seven (7) days following the date you sign this Agreement to revoke this Agreement (in a written revocation sent to the Company); and (v) this Agreement will not be effective until the date upon which the revocation period has expired, which will be the eighth day after you sign this Agreement provided that you do not revoke it (the “</w:t>
      </w:r>
      <w:r>
        <w:rPr>
          <w:rFonts w:ascii="Times New Roman" w:cs="Times New Roman" w:eastAsia="Times New Roman" w:hAnsi="Times New Roman"/>
          <w:sz w:val="21"/>
          <w:szCs w:val="21"/>
          <w:b w:val="1"/>
          <w:bCs w:val="1"/>
          <w:color w:val="auto"/>
        </w:rPr>
        <w:t>Effective Date</w:t>
      </w:r>
      <w:r>
        <w:rPr>
          <w:rFonts w:ascii="Times New Roman" w:cs="Times New Roman" w:eastAsia="Times New Roman" w:hAnsi="Times New Roman"/>
          <w:sz w:val="21"/>
          <w:szCs w:val="21"/>
          <w:color w:val="auto"/>
        </w:rPr>
        <w:t>”).</w:t>
      </w:r>
    </w:p>
    <w:p>
      <w:pPr>
        <w:spacing w:after="0" w:line="194" w:lineRule="exact"/>
        <w:rPr>
          <w:sz w:val="20"/>
          <w:szCs w:val="20"/>
          <w:color w:val="auto"/>
        </w:rPr>
      </w:pPr>
    </w:p>
    <w:p>
      <w:pPr>
        <w:jc w:val="both"/>
        <w:ind w:firstLine="629"/>
        <w:spacing w:after="0" w:line="238" w:lineRule="auto"/>
        <w:tabs>
          <w:tab w:leader="none" w:pos="1246"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Waiver of Unknown Claims</w:t>
      </w:r>
      <w:r>
        <w:rPr>
          <w:rFonts w:ascii="Times New Roman" w:cs="Times New Roman" w:eastAsia="Times New Roman" w:hAnsi="Times New Roman"/>
          <w:sz w:val="21"/>
          <w:szCs w:val="21"/>
          <w:color w:val="auto"/>
        </w:rPr>
        <w:t>. YOU UNDERSTAND THAT THIS AGREEMENT INCLUDES A RELEASE OF ALL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KNOWN AND UNKNOWN CLAIMS, EVEN THOSE UNKNOWN CLAIMS THAT, IF KNOWN BY YOU, WOULD AFFECT YOUR DECISION TO ACCEPT THIS AGREEMENT. In giving the releases set forth in this Agreement, which include claims which may be unknown to you at present, you hereby expressly waive and relinquish all rights and benefits under any law of any jurisdiction with respect to your release of any unknown or unsuspected claims herein.</w:t>
      </w:r>
    </w:p>
    <w:p>
      <w:pPr>
        <w:spacing w:after="0" w:line="196" w:lineRule="exact"/>
        <w:rPr>
          <w:rFonts w:ascii="Times New Roman" w:cs="Times New Roman" w:eastAsia="Times New Roman" w:hAnsi="Times New Roman"/>
          <w:sz w:val="21"/>
          <w:szCs w:val="21"/>
          <w:color w:val="auto"/>
        </w:rPr>
      </w:pPr>
    </w:p>
    <w:p>
      <w:pPr>
        <w:jc w:val="both"/>
        <w:ind w:firstLine="629"/>
        <w:spacing w:after="0" w:line="241" w:lineRule="auto"/>
        <w:tabs>
          <w:tab w:leader="none" w:pos="1247" w:val="left"/>
        </w:tabs>
        <w:numPr>
          <w:ilvl w:val="1"/>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Exceptions</w:t>
      </w:r>
      <w:r>
        <w:rPr>
          <w:rFonts w:ascii="Times New Roman" w:cs="Times New Roman" w:eastAsia="Times New Roman" w:hAnsi="Times New Roman"/>
          <w:sz w:val="21"/>
          <w:szCs w:val="21"/>
          <w:color w:val="auto"/>
        </w:rPr>
        <w:t>. Notwithstanding the foregoing, you are not releasing the Company hereby from: (i) any obligation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indemnify you pursuant to the Articles and Bylaws of the Company, any valid fully executed indemnification agreement with the Company, applicable law, or applicable directors and officers liability insurance, including but not limited to any tail coverage that is applicable to active directors and officers of the Company; (ii) any claims that cannot be waived by law; (iii) any rights you have to file or pursue a claim for workers’ compensation or unemployment insurance; or (iv) any claims for breach of this Agreement.</w:t>
      </w:r>
    </w:p>
    <w:p>
      <w:pPr>
        <w:spacing w:after="0" w:line="194" w:lineRule="exact"/>
        <w:rPr>
          <w:rFonts w:ascii="Times New Roman" w:cs="Times New Roman" w:eastAsia="Times New Roman" w:hAnsi="Times New Roman"/>
          <w:sz w:val="21"/>
          <w:szCs w:val="21"/>
          <w:color w:val="auto"/>
        </w:rPr>
      </w:pPr>
    </w:p>
    <w:p>
      <w:pPr>
        <w:jc w:val="both"/>
        <w:ind w:firstLine="629"/>
        <w:spacing w:after="0" w:line="248" w:lineRule="auto"/>
        <w:tabs>
          <w:tab w:leader="none" w:pos="1250" w:val="left"/>
        </w:tabs>
        <w:numPr>
          <w:ilvl w:val="1"/>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Protected Rights. </w:t>
      </w:r>
      <w:r>
        <w:rPr>
          <w:rFonts w:ascii="Times New Roman" w:cs="Times New Roman" w:eastAsia="Times New Roman" w:hAnsi="Times New Roman"/>
          <w:sz w:val="20"/>
          <w:szCs w:val="20"/>
          <w:color w:val="auto"/>
        </w:rPr>
        <w:t>You understand that nothing in this Agreement limits your ability to file a charge or complaint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Equal Employment Opportunity Commission, the Department of Labor, the National Labor Relations Board, the Occupational Safety and Health Administration, the Securities and Exchange Commission or any other federal, state or local governmental agency or commission (“</w:t>
      </w:r>
      <w:r>
        <w:rPr>
          <w:rFonts w:ascii="Times New Roman" w:cs="Times New Roman" w:eastAsia="Times New Roman" w:hAnsi="Times New Roman"/>
          <w:sz w:val="20"/>
          <w:szCs w:val="20"/>
          <w:b w:val="1"/>
          <w:bCs w:val="1"/>
          <w:color w:val="auto"/>
        </w:rPr>
        <w:t>Government Agencies</w:t>
      </w:r>
      <w:r>
        <w:rPr>
          <w:rFonts w:ascii="Times New Roman" w:cs="Times New Roman" w:eastAsia="Times New Roman" w:hAnsi="Times New Roman"/>
          <w:sz w:val="20"/>
          <w:szCs w:val="20"/>
          <w:color w:val="auto"/>
        </w:rPr>
        <w:t>”). You further understand this Agreement does not limit your ability to communicate with any Government Agencies or otherwise participate in any investigation or proceeding that may be conducted by any Government Agency, including providing documents or other information, without notice to the Company. While this Agreement does not limit your right to receive an award for information provided to the Securities and Exchange Commission, you understand and agree that, to maximum extent permitted by law, you are otherwise waiving any and all rights you may have to individual relief based on any claims that you have released and any rights you have waived by signing this Agreement. Furthermore, nothing in this Agreement waives any rights you may have under Section 7 of the National Labor Relations Act (subject to the release of claims set forth herein).</w:t>
      </w:r>
    </w:p>
    <w:p>
      <w:pPr>
        <w:spacing w:after="0" w:line="189" w:lineRule="exact"/>
        <w:rPr>
          <w:rFonts w:ascii="Times New Roman" w:cs="Times New Roman" w:eastAsia="Times New Roman" w:hAnsi="Times New Roman"/>
          <w:sz w:val="20"/>
          <w:szCs w:val="20"/>
          <w:color w:val="auto"/>
        </w:rPr>
      </w:pPr>
    </w:p>
    <w:p>
      <w:pPr>
        <w:jc w:val="both"/>
        <w:ind w:firstLine="317"/>
        <w:spacing w:after="0" w:line="236" w:lineRule="auto"/>
        <w:tabs>
          <w:tab w:leader="none" w:pos="625"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RETURN OF COMPANY PROPERTY</w:t>
      </w:r>
      <w:r>
        <w:rPr>
          <w:rFonts w:ascii="Times New Roman" w:cs="Times New Roman" w:eastAsia="Times New Roman" w:hAnsi="Times New Roman"/>
          <w:sz w:val="21"/>
          <w:szCs w:val="21"/>
          <w:color w:val="auto"/>
        </w:rPr>
        <w:t>. You agree that within ten (10) business days after the Separation Date, you will</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return to the Company all Company documents (and all copies thereof) and other Company property in your possession or control, including, but not limited to, Company files, notes, drawings, records, plans, forecasts, reports, studies, analyses, proposals, agreements, drafts, financial and operational information, research and development information, Company account and device login and password information, sales and marketing information, customer lists, prospect information, pipeline reports, sales reports, personnel information, specifications, code, software, databases, computer-recorded information, tangible property and equipment (including, but not limited to, computing and electronic devices, mobile telephones, servers), credit cards, entry cards, identification badges and keys; and any materials</w:t>
      </w:r>
    </w:p>
    <w:p>
      <w:pPr>
        <w:sectPr>
          <w:pgSz w:w="11900" w:h="16838" w:orient="portrait"/>
          <w:cols w:equalWidth="0" w:num="1">
            <w:col w:w="11240"/>
          </w:cols>
          <w:pgMar w:left="320" w:top="1362" w:right="339" w:bottom="1440" w:gutter="0" w:footer="0" w:header="0"/>
        </w:sectPr>
      </w:pPr>
    </w:p>
    <w:bookmarkStart w:id="118" w:name="page119"/>
    <w:bookmarkEnd w:id="118"/>
    <w:p>
      <w:pPr>
        <w:jc w:val="both"/>
        <w:spacing w:after="0" w:line="234" w:lineRule="auto"/>
        <w:rPr>
          <w:sz w:val="20"/>
          <w:szCs w:val="20"/>
          <w:color w:val="auto"/>
        </w:rPr>
      </w:pPr>
      <w:r>
        <w:rPr>
          <w:rFonts w:ascii="Times New Roman" w:cs="Times New Roman" w:eastAsia="Times New Roman" w:hAnsi="Times New Roman"/>
          <w:sz w:val="21"/>
          <w:szCs w:val="21"/>
          <w:color w:val="auto"/>
        </w:rPr>
        <w:t xml:space="preserve">of any kind which contain or embody any proprietary or confidential information of the Company (and all reproductions or embodiments thereof in whole or in part). You agree that you will make a diligent search to locate any such documents, property and information by the close of business on the Separation Date or as soon as possible thereafter. It is agreed that you may retain your laptop, iPad, phones (including phone numbers), printer, and any related peripherals; provided that the Company shall remove any confidential information that is not being utilized for your Advisory Services. If you have used any personally owned computer or other electronic device, server, or e-mail system to receive, store, review, prepare or transmit any Company confidential or proprietary data, materials or information, within ten (10) business days after the Separation Date, you shall provide the Company with a computer-useable copy of such information and then permanently delete and expunge such Company confidential or proprietary information from those systems; and you agree to provide the Company access to your system as requested to verify that the necessary copying and/or deletion is completed. </w:t>
      </w:r>
      <w:r>
        <w:rPr>
          <w:rFonts w:ascii="Times New Roman" w:cs="Times New Roman" w:eastAsia="Times New Roman" w:hAnsi="Times New Roman"/>
          <w:sz w:val="21"/>
          <w:szCs w:val="21"/>
          <w:b w:val="1"/>
          <w:bCs w:val="1"/>
          <w:color w:val="auto"/>
        </w:rPr>
        <w:t>Your timely compliance with this paragraph is a condition to your receipt of the severance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b w:val="1"/>
          <w:bCs w:val="1"/>
          <w:color w:val="auto"/>
        </w:rPr>
        <w:t xml:space="preserve">benefits provided under this Agreement. </w:t>
      </w:r>
      <w:r>
        <w:rPr>
          <w:rFonts w:ascii="Times New Roman" w:cs="Times New Roman" w:eastAsia="Times New Roman" w:hAnsi="Times New Roman"/>
          <w:sz w:val="21"/>
          <w:szCs w:val="21"/>
          <w:color w:val="auto"/>
        </w:rPr>
        <w:t>Following your return of Company property pursuant to this section, the Company may</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permit you to receive and/or use certain documents and/or information reasonably necessary to perform the Advisory Services, all of which you shall return to the Company by the last day of the Advisory Period, or earlier upon the Company’s request, without retaining any copies or embodiments (in whole or in part).</w:t>
      </w:r>
    </w:p>
    <w:p>
      <w:pPr>
        <w:spacing w:after="0" w:line="203" w:lineRule="exact"/>
        <w:rPr>
          <w:sz w:val="20"/>
          <w:szCs w:val="20"/>
          <w:color w:val="auto"/>
        </w:rPr>
      </w:pPr>
    </w:p>
    <w:p>
      <w:pPr>
        <w:jc w:val="both"/>
        <w:ind w:firstLine="317"/>
        <w:spacing w:after="0" w:line="249" w:lineRule="auto"/>
        <w:tabs>
          <w:tab w:leader="none" w:pos="62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Confidential Information Obligations</w:t>
      </w:r>
      <w:r>
        <w:rPr>
          <w:rFonts w:ascii="Times New Roman" w:cs="Times New Roman" w:eastAsia="Times New Roman" w:hAnsi="Times New Roman"/>
          <w:sz w:val="21"/>
          <w:szCs w:val="21"/>
          <w:color w:val="auto"/>
        </w:rPr>
        <w:t>. You acknowledge and reaffirm your continuing obligations under the Employment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including without limitation Section 6 (Promises and Covenants Regarding Confidential Information and Goodwill; Inventions and Assignment; Restrictive Covenants).</w:t>
      </w:r>
    </w:p>
    <w:p>
      <w:pPr>
        <w:spacing w:after="0" w:line="173" w:lineRule="exact"/>
        <w:rPr>
          <w:rFonts w:ascii="Times New Roman" w:cs="Times New Roman" w:eastAsia="Times New Roman" w:hAnsi="Times New Roman"/>
          <w:sz w:val="21"/>
          <w:szCs w:val="21"/>
          <w:color w:val="auto"/>
        </w:rPr>
      </w:pPr>
    </w:p>
    <w:p>
      <w:pPr>
        <w:jc w:val="both"/>
        <w:ind w:firstLine="317"/>
        <w:spacing w:after="0" w:line="237" w:lineRule="auto"/>
        <w:tabs>
          <w:tab w:leader="none" w:pos="62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Mutual Non-disparagement. </w:t>
      </w:r>
      <w:r>
        <w:rPr>
          <w:rFonts w:ascii="Times New Roman" w:cs="Times New Roman" w:eastAsia="Times New Roman" w:hAnsi="Times New Roman"/>
          <w:sz w:val="21"/>
          <w:szCs w:val="21"/>
          <w:color w:val="auto"/>
        </w:rPr>
        <w:t>Except to the extent permitted by the Protected Rights Section above, you agree not to</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disparage the Company, its officers, directors, employees, shareholders, parents, subsidiaries, affiliates, and agents, in any manner likely to be harmful to its or their business, business reputation, or personal reputation; provided that you may respond accurately and fully to any request for information if required by legal process or in connection with a government investigation. In addition, nothing in this provision or this Agreement prohibits or restrains you from making disclosures protected under the whistleblower provisions of federal or state law or from exercising your rights to engage in protected speech under Section 7 of the National Labor Relations Act, if applicable. The Company will instruct members of the Board and executive officers of the Company not to disparage you in any manner that is likely to be harmful to your business reputation or personal reputation; provided that the Company will instruct such individuals that they may respond accurately and fully to any request for information if required by legal process or in connection with a government investigation.</w:t>
      </w:r>
    </w:p>
    <w:p>
      <w:pPr>
        <w:spacing w:after="0" w:line="181" w:lineRule="exact"/>
        <w:rPr>
          <w:rFonts w:ascii="Times New Roman" w:cs="Times New Roman" w:eastAsia="Times New Roman" w:hAnsi="Times New Roman"/>
          <w:sz w:val="21"/>
          <w:szCs w:val="21"/>
          <w:color w:val="auto"/>
        </w:rPr>
      </w:pPr>
    </w:p>
    <w:p>
      <w:pPr>
        <w:jc w:val="both"/>
        <w:ind w:firstLine="317"/>
        <w:spacing w:after="0" w:line="244" w:lineRule="auto"/>
        <w:tabs>
          <w:tab w:leader="none" w:pos="617"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 Voluntary Adverse Action. </w:t>
      </w:r>
      <w:r>
        <w:rPr>
          <w:rFonts w:ascii="Times New Roman" w:cs="Times New Roman" w:eastAsia="Times New Roman" w:hAnsi="Times New Roman"/>
          <w:sz w:val="21"/>
          <w:szCs w:val="21"/>
          <w:color w:val="auto"/>
        </w:rPr>
        <w:t>You agree that you will not voluntarily (except in response to legal compulsion or as permitted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under the section of this Agreement entitled “Protected Rights”) assist any person in bringing or pursuing any proposed or pending litigation, arbitration, administrative claim or other formal proceeding against the Company, its parent or subsidiary entities, affiliates, officers, directors, employees or agents.</w:t>
      </w:r>
    </w:p>
    <w:p>
      <w:pPr>
        <w:spacing w:after="0" w:line="190" w:lineRule="exact"/>
        <w:rPr>
          <w:rFonts w:ascii="Times New Roman" w:cs="Times New Roman" w:eastAsia="Times New Roman" w:hAnsi="Times New Roman"/>
          <w:sz w:val="21"/>
          <w:szCs w:val="21"/>
          <w:color w:val="auto"/>
        </w:rPr>
      </w:pPr>
    </w:p>
    <w:p>
      <w:pPr>
        <w:jc w:val="both"/>
        <w:ind w:firstLine="317"/>
        <w:spacing w:after="0" w:line="249" w:lineRule="auto"/>
        <w:tabs>
          <w:tab w:leader="none" w:pos="625"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COOPERATION. </w:t>
      </w:r>
      <w:r>
        <w:rPr>
          <w:rFonts w:ascii="Times New Roman" w:cs="Times New Roman" w:eastAsia="Times New Roman" w:hAnsi="Times New Roman"/>
          <w:sz w:val="21"/>
          <w:szCs w:val="21"/>
          <w:color w:val="auto"/>
        </w:rPr>
        <w:t>You agree to cooperate fully with the Company in connection with its actual or contemplated defense,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prosecution, or investigation of any claims or demands by or against third parties, or other matters arising from events, acts, or failures to act that occurred</w:t>
      </w:r>
    </w:p>
    <w:p>
      <w:pPr>
        <w:sectPr>
          <w:pgSz w:w="11900" w:h="16838" w:orient="portrait"/>
          <w:cols w:equalWidth="0" w:num="1">
            <w:col w:w="11240"/>
          </w:cols>
          <w:pgMar w:left="320" w:top="1362" w:right="339" w:bottom="1440" w:gutter="0" w:footer="0" w:header="0"/>
        </w:sectPr>
      </w:pPr>
    </w:p>
    <w:bookmarkStart w:id="119" w:name="page120"/>
    <w:bookmarkEnd w:id="119"/>
    <w:p>
      <w:pPr>
        <w:jc w:val="both"/>
        <w:spacing w:after="0" w:line="239" w:lineRule="auto"/>
        <w:rPr>
          <w:sz w:val="20"/>
          <w:szCs w:val="20"/>
          <w:color w:val="auto"/>
        </w:rPr>
      </w:pPr>
      <w:r>
        <w:rPr>
          <w:rFonts w:ascii="Times New Roman" w:cs="Times New Roman" w:eastAsia="Times New Roman" w:hAnsi="Times New Roman"/>
          <w:sz w:val="21"/>
          <w:szCs w:val="21"/>
          <w:color w:val="auto"/>
        </w:rPr>
        <w:t>during the period of your employment by the Company. Such cooperation includes, without limitation, making yourself available to the Company upon reasonable notice, without subpoena, to provide complete, truthful and accurate information in witness interviews, depositions, and trial testimony. The Company will reimburse you for reasonable out-of-pocket expenses you incur in connection with any such cooperation (excluding foregone wages) and will make reasonable efforts to accommodate your scheduling needs. For requests requiring significant investment of time, as determined in good faith by the parties, the Company agrees to negotiate a reasonable hourly rate with you for your time spent on such significant requests.</w:t>
      </w:r>
    </w:p>
    <w:p>
      <w:pPr>
        <w:spacing w:after="0" w:line="181" w:lineRule="exact"/>
        <w:rPr>
          <w:sz w:val="20"/>
          <w:szCs w:val="20"/>
          <w:color w:val="auto"/>
        </w:rPr>
      </w:pPr>
    </w:p>
    <w:p>
      <w:pPr>
        <w:jc w:val="both"/>
        <w:ind w:firstLine="317"/>
        <w:spacing w:after="0" w:line="249" w:lineRule="auto"/>
        <w:tabs>
          <w:tab w:leader="none" w:pos="62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NO ADMISSIONS. </w:t>
      </w:r>
      <w:r>
        <w:rPr>
          <w:rFonts w:ascii="Times New Roman" w:cs="Times New Roman" w:eastAsia="Times New Roman" w:hAnsi="Times New Roman"/>
          <w:sz w:val="21"/>
          <w:szCs w:val="21"/>
          <w:color w:val="auto"/>
        </w:rPr>
        <w:t>You understand and agree that the promises and payments in consideration of this Agreement shall not be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construed to be an admission of any liability or obligation by the Company to you or to any other person, and that the Company makes no such admission.</w:t>
      </w:r>
    </w:p>
    <w:p>
      <w:pPr>
        <w:spacing w:after="0" w:line="186" w:lineRule="exact"/>
        <w:rPr>
          <w:rFonts w:ascii="Times New Roman" w:cs="Times New Roman" w:eastAsia="Times New Roman" w:hAnsi="Times New Roman"/>
          <w:sz w:val="21"/>
          <w:szCs w:val="21"/>
          <w:color w:val="auto"/>
        </w:rPr>
      </w:pPr>
    </w:p>
    <w:p>
      <w:pPr>
        <w:jc w:val="both"/>
        <w:ind w:firstLine="317"/>
        <w:spacing w:after="0" w:line="249" w:lineRule="auto"/>
        <w:tabs>
          <w:tab w:leader="none" w:pos="62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color w:val="auto"/>
        </w:rPr>
        <w:t xml:space="preserve">REPRESENTATIONS. </w:t>
      </w:r>
      <w:r>
        <w:rPr>
          <w:rFonts w:ascii="Times New Roman" w:cs="Times New Roman" w:eastAsia="Times New Roman" w:hAnsi="Times New Roman"/>
          <w:sz w:val="21"/>
          <w:szCs w:val="21"/>
          <w:color w:val="auto"/>
        </w:rPr>
        <w:t>You hereby represent that you have: been paid all compensation owed and for all hours worked;</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received all leave and leave benefits and protections for which you are eligible pursuant to the Family and Medical Leave Act, or otherwise; and not suffered any on-the-job injury for which you have not already filed a workers’ compensation claim.</w:t>
      </w:r>
    </w:p>
    <w:p>
      <w:pPr>
        <w:spacing w:after="0" w:line="186" w:lineRule="exact"/>
        <w:rPr>
          <w:rFonts w:ascii="Times New Roman" w:cs="Times New Roman" w:eastAsia="Times New Roman" w:hAnsi="Times New Roman"/>
          <w:sz w:val="21"/>
          <w:szCs w:val="21"/>
          <w:color w:val="auto"/>
        </w:rPr>
      </w:pPr>
    </w:p>
    <w:p>
      <w:pPr>
        <w:jc w:val="both"/>
        <w:ind w:firstLine="317"/>
        <w:spacing w:after="0" w:line="247" w:lineRule="auto"/>
        <w:tabs>
          <w:tab w:leader="none" w:pos="625"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MISCELLANEOUS. </w:t>
      </w:r>
      <w:r>
        <w:rPr>
          <w:rFonts w:ascii="Times New Roman" w:cs="Times New Roman" w:eastAsia="Times New Roman" w:hAnsi="Times New Roman"/>
          <w:sz w:val="20"/>
          <w:szCs w:val="20"/>
          <w:color w:val="auto"/>
        </w:rPr>
        <w:t>This Agreement, including Exhibit A, constitutes the complete, final and exclusive embodiment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entire agreement between you and the Company with regard to its subject matter. It is entered into without reliance on any promise or representation, written or oral, other than those expressly contained herein, and it supersedes any other such promises, warranties or representations. This Agreement may not be modified or amended except in a writing signed by both you and a duly authorized officer of the Company. This Agreement will bind the heirs, personal representatives, successors and assigns of both you and the Company, and inure to the benefit of both you and the Company, their heirs, successors and assigns. If any provision of this Agreement is determined to be invalid or unenforceable, in whole or in part, this determination will not affect any other provision of this Agreement and the provision in question will be modified by the court so as to be rendered enforceable to the fullest extent permitted by law, consistent with the intent of the parties. You have the right to consult with an attorney before signing this Agreement. This Agreement will be deemed to have been entered into and will be construed and enforced in accordance with the laws of the state of Maryland without regard to conflict of laws principles. Any ambiguity in this Agreement shall not be construed against either party as the drafter. Any waiver of a breach of this Agreement shall be in writing and shall not be deemed to be a waiver of any successive breach. This Agreement may be delivered and executed via facsimile, electronic mail (including PDF or any electronic signature complying with the U.S. federal ESIGN Act of 2000, Uniform Electronic Transactions Act, or other applicable law) or other transmission method and shall be deemed to have been duly and validly delivered and executed and be valid and effective for all purposes.</w:t>
      </w:r>
    </w:p>
    <w:p>
      <w:pPr>
        <w:spacing w:after="0" w:line="17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1"/>
          <w:szCs w:val="21"/>
          <w:color w:val="auto"/>
        </w:rPr>
        <w:t>If this Agreement is acceptable to you, please sign below and return the original to me. You have twenty-one (21) calendar days to decide whether to accept this Agreement, and the Company’s offer contained herein will automatically expire if you do not sign and return the Agreement within that timeframe.</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We wish you the best in your future endeavors. Sincerely,</w:t>
      </w:r>
    </w:p>
    <w:p>
      <w:pPr>
        <w:sectPr>
          <w:pgSz w:w="11900" w:h="16838" w:orient="portrait"/>
          <w:cols w:equalWidth="0" w:num="1">
            <w:col w:w="11240"/>
          </w:cols>
          <w:pgMar w:left="320" w:top="1362" w:right="339" w:bottom="1440" w:gutter="0" w:footer="0" w:header="0"/>
        </w:sectPr>
      </w:pPr>
    </w:p>
    <w:bookmarkStart w:id="120" w:name="page121"/>
    <w:bookmarkEnd w:id="120"/>
    <w:p>
      <w:pPr>
        <w:spacing w:after="0" w:line="15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By:</w:t>
      </w:r>
    </w:p>
    <w:p>
      <w:pPr>
        <w:spacing w:after="0" w:line="1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b w:val="1"/>
          <w:bCs w:val="1"/>
          <w:color w:val="auto"/>
        </w:rPr>
        <w:t>William Heiden</w:t>
      </w:r>
    </w:p>
    <w:p>
      <w:pPr>
        <w:ind w:left="480"/>
        <w:spacing w:after="0"/>
        <w:rPr>
          <w:sz w:val="20"/>
          <w:szCs w:val="20"/>
          <w:color w:val="auto"/>
        </w:rPr>
      </w:pPr>
      <w:r>
        <w:rPr>
          <w:rFonts w:ascii="Times New Roman" w:cs="Times New Roman" w:eastAsia="Times New Roman" w:hAnsi="Times New Roman"/>
          <w:sz w:val="21"/>
          <w:szCs w:val="21"/>
          <w:b w:val="1"/>
          <w:bCs w:val="1"/>
          <w:color w:val="auto"/>
        </w:rPr>
        <w:t>Chairman of the Board of Directors</w:t>
      </w:r>
    </w:p>
    <w:p>
      <w:pPr>
        <w:spacing w:after="0" w:line="19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1"/>
          <w:szCs w:val="21"/>
          <w:b w:val="1"/>
          <w:bCs w:val="1"/>
          <w:color w:val="auto"/>
        </w:rPr>
        <w:t>I have read, understand and agree fully to the foregoing Agreement. I understand that this Agreement includes a release of all known and unknown claims, even those unknown claims that, if known by me, would affect my decision to accept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color w:val="auto"/>
        </w:rPr>
        <w:t>By:</w:t>
      </w:r>
    </w:p>
    <w:p>
      <w:pPr>
        <w:spacing w:after="0" w:line="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21"/>
          <w:szCs w:val="21"/>
          <w:b w:val="1"/>
          <w:bCs w:val="1"/>
          <w:color w:val="auto"/>
        </w:rPr>
        <w:t>Scott Koenig</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153"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21"/>
          <w:szCs w:val="21"/>
          <w:b w:val="1"/>
          <w:bCs w:val="1"/>
          <w:color w:val="auto"/>
        </w:rPr>
        <w:t>EXHIBIT A</w:t>
      </w: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EMPLOYMENT AGREEMENT</w:t>
      </w:r>
    </w:p>
    <w:p>
      <w:pPr>
        <w:sectPr>
          <w:pgSz w:w="11900" w:h="16838" w:orient="portrait"/>
          <w:cols w:equalWidth="0" w:num="1">
            <w:col w:w="9019"/>
          </w:cols>
          <w:pgMar w:left="1440" w:top="1440" w:right="1440"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17"/>
          <w:szCs w:val="17"/>
          <w:color w:val="auto"/>
        </w:rPr>
        <w:t>Exhibit.10.34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Amendment #1 Employment Agreement</w:t>
      </w:r>
    </w:p>
    <w:p>
      <w:pPr>
        <w:spacing w:after="0" w:line="200" w:lineRule="exact"/>
        <w:rPr>
          <w:sz w:val="20"/>
          <w:szCs w:val="20"/>
          <w:color w:val="auto"/>
        </w:rPr>
      </w:pPr>
    </w:p>
    <w:p>
      <w:pPr>
        <w:spacing w:after="0" w:line="258"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auto"/>
        </w:rPr>
        <w:t>THIS AMENDMENT #1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effective as of January 1, 2025 (</w:t>
      </w:r>
      <w:r>
        <w:rPr>
          <w:rFonts w:ascii="Times New Roman" w:cs="Times New Roman" w:eastAsia="Times New Roman" w:hAnsi="Times New Roman"/>
          <w:sz w:val="20"/>
          <w:szCs w:val="20"/>
          <w:b w:val="1"/>
          <w:bCs w:val="1"/>
          <w:color w:val="auto"/>
        </w:rPr>
        <w:t>“Amendment Effective Date”</w:t>
      </w:r>
      <w:r>
        <w:rPr>
          <w:rFonts w:ascii="Times New Roman" w:cs="Times New Roman" w:eastAsia="Times New Roman" w:hAnsi="Times New Roman"/>
          <w:sz w:val="20"/>
          <w:szCs w:val="20"/>
          <w:color w:val="auto"/>
        </w:rPr>
        <w:t>), is by and between MacroGenics, Inc.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James Karrels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xml:space="preserve"> and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19"/>
          <w:szCs w:val="19"/>
          <w:color w:val="auto"/>
        </w:rPr>
        <w:t>Company and Executive executed an Employment Agreement effective on October 9, 2013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19"/>
          <w:szCs w:val="19"/>
          <w:color w:val="auto"/>
        </w:rPr>
        <w:t>); and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19"/>
          <w:szCs w:val="19"/>
          <w:color w:val="auto"/>
        </w:rPr>
        <w:t>the Parties wish to amend the Agreement as set forth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below;</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19"/>
          <w:szCs w:val="19"/>
          <w:color w:val="auto"/>
        </w:rPr>
        <w:t>for good and valuable consideration, the receipt and sufficiency of which is hereby acknowledged, the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agree to the following terms and conditions:</w:t>
      </w:r>
    </w:p>
    <w:p>
      <w:pPr>
        <w:spacing w:after="0" w:line="1" w:lineRule="exact"/>
        <w:rPr>
          <w:sz w:val="20"/>
          <w:szCs w:val="20"/>
          <w:color w:val="auto"/>
        </w:rPr>
      </w:pPr>
    </w:p>
    <w:p>
      <w:pPr>
        <w:ind w:left="620" w:hanging="303"/>
        <w:spacing w:after="0" w:line="239" w:lineRule="auto"/>
        <w:tabs>
          <w:tab w:leader="none" w:pos="620" w:val="left"/>
        </w:tabs>
        <w:numPr>
          <w:ilvl w:val="0"/>
          <w:numId w:val="68"/>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All capitalized terms used in this Amendment but not otherwise defined herein, shall have the meanings ascribed to such terms in the Agreement.</w:t>
      </w:r>
    </w:p>
    <w:p>
      <w:pPr>
        <w:spacing w:after="0" w:line="183" w:lineRule="exact"/>
        <w:rPr>
          <w:sz w:val="20"/>
          <w:szCs w:val="20"/>
          <w:color w:val="auto"/>
        </w:rPr>
      </w:pPr>
    </w:p>
    <w:p>
      <w:pPr>
        <w:ind w:left="620" w:hanging="303"/>
        <w:spacing w:after="0" w:line="290" w:lineRule="auto"/>
        <w:tabs>
          <w:tab w:leader="none" w:pos="620" w:val="left"/>
        </w:tabs>
        <w:numPr>
          <w:ilvl w:val="0"/>
          <w:numId w:val="69"/>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References to the term “</w:t>
      </w:r>
      <w:r>
        <w:rPr>
          <w:rFonts w:ascii="Times New Roman" w:cs="Times New Roman" w:eastAsia="Times New Roman" w:hAnsi="Times New Roman"/>
          <w:sz w:val="20"/>
          <w:szCs w:val="20"/>
          <w:b w:val="1"/>
          <w:bCs w:val="1"/>
          <w:color w:val="auto"/>
        </w:rPr>
        <w:t>stock option</w:t>
      </w:r>
      <w:r>
        <w:rPr>
          <w:rFonts w:ascii="Times New Roman" w:cs="Times New Roman" w:eastAsia="Times New Roman" w:hAnsi="Times New Roman"/>
          <w:sz w:val="20"/>
          <w:szCs w:val="20"/>
          <w:color w:val="auto"/>
        </w:rPr>
        <w:t xml:space="preserve"> ” in the Agreement are hereby replaced with term “</w:t>
      </w:r>
      <w:r>
        <w:rPr>
          <w:rFonts w:ascii="Times New Roman" w:cs="Times New Roman" w:eastAsia="Times New Roman" w:hAnsi="Times New Roman"/>
          <w:sz w:val="20"/>
          <w:szCs w:val="20"/>
          <w:b w:val="1"/>
          <w:bCs w:val="1"/>
          <w:color w:val="auto"/>
        </w:rPr>
        <w:t>equity grant</w:t>
      </w:r>
      <w:r>
        <w:rPr>
          <w:rFonts w:ascii="Times New Roman" w:cs="Times New Roman" w:eastAsia="Times New Roman" w:hAnsi="Times New Roman"/>
          <w:sz w:val="20"/>
          <w:szCs w:val="20"/>
          <w:color w:val="auto"/>
        </w:rPr>
        <w:t>”. With respect to references related to accelerated vesting of stock options, the term equity grants shall only include stock options and restricted stock units.</w:t>
      </w:r>
    </w:p>
    <w:p>
      <w:pPr>
        <w:spacing w:after="0" w:line="161" w:lineRule="exact"/>
        <w:rPr>
          <w:sz w:val="20"/>
          <w:szCs w:val="20"/>
          <w:color w:val="auto"/>
        </w:rPr>
      </w:pPr>
    </w:p>
    <w:p>
      <w:pPr>
        <w:jc w:val="both"/>
        <w:ind w:left="620" w:hanging="303"/>
        <w:spacing w:after="0" w:line="247" w:lineRule="auto"/>
        <w:tabs>
          <w:tab w:leader="none" w:pos="62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Amendment and the Agreement constitute the entire agreement of the Parties and supersede any and all prior agreements, written or oral, between the Parties relating to the subject matter of this Amendment and the Agreement and may not be amended unless agreed to in writing by both Parties.</w:t>
      </w:r>
    </w:p>
    <w:p>
      <w:pPr>
        <w:spacing w:after="0" w:line="2" w:lineRule="exact"/>
        <w:rPr>
          <w:rFonts w:ascii="Times New Roman" w:cs="Times New Roman" w:eastAsia="Times New Roman" w:hAnsi="Times New Roman"/>
          <w:sz w:val="19"/>
          <w:szCs w:val="19"/>
          <w:color w:val="auto"/>
        </w:rPr>
      </w:pPr>
    </w:p>
    <w:p>
      <w:pPr>
        <w:jc w:val="both"/>
        <w:ind w:left="620" w:hanging="303"/>
        <w:spacing w:after="0" w:line="248" w:lineRule="auto"/>
        <w:tabs>
          <w:tab w:leader="none" w:pos="620" w:val="left"/>
        </w:tabs>
        <w:numPr>
          <w:ilvl w:val="0"/>
          <w:numId w:val="70"/>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Amendment may be executed in counterparts each of which will be deemed an original, but all of which together will constitute one and the same instrument. Signatures transmitted by email after having been scanned will be accepted as originals for the purposes of this Amendment.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as of the Amendment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0"/>
          <w:szCs w:val="20"/>
          <w:color w:val="auto"/>
        </w:rPr>
        <w:t>Date.</w:t>
      </w:r>
    </w:p>
    <w:p>
      <w:pPr>
        <w:spacing w:after="0" w:line="23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b w:val="1"/>
          <w:bCs w:val="1"/>
          <w:color w:val="auto"/>
        </w:rPr>
        <w:t xml:space="preserve">MacroGenics, </w:t>
      </w:r>
      <w:r>
        <w:rPr>
          <w:rFonts w:ascii="Times New Roman" w:cs="Times New Roman" w:eastAsia="Times New Roman" w:hAnsi="Times New Roman"/>
          <w:sz w:val="20"/>
          <w:szCs w:val="20"/>
          <w:b w:val="1"/>
          <w:bCs w:val="1"/>
          <w:color w:val="auto"/>
        </w:rPr>
        <w:t>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By: By: Scott Koenig, M.D., Ph.D. </w:t>
      </w:r>
      <w:r>
        <w:rPr>
          <w:rFonts w:ascii="Times New Roman" w:cs="Times New Roman" w:eastAsia="Times New Roman" w:hAnsi="Times New Roman"/>
          <w:sz w:val="20"/>
          <w:szCs w:val="20"/>
          <w:color w:val="auto"/>
        </w:rPr>
        <w:t>James Karrels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President and </w:t>
      </w:r>
      <w:r>
        <w:rPr>
          <w:rFonts w:ascii="Times New Roman" w:cs="Times New Roman" w:eastAsia="Times New Roman" w:hAnsi="Times New Roman"/>
          <w:sz w:val="20"/>
          <w:szCs w:val="20"/>
          <w:color w:val="auto"/>
        </w:rPr>
        <w:t>CEO</w:t>
      </w:r>
    </w:p>
    <w:p>
      <w:pPr>
        <w:sectPr>
          <w:pgSz w:w="11900" w:h="16838" w:orient="portrait"/>
          <w:cols w:equalWidth="0" w:num="1">
            <w:col w:w="11240"/>
          </w:cols>
          <w:pgMar w:left="320" w:top="121"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17"/>
          <w:szCs w:val="17"/>
          <w:color w:val="auto"/>
        </w:rPr>
        <w:t>Exhibit.10.35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Amendment #1 Employment Agreement</w:t>
      </w:r>
    </w:p>
    <w:p>
      <w:pPr>
        <w:spacing w:after="0" w:line="200" w:lineRule="exact"/>
        <w:rPr>
          <w:sz w:val="20"/>
          <w:szCs w:val="20"/>
          <w:color w:val="auto"/>
        </w:rPr>
      </w:pPr>
    </w:p>
    <w:p>
      <w:pPr>
        <w:spacing w:after="0" w:line="258" w:lineRule="exact"/>
        <w:rPr>
          <w:sz w:val="20"/>
          <w:szCs w:val="20"/>
          <w:color w:val="auto"/>
        </w:rPr>
      </w:pPr>
    </w:p>
    <w:p>
      <w:pPr>
        <w:spacing w:after="0" w:line="292" w:lineRule="auto"/>
        <w:rPr>
          <w:sz w:val="20"/>
          <w:szCs w:val="20"/>
          <w:color w:val="auto"/>
        </w:rPr>
      </w:pPr>
      <w:r>
        <w:rPr>
          <w:rFonts w:ascii="Times New Roman" w:cs="Times New Roman" w:eastAsia="Times New Roman" w:hAnsi="Times New Roman"/>
          <w:sz w:val="20"/>
          <w:szCs w:val="20"/>
          <w:color w:val="auto"/>
        </w:rPr>
        <w:t>THIS AMENDMENT #1 (</w:t>
      </w:r>
      <w:r>
        <w:rPr>
          <w:rFonts w:ascii="Times New Roman" w:cs="Times New Roman" w:eastAsia="Times New Roman" w:hAnsi="Times New Roman"/>
          <w:sz w:val="20"/>
          <w:szCs w:val="20"/>
          <w:b w:val="1"/>
          <w:bCs w:val="1"/>
          <w:color w:val="auto"/>
        </w:rPr>
        <w:t>“Amendment”</w:t>
      </w:r>
      <w:r>
        <w:rPr>
          <w:rFonts w:ascii="Times New Roman" w:cs="Times New Roman" w:eastAsia="Times New Roman" w:hAnsi="Times New Roman"/>
          <w:sz w:val="20"/>
          <w:szCs w:val="20"/>
          <w:color w:val="auto"/>
        </w:rPr>
        <w:t>), effective as of January 1, 2025 (</w:t>
      </w:r>
      <w:r>
        <w:rPr>
          <w:rFonts w:ascii="Times New Roman" w:cs="Times New Roman" w:eastAsia="Times New Roman" w:hAnsi="Times New Roman"/>
          <w:sz w:val="20"/>
          <w:szCs w:val="20"/>
          <w:b w:val="1"/>
          <w:bCs w:val="1"/>
          <w:color w:val="auto"/>
        </w:rPr>
        <w:t>“Amendment Effective Date”</w:t>
      </w:r>
      <w:r>
        <w:rPr>
          <w:rFonts w:ascii="Times New Roman" w:cs="Times New Roman" w:eastAsia="Times New Roman" w:hAnsi="Times New Roman"/>
          <w:sz w:val="20"/>
          <w:szCs w:val="20"/>
          <w:color w:val="auto"/>
        </w:rPr>
        <w:t>), is by and between MacroGenics, Inc.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and Stephen L. Eck, M.D., Ph.D. (</w:t>
      </w:r>
      <w:r>
        <w:rPr>
          <w:rFonts w:ascii="Times New Roman" w:cs="Times New Roman" w:eastAsia="Times New Roman" w:hAnsi="Times New Roman"/>
          <w:sz w:val="20"/>
          <w:szCs w:val="20"/>
          <w:b w:val="1"/>
          <w:bCs w:val="1"/>
          <w:color w:val="auto"/>
        </w:rPr>
        <w:t>“Executive”)</w:t>
      </w:r>
      <w:r>
        <w:rPr>
          <w:rFonts w:ascii="Times New Roman" w:cs="Times New Roman" w:eastAsia="Times New Roman" w:hAnsi="Times New Roman"/>
          <w:sz w:val="20"/>
          <w:szCs w:val="20"/>
          <w:color w:val="auto"/>
        </w:rPr>
        <w:t xml:space="preserve"> (each a </w:t>
      </w:r>
      <w:r>
        <w:rPr>
          <w:rFonts w:ascii="Times New Roman" w:cs="Times New Roman" w:eastAsia="Times New Roman" w:hAnsi="Times New Roman"/>
          <w:sz w:val="20"/>
          <w:szCs w:val="20"/>
          <w:b w:val="1"/>
          <w:bCs w:val="1"/>
          <w:color w:val="auto"/>
        </w:rPr>
        <w:t>“Party”</w:t>
      </w:r>
      <w:r>
        <w:rPr>
          <w:rFonts w:ascii="Times New Roman" w:cs="Times New Roman" w:eastAsia="Times New Roman" w:hAnsi="Times New Roman"/>
          <w:sz w:val="20"/>
          <w:szCs w:val="20"/>
          <w:color w:val="auto"/>
        </w:rPr>
        <w:t xml:space="preserve"> and collectively the </w:t>
      </w:r>
      <w:r>
        <w:rPr>
          <w:rFonts w:ascii="Times New Roman" w:cs="Times New Roman" w:eastAsia="Times New Roman" w:hAnsi="Times New Roman"/>
          <w:sz w:val="20"/>
          <w:szCs w:val="20"/>
          <w:b w:val="1"/>
          <w:bCs w:val="1"/>
          <w:color w:val="auto"/>
        </w:rPr>
        <w:t>“Parties”</w:t>
      </w:r>
      <w:r>
        <w:rPr>
          <w:rFonts w:ascii="Times New Roman" w:cs="Times New Roman" w:eastAsia="Times New Roman" w:hAnsi="Times New Roman"/>
          <w:sz w:val="20"/>
          <w:szCs w:val="20"/>
          <w:color w:val="auto"/>
        </w:rPr>
        <w:t>).</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19"/>
          <w:szCs w:val="19"/>
          <w:color w:val="auto"/>
        </w:rPr>
        <w:t>Company and Executive executed an Employment Agreement effective on July 1, 2020 (</w:t>
      </w:r>
      <w:r>
        <w:rPr>
          <w:rFonts w:ascii="Times New Roman" w:cs="Times New Roman" w:eastAsia="Times New Roman" w:hAnsi="Times New Roman"/>
          <w:sz w:val="21"/>
          <w:szCs w:val="21"/>
          <w:b w:val="1"/>
          <w:bCs w:val="1"/>
          <w:color w:val="auto"/>
        </w:rPr>
        <w:t>“Agreement”</w:t>
      </w:r>
      <w:r>
        <w:rPr>
          <w:rFonts w:ascii="Times New Roman" w:cs="Times New Roman" w:eastAsia="Times New Roman" w:hAnsi="Times New Roman"/>
          <w:sz w:val="19"/>
          <w:szCs w:val="19"/>
          <w:color w:val="auto"/>
        </w:rPr>
        <w:t>); and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WHEREAS, </w:t>
      </w:r>
      <w:r>
        <w:rPr>
          <w:rFonts w:ascii="Times New Roman" w:cs="Times New Roman" w:eastAsia="Times New Roman" w:hAnsi="Times New Roman"/>
          <w:sz w:val="19"/>
          <w:szCs w:val="19"/>
          <w:color w:val="auto"/>
        </w:rPr>
        <w:t>the Parties wish to amend the Agreement as set forth</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below;</w:t>
      </w:r>
    </w:p>
    <w:p>
      <w:pPr>
        <w:spacing w:after="0" w:line="227"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21"/>
          <w:szCs w:val="21"/>
          <w:b w:val="1"/>
          <w:bCs w:val="1"/>
          <w:color w:val="auto"/>
        </w:rPr>
        <w:t xml:space="preserve">NOW, THEREFORE, </w:t>
      </w:r>
      <w:r>
        <w:rPr>
          <w:rFonts w:ascii="Times New Roman" w:cs="Times New Roman" w:eastAsia="Times New Roman" w:hAnsi="Times New Roman"/>
          <w:sz w:val="19"/>
          <w:szCs w:val="19"/>
          <w:color w:val="auto"/>
        </w:rPr>
        <w:t>for good and valuable consideration, the receipt and sufficiency of which is hereby acknowledged, the Parties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19"/>
          <w:szCs w:val="19"/>
          <w:color w:val="auto"/>
        </w:rPr>
        <w:t>agree to the following terms and conditions:</w:t>
      </w:r>
    </w:p>
    <w:p>
      <w:pPr>
        <w:spacing w:after="0" w:line="1" w:lineRule="exact"/>
        <w:rPr>
          <w:sz w:val="20"/>
          <w:szCs w:val="20"/>
          <w:color w:val="auto"/>
        </w:rPr>
      </w:pPr>
    </w:p>
    <w:p>
      <w:pPr>
        <w:ind w:left="620" w:hanging="303"/>
        <w:spacing w:after="0" w:line="239" w:lineRule="auto"/>
        <w:tabs>
          <w:tab w:leader="none" w:pos="620" w:val="left"/>
        </w:tabs>
        <w:numPr>
          <w:ilvl w:val="0"/>
          <w:numId w:val="71"/>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All capitalized terms used in this Amendment but not otherwise defined herein, shall have the meanings ascribed to such terms in the Agreement.</w:t>
      </w:r>
    </w:p>
    <w:p>
      <w:pPr>
        <w:spacing w:after="0" w:line="183" w:lineRule="exact"/>
        <w:rPr>
          <w:sz w:val="20"/>
          <w:szCs w:val="20"/>
          <w:color w:val="auto"/>
        </w:rPr>
      </w:pPr>
    </w:p>
    <w:p>
      <w:pPr>
        <w:ind w:left="620" w:hanging="303"/>
        <w:spacing w:after="0" w:line="290" w:lineRule="auto"/>
        <w:tabs>
          <w:tab w:leader="none" w:pos="620" w:val="left"/>
        </w:tabs>
        <w:numPr>
          <w:ilvl w:val="0"/>
          <w:numId w:val="72"/>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References to the term “</w:t>
      </w:r>
      <w:r>
        <w:rPr>
          <w:rFonts w:ascii="Times New Roman" w:cs="Times New Roman" w:eastAsia="Times New Roman" w:hAnsi="Times New Roman"/>
          <w:sz w:val="20"/>
          <w:szCs w:val="20"/>
          <w:b w:val="1"/>
          <w:bCs w:val="1"/>
          <w:color w:val="auto"/>
        </w:rPr>
        <w:t>stock option</w:t>
      </w:r>
      <w:r>
        <w:rPr>
          <w:rFonts w:ascii="Times New Roman" w:cs="Times New Roman" w:eastAsia="Times New Roman" w:hAnsi="Times New Roman"/>
          <w:sz w:val="20"/>
          <w:szCs w:val="20"/>
          <w:color w:val="auto"/>
        </w:rPr>
        <w:t xml:space="preserve"> ” in the Agreement are hereby replaced with term “</w:t>
      </w:r>
      <w:r>
        <w:rPr>
          <w:rFonts w:ascii="Times New Roman" w:cs="Times New Roman" w:eastAsia="Times New Roman" w:hAnsi="Times New Roman"/>
          <w:sz w:val="20"/>
          <w:szCs w:val="20"/>
          <w:b w:val="1"/>
          <w:bCs w:val="1"/>
          <w:color w:val="auto"/>
        </w:rPr>
        <w:t>equity grant</w:t>
      </w:r>
      <w:r>
        <w:rPr>
          <w:rFonts w:ascii="Times New Roman" w:cs="Times New Roman" w:eastAsia="Times New Roman" w:hAnsi="Times New Roman"/>
          <w:sz w:val="20"/>
          <w:szCs w:val="20"/>
          <w:color w:val="auto"/>
        </w:rPr>
        <w:t>”. With respect to references related to accelerated vesting of stock options, the term equity grants shall only include stock options and restricted stock units.</w:t>
      </w:r>
    </w:p>
    <w:p>
      <w:pPr>
        <w:spacing w:after="0" w:line="161" w:lineRule="exact"/>
        <w:rPr>
          <w:sz w:val="20"/>
          <w:szCs w:val="20"/>
          <w:color w:val="auto"/>
        </w:rPr>
      </w:pPr>
    </w:p>
    <w:p>
      <w:pPr>
        <w:jc w:val="both"/>
        <w:ind w:left="620" w:hanging="303"/>
        <w:spacing w:after="0" w:line="247" w:lineRule="auto"/>
        <w:tabs>
          <w:tab w:leader="none" w:pos="62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Amendment and the Agreement constitute the entire agreement of the Parties and supersede any and all prior agreements, written or oral, between the Parties relating to the subject matter of this Amendment and the Agreement and may not be amended unless agreed to in writing by both Parties.</w:t>
      </w:r>
    </w:p>
    <w:p>
      <w:pPr>
        <w:spacing w:after="0" w:line="2" w:lineRule="exact"/>
        <w:rPr>
          <w:rFonts w:ascii="Times New Roman" w:cs="Times New Roman" w:eastAsia="Times New Roman" w:hAnsi="Times New Roman"/>
          <w:sz w:val="19"/>
          <w:szCs w:val="19"/>
          <w:color w:val="auto"/>
        </w:rPr>
      </w:pPr>
    </w:p>
    <w:p>
      <w:pPr>
        <w:jc w:val="both"/>
        <w:ind w:left="620" w:hanging="303"/>
        <w:spacing w:after="0" w:line="248" w:lineRule="auto"/>
        <w:tabs>
          <w:tab w:leader="none" w:pos="620" w:val="left"/>
        </w:tabs>
        <w:numPr>
          <w:ilvl w:val="0"/>
          <w:numId w:val="73"/>
        </w:numPr>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This Amendment may be executed in counterparts each of which will be deemed an original, but all of which together will constitute one and the same instrument. Signatures transmitted by email after having been scanned will be accepted as originals for the purposes of this Amendment.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the parties hereto have executed this Amendment as of the Amendment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0"/>
          <w:szCs w:val="20"/>
          <w:color w:val="auto"/>
        </w:rPr>
        <w:t>Date.</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MacroGenics, </w:t>
      </w:r>
      <w:r>
        <w:rPr>
          <w:rFonts w:ascii="Times New Roman" w:cs="Times New Roman" w:eastAsia="Times New Roman" w:hAnsi="Times New Roman"/>
          <w:sz w:val="20"/>
          <w:szCs w:val="20"/>
          <w:b w:val="1"/>
          <w:bCs w:val="1"/>
          <w:color w:val="auto"/>
        </w:rPr>
        <w:t>Inc</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20"/>
          <w:szCs w:val="20"/>
          <w:b w:val="1"/>
          <w:bCs w:val="1"/>
          <w:color w:val="auto"/>
        </w:rPr>
        <w:t>Executive</w:t>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By: Scott Koenig, M.D., Ph.D. Stephen Eck, M.D.,Ph.D.</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President and </w:t>
      </w:r>
      <w:r>
        <w:rPr>
          <w:rFonts w:ascii="Times New Roman" w:cs="Times New Roman" w:eastAsia="Times New Roman" w:hAnsi="Times New Roman"/>
          <w:sz w:val="20"/>
          <w:szCs w:val="20"/>
          <w:color w:val="auto"/>
        </w:rPr>
        <w:t>CEO</w:t>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9"/>
          <w:szCs w:val="19"/>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u w:val="single" w:color="auto"/>
          <w:color w:val="161616"/>
        </w:rPr>
        <w:t>AMENDMENT TO SEPARATION AND CONSULTING AGREEMENT</w:t>
      </w:r>
    </w:p>
    <w:p>
      <w:pPr>
        <w:spacing w:after="0" w:line="226" w:lineRule="exact"/>
        <w:rPr>
          <w:sz w:val="20"/>
          <w:szCs w:val="20"/>
          <w:color w:val="auto"/>
        </w:rPr>
      </w:pPr>
    </w:p>
    <w:p>
      <w:pPr>
        <w:ind w:right="100" w:firstLine="621"/>
        <w:spacing w:after="0" w:line="293" w:lineRule="auto"/>
        <w:rPr>
          <w:sz w:val="20"/>
          <w:szCs w:val="20"/>
          <w:color w:val="auto"/>
        </w:rPr>
      </w:pPr>
      <w:r>
        <w:rPr>
          <w:rFonts w:ascii="Times New Roman" w:cs="Times New Roman" w:eastAsia="Times New Roman" w:hAnsi="Times New Roman"/>
          <w:sz w:val="20"/>
          <w:szCs w:val="20"/>
          <w:color w:val="161616"/>
        </w:rPr>
        <w:t xml:space="preserve">This Amendment to Separation and Consulting Agreement (this </w:t>
      </w:r>
      <w:r>
        <w:rPr>
          <w:rFonts w:ascii="Times New Roman" w:cs="Times New Roman" w:eastAsia="Times New Roman" w:hAnsi="Times New Roman"/>
          <w:sz w:val="20"/>
          <w:szCs w:val="20"/>
          <w:b w:val="1"/>
          <w:bCs w:val="1"/>
          <w:color w:val="262626"/>
        </w:rPr>
        <w:t>"Amendment")</w:t>
      </w:r>
      <w:r>
        <w:rPr>
          <w:rFonts w:ascii="Times New Roman" w:cs="Times New Roman" w:eastAsia="Times New Roman" w:hAnsi="Times New Roman"/>
          <w:sz w:val="20"/>
          <w:szCs w:val="20"/>
          <w:color w:val="161616"/>
        </w:rPr>
        <w:t xml:space="preserve"> is entered into on February 25, 2025, by and between MacroGenics, Inc. (the </w:t>
      </w:r>
      <w:r>
        <w:rPr>
          <w:rFonts w:ascii="Times New Roman" w:cs="Times New Roman" w:eastAsia="Times New Roman" w:hAnsi="Times New Roman"/>
          <w:sz w:val="20"/>
          <w:szCs w:val="20"/>
          <w:b w:val="1"/>
          <w:bCs w:val="1"/>
          <w:color w:val="383838"/>
        </w:rPr>
        <w:t>"Company"),</w:t>
      </w:r>
      <w:r>
        <w:rPr>
          <w:rFonts w:ascii="Times New Roman" w:cs="Times New Roman" w:eastAsia="Times New Roman" w:hAnsi="Times New Roman"/>
          <w:sz w:val="20"/>
          <w:szCs w:val="20"/>
          <w:color w:val="161616"/>
        </w:rPr>
        <w:t xml:space="preserve"> and Dr. Scott Koenig </w:t>
      </w:r>
      <w:r>
        <w:rPr>
          <w:rFonts w:ascii="Times New Roman" w:cs="Times New Roman" w:eastAsia="Times New Roman" w:hAnsi="Times New Roman"/>
          <w:sz w:val="20"/>
          <w:szCs w:val="20"/>
          <w:b w:val="1"/>
          <w:bCs w:val="1"/>
          <w:color w:val="161616"/>
        </w:rPr>
        <w:t>("you").</w:t>
      </w:r>
    </w:p>
    <w:p>
      <w:pPr>
        <w:spacing w:after="0" w:line="16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161616"/>
        </w:rPr>
        <w:t>RECITALS</w:t>
      </w:r>
    </w:p>
    <w:p>
      <w:pPr>
        <w:spacing w:after="0" w:line="278" w:lineRule="exact"/>
        <w:rPr>
          <w:sz w:val="20"/>
          <w:szCs w:val="20"/>
          <w:color w:val="auto"/>
        </w:rPr>
      </w:pPr>
    </w:p>
    <w:p>
      <w:pPr>
        <w:ind w:right="100" w:firstLine="622"/>
        <w:spacing w:after="0" w:line="293" w:lineRule="auto"/>
        <w:rPr>
          <w:sz w:val="20"/>
          <w:szCs w:val="20"/>
          <w:color w:val="auto"/>
        </w:rPr>
      </w:pPr>
      <w:r>
        <w:rPr>
          <w:rFonts w:ascii="Times New Roman" w:cs="Times New Roman" w:eastAsia="Times New Roman" w:hAnsi="Times New Roman"/>
          <w:sz w:val="20"/>
          <w:szCs w:val="20"/>
          <w:b w:val="1"/>
          <w:bCs w:val="1"/>
          <w:color w:val="161616"/>
        </w:rPr>
        <w:t xml:space="preserve">WHEREAS, </w:t>
      </w:r>
      <w:r>
        <w:rPr>
          <w:rFonts w:ascii="Times New Roman" w:cs="Times New Roman" w:eastAsia="Times New Roman" w:hAnsi="Times New Roman"/>
          <w:sz w:val="20"/>
          <w:szCs w:val="20"/>
          <w:color w:val="161616"/>
        </w:rPr>
        <w:t>you and the Company previously entered into that certain Separation and Consulting Agreement dated October 25,</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 xml:space="preserve">2024 (the </w:t>
      </w:r>
      <w:r>
        <w:rPr>
          <w:rFonts w:ascii="Times New Roman" w:cs="Times New Roman" w:eastAsia="Times New Roman" w:hAnsi="Times New Roman"/>
          <w:sz w:val="20"/>
          <w:szCs w:val="20"/>
          <w:b w:val="1"/>
          <w:bCs w:val="1"/>
          <w:color w:val="383838"/>
        </w:rPr>
        <w:t>"Agreement");</w:t>
      </w:r>
    </w:p>
    <w:p>
      <w:pPr>
        <w:spacing w:after="0" w:line="155" w:lineRule="exact"/>
        <w:rPr>
          <w:sz w:val="20"/>
          <w:szCs w:val="20"/>
          <w:color w:val="auto"/>
        </w:rPr>
      </w:pPr>
    </w:p>
    <w:p>
      <w:pPr>
        <w:ind w:right="100" w:firstLine="626"/>
        <w:spacing w:after="0" w:line="293" w:lineRule="auto"/>
        <w:rPr>
          <w:sz w:val="20"/>
          <w:szCs w:val="20"/>
          <w:color w:val="auto"/>
        </w:rPr>
      </w:pPr>
      <w:r>
        <w:rPr>
          <w:rFonts w:ascii="Times New Roman" w:cs="Times New Roman" w:eastAsia="Times New Roman" w:hAnsi="Times New Roman"/>
          <w:sz w:val="20"/>
          <w:szCs w:val="20"/>
          <w:b w:val="1"/>
          <w:bCs w:val="1"/>
          <w:color w:val="161616"/>
        </w:rPr>
        <w:t>WHEREAS</w:t>
      </w:r>
      <w:r>
        <w:rPr>
          <w:rFonts w:ascii="Times New Roman" w:cs="Times New Roman" w:eastAsia="Times New Roman" w:hAnsi="Times New Roman"/>
          <w:sz w:val="20"/>
          <w:szCs w:val="20"/>
          <w:b w:val="1"/>
          <w:bCs w:val="1"/>
          <w:color w:val="545454"/>
        </w:rPr>
        <w:t>,</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the Company's Board of Directors (the</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b w:val="1"/>
          <w:bCs w:val="1"/>
          <w:color w:val="262626"/>
        </w:rPr>
        <w:t>"Board")</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has established a special committee to oversee a search process to</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 xml:space="preserve">identify the Company's next Chief </w:t>
      </w:r>
      <w:r>
        <w:rPr>
          <w:rFonts w:ascii="Times New Roman" w:cs="Times New Roman" w:eastAsia="Times New Roman" w:hAnsi="Times New Roman"/>
          <w:sz w:val="20"/>
          <w:szCs w:val="20"/>
          <w:color w:val="262626"/>
        </w:rPr>
        <w:t>Executive</w:t>
      </w:r>
      <w:r>
        <w:rPr>
          <w:rFonts w:ascii="Times New Roman" w:cs="Times New Roman" w:eastAsia="Times New Roman" w:hAnsi="Times New Roman"/>
          <w:sz w:val="20"/>
          <w:szCs w:val="20"/>
          <w:color w:val="161616"/>
        </w:rPr>
        <w:t xml:space="preserve"> Officer, and such committee expects to conclude such process within the coming weeks;</w:t>
      </w:r>
    </w:p>
    <w:p>
      <w:pPr>
        <w:spacing w:after="0" w:line="168" w:lineRule="exact"/>
        <w:rPr>
          <w:sz w:val="20"/>
          <w:szCs w:val="20"/>
          <w:color w:val="auto"/>
        </w:rPr>
      </w:pPr>
    </w:p>
    <w:p>
      <w:pPr>
        <w:ind w:right="80" w:firstLine="621"/>
        <w:spacing w:after="0" w:line="293" w:lineRule="auto"/>
        <w:rPr>
          <w:sz w:val="20"/>
          <w:szCs w:val="20"/>
          <w:color w:val="auto"/>
        </w:rPr>
      </w:pPr>
      <w:r>
        <w:rPr>
          <w:rFonts w:ascii="Times New Roman" w:cs="Times New Roman" w:eastAsia="Times New Roman" w:hAnsi="Times New Roman"/>
          <w:sz w:val="20"/>
          <w:szCs w:val="20"/>
          <w:b w:val="1"/>
          <w:bCs w:val="1"/>
          <w:color w:val="161616"/>
        </w:rPr>
        <w:t xml:space="preserve">WHEREAS, </w:t>
      </w:r>
      <w:r>
        <w:rPr>
          <w:rFonts w:ascii="Times New Roman" w:cs="Times New Roman" w:eastAsia="Times New Roman" w:hAnsi="Times New Roman"/>
          <w:sz w:val="20"/>
          <w:szCs w:val="20"/>
          <w:color w:val="161616"/>
        </w:rPr>
        <w:t>your Separation Date under the Agreement is February 28, 2025</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which date may be extended with the mutual</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consent of the Company's Board of Directors and you; and</w:t>
      </w:r>
    </w:p>
    <w:p>
      <w:pPr>
        <w:spacing w:after="0" w:line="16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0"/>
          <w:szCs w:val="20"/>
          <w:b w:val="1"/>
          <w:bCs w:val="1"/>
          <w:color w:val="161616"/>
        </w:rPr>
        <w:t xml:space="preserve">WHEREAS, </w:t>
      </w:r>
      <w:r>
        <w:rPr>
          <w:rFonts w:ascii="Times New Roman" w:cs="Times New Roman" w:eastAsia="Times New Roman" w:hAnsi="Times New Roman"/>
          <w:sz w:val="20"/>
          <w:szCs w:val="20"/>
          <w:color w:val="161616"/>
        </w:rPr>
        <w:t>the parties now desire to amend the Agreement as set forth herein.</w:t>
      </w:r>
    </w:p>
    <w:p>
      <w:pPr>
        <w:spacing w:after="0" w:line="26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20"/>
          <w:szCs w:val="20"/>
          <w:b w:val="1"/>
          <w:bCs w:val="1"/>
          <w:color w:val="161616"/>
        </w:rPr>
        <w:t>AGREEMENT</w:t>
      </w:r>
    </w:p>
    <w:p>
      <w:pPr>
        <w:spacing w:after="0" w:line="265" w:lineRule="exact"/>
        <w:rPr>
          <w:sz w:val="20"/>
          <w:szCs w:val="20"/>
          <w:color w:val="auto"/>
        </w:rPr>
      </w:pPr>
    </w:p>
    <w:p>
      <w:pPr>
        <w:ind w:right="100" w:firstLine="621"/>
        <w:spacing w:after="0" w:line="293" w:lineRule="auto"/>
        <w:rPr>
          <w:sz w:val="20"/>
          <w:szCs w:val="20"/>
          <w:color w:val="auto"/>
        </w:rPr>
      </w:pPr>
      <w:r>
        <w:rPr>
          <w:rFonts w:ascii="Times New Roman" w:cs="Times New Roman" w:eastAsia="Times New Roman" w:hAnsi="Times New Roman"/>
          <w:sz w:val="20"/>
          <w:szCs w:val="20"/>
          <w:b w:val="1"/>
          <w:bCs w:val="1"/>
          <w:color w:val="161616"/>
        </w:rPr>
        <w:t xml:space="preserve">NOW, THEREFORE, </w:t>
      </w:r>
      <w:r>
        <w:rPr>
          <w:rFonts w:ascii="Times New Roman" w:cs="Times New Roman" w:eastAsia="Times New Roman" w:hAnsi="Times New Roman"/>
          <w:sz w:val="20"/>
          <w:szCs w:val="20"/>
          <w:color w:val="161616"/>
        </w:rPr>
        <w:t>in consideration of the foregoing and the mutual covenants and promises set forth herein, the parties agree</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as follows:</w:t>
      </w:r>
    </w:p>
    <w:p>
      <w:pPr>
        <w:spacing w:after="0" w:line="172" w:lineRule="exact"/>
        <w:rPr>
          <w:sz w:val="20"/>
          <w:szCs w:val="20"/>
          <w:color w:val="auto"/>
        </w:rPr>
      </w:pPr>
    </w:p>
    <w:p>
      <w:pPr>
        <w:ind w:right="780" w:firstLine="632"/>
        <w:spacing w:after="0" w:line="275" w:lineRule="auto"/>
        <w:tabs>
          <w:tab w:leader="none" w:pos="1140" w:val="left"/>
        </w:tabs>
        <w:numPr>
          <w:ilvl w:val="0"/>
          <w:numId w:val="74"/>
        </w:numPr>
        <w:rPr>
          <w:rFonts w:ascii="Times New Roman" w:cs="Times New Roman" w:eastAsia="Times New Roman" w:hAnsi="Times New Roman"/>
          <w:sz w:val="20"/>
          <w:szCs w:val="20"/>
          <w:color w:val="161616"/>
        </w:rPr>
      </w:pPr>
      <w:r>
        <w:rPr>
          <w:rFonts w:ascii="Times New Roman" w:cs="Times New Roman" w:eastAsia="Times New Roman" w:hAnsi="Times New Roman"/>
          <w:sz w:val="20"/>
          <w:szCs w:val="20"/>
          <w:u w:val="single" w:color="auto"/>
          <w:color w:val="161616"/>
        </w:rPr>
        <w:t>Amendment of Section 1</w:t>
      </w:r>
      <w:r>
        <w:rPr>
          <w:rFonts w:ascii="Times New Roman" w:cs="Times New Roman" w:eastAsia="Times New Roman" w:hAnsi="Times New Roman"/>
          <w:sz w:val="20"/>
          <w:szCs w:val="20"/>
          <w:color w:val="161616"/>
        </w:rPr>
        <w:t>. Section 1 of the Agreement is hereby amended and restated to modify the timing of the Separation Date and provide you with the eligibility to receive a prorated 2025 annual bonus, as follows:</w:t>
      </w:r>
    </w:p>
    <w:p>
      <w:pPr>
        <w:spacing w:after="0" w:line="198" w:lineRule="exact"/>
        <w:rPr>
          <w:rFonts w:ascii="Times New Roman" w:cs="Times New Roman" w:eastAsia="Times New Roman" w:hAnsi="Times New Roman"/>
          <w:sz w:val="20"/>
          <w:szCs w:val="20"/>
          <w:color w:val="161616"/>
        </w:rPr>
      </w:pPr>
    </w:p>
    <w:p>
      <w:pPr>
        <w:jc w:val="both"/>
        <w:ind w:left="640" w:right="640" w:hanging="7"/>
        <w:spacing w:after="0" w:line="252" w:lineRule="auto"/>
        <w:tabs>
          <w:tab w:leader="none" w:pos="1155" w:val="left"/>
        </w:tabs>
        <w:numPr>
          <w:ilvl w:val="0"/>
          <w:numId w:val="75"/>
        </w:numPr>
        <w:rPr>
          <w:rFonts w:ascii="Times New Roman" w:cs="Times New Roman" w:eastAsia="Times New Roman" w:hAnsi="Times New Roman"/>
          <w:sz w:val="20"/>
          <w:szCs w:val="20"/>
          <w:b w:val="1"/>
          <w:bCs w:val="1"/>
          <w:color w:val="161616"/>
        </w:rPr>
      </w:pPr>
      <w:r>
        <w:rPr>
          <w:rFonts w:ascii="Times New Roman" w:cs="Times New Roman" w:eastAsia="Times New Roman" w:hAnsi="Times New Roman"/>
          <w:sz w:val="20"/>
          <w:szCs w:val="20"/>
          <w:b w:val="1"/>
          <w:bCs w:val="1"/>
          <w:color w:val="161616"/>
        </w:rPr>
        <w:t xml:space="preserve">SEPARATION. </w:t>
      </w:r>
      <w:r>
        <w:rPr>
          <w:rFonts w:ascii="Times New Roman" w:cs="Times New Roman" w:eastAsia="Times New Roman" w:hAnsi="Times New Roman"/>
          <w:sz w:val="20"/>
          <w:szCs w:val="20"/>
          <w:color w:val="161616"/>
        </w:rPr>
        <w:t>Your last day of work with the Company and your employment termination date will be a date to</w:t>
      </w:r>
      <w:r>
        <w:rPr>
          <w:rFonts w:ascii="Times New Roman" w:cs="Times New Roman" w:eastAsia="Times New Roman" w:hAnsi="Times New Roman"/>
          <w:sz w:val="20"/>
          <w:szCs w:val="20"/>
          <w:b w:val="1"/>
          <w:bCs w:val="1"/>
          <w:color w:val="161616"/>
        </w:rPr>
        <w:t xml:space="preserve"> </w:t>
      </w:r>
      <w:r>
        <w:rPr>
          <w:rFonts w:ascii="Times New Roman" w:cs="Times New Roman" w:eastAsia="Times New Roman" w:hAnsi="Times New Roman"/>
          <w:sz w:val="20"/>
          <w:szCs w:val="20"/>
          <w:color w:val="161616"/>
        </w:rPr>
        <w:t xml:space="preserve">be determined by the Board of Directors of the Company (or committee thereof) (the </w:t>
      </w:r>
      <w:r>
        <w:rPr>
          <w:rFonts w:ascii="Times New Roman" w:cs="Times New Roman" w:eastAsia="Times New Roman" w:hAnsi="Times New Roman"/>
          <w:sz w:val="20"/>
          <w:szCs w:val="20"/>
          <w:b w:val="1"/>
          <w:bCs w:val="1"/>
          <w:color w:val="383838"/>
        </w:rPr>
        <w:t>"Separation</w:t>
      </w:r>
      <w:r>
        <w:rPr>
          <w:rFonts w:ascii="Times New Roman" w:cs="Times New Roman" w:eastAsia="Times New Roman" w:hAnsi="Times New Roman"/>
          <w:sz w:val="20"/>
          <w:szCs w:val="20"/>
          <w:color w:val="161616"/>
        </w:rPr>
        <w:t xml:space="preserve"> </w:t>
      </w:r>
      <w:r>
        <w:rPr>
          <w:rFonts w:ascii="Times New Roman" w:cs="Times New Roman" w:eastAsia="Times New Roman" w:hAnsi="Times New Roman"/>
          <w:sz w:val="20"/>
          <w:szCs w:val="20"/>
          <w:b w:val="1"/>
          <w:bCs w:val="1"/>
          <w:color w:val="161616"/>
        </w:rPr>
        <w:t>Date")</w:t>
      </w:r>
      <w:r>
        <w:rPr>
          <w:rFonts w:ascii="Times New Roman" w:cs="Times New Roman" w:eastAsia="Times New Roman" w:hAnsi="Times New Roman"/>
          <w:sz w:val="20"/>
          <w:szCs w:val="20"/>
          <w:color w:val="161616"/>
        </w:rPr>
        <w:t xml:space="preserve"> upon fourteen (14) days' notice to you. You may elect, upon seven (7) days' notice to the Company</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161616"/>
        </w:rPr>
        <w:t xml:space="preserve"> to change the Separation Date to a date that is earlier than the date determined by the Board of Directors (or committee thereof). You will receive </w:t>
      </w:r>
      <w:r>
        <w:rPr>
          <w:rFonts w:ascii="Times New Roman" w:cs="Times New Roman" w:eastAsia="Times New Roman" w:hAnsi="Times New Roman"/>
          <w:sz w:val="20"/>
          <w:szCs w:val="20"/>
          <w:color w:val="262626"/>
        </w:rPr>
        <w:t>your</w:t>
      </w:r>
      <w:r>
        <w:rPr>
          <w:rFonts w:ascii="Times New Roman" w:cs="Times New Roman" w:eastAsia="Times New Roman" w:hAnsi="Times New Roman"/>
          <w:sz w:val="20"/>
          <w:szCs w:val="20"/>
          <w:color w:val="161616"/>
        </w:rPr>
        <w:t xml:space="preserve"> full normal 2024 annual bonus regardless of whether </w:t>
      </w:r>
      <w:r>
        <w:rPr>
          <w:rFonts w:ascii="Times New Roman" w:cs="Times New Roman" w:eastAsia="Times New Roman" w:hAnsi="Times New Roman"/>
          <w:sz w:val="20"/>
          <w:szCs w:val="20"/>
          <w:color w:val="262626"/>
        </w:rPr>
        <w:t>your</w:t>
      </w:r>
      <w:r>
        <w:rPr>
          <w:rFonts w:ascii="Times New Roman" w:cs="Times New Roman" w:eastAsia="Times New Roman" w:hAnsi="Times New Roman"/>
          <w:sz w:val="20"/>
          <w:szCs w:val="20"/>
          <w:color w:val="161616"/>
        </w:rPr>
        <w:t xml:space="preserve"> Separation Date occurs before the date on which the 2024 annual bonus is paid. In addition, you will receive a prorated target 2025 annual bonus, to be paid at the next regular payroll payment date after the Separation Date. Effective as of the Separation Date, you hereby voluntarily resign your position on the Company</w:t>
      </w:r>
      <w:r>
        <w:rPr>
          <w:rFonts w:ascii="Times New Roman" w:cs="Times New Roman" w:eastAsia="Times New Roman" w:hAnsi="Times New Roman"/>
          <w:sz w:val="20"/>
          <w:szCs w:val="20"/>
          <w:color w:val="545454"/>
        </w:rPr>
        <w:t>'</w:t>
      </w:r>
      <w:r>
        <w:rPr>
          <w:rFonts w:ascii="Times New Roman" w:cs="Times New Roman" w:eastAsia="Times New Roman" w:hAnsi="Times New Roman"/>
          <w:sz w:val="20"/>
          <w:szCs w:val="20"/>
          <w:color w:val="161616"/>
        </w:rPr>
        <w:t xml:space="preserve">s Board of Directors, and </w:t>
      </w:r>
      <w:r>
        <w:rPr>
          <w:rFonts w:ascii="Times New Roman" w:cs="Times New Roman" w:eastAsia="Times New Roman" w:hAnsi="Times New Roman"/>
          <w:sz w:val="20"/>
          <w:szCs w:val="20"/>
          <w:color w:val="262626"/>
        </w:rPr>
        <w:t>resign</w:t>
      </w:r>
      <w:r>
        <w:rPr>
          <w:rFonts w:ascii="Times New Roman" w:cs="Times New Roman" w:eastAsia="Times New Roman" w:hAnsi="Times New Roman"/>
          <w:sz w:val="20"/>
          <w:szCs w:val="20"/>
          <w:color w:val="161616"/>
        </w:rPr>
        <w:t xml:space="preserve"> from any and all other officer or other positions you may hold with the Company, its Board of Directors, and any affiliated or related companies; provided that, upon the written request of the incoming Chief Executive Officer of the Company, which request shall be made prior to the Separation Date, you may revoke your resignation from the Board of Directors. (For the avoidance of doubt, such resignations are effective upon your execution of this Agreement, and regardless of whether or not </w:t>
      </w:r>
      <w:r>
        <w:rPr>
          <w:rFonts w:ascii="Times New Roman" w:cs="Times New Roman" w:eastAsia="Times New Roman" w:hAnsi="Times New Roman"/>
          <w:sz w:val="20"/>
          <w:szCs w:val="20"/>
          <w:color w:val="262626"/>
        </w:rPr>
        <w:t>you</w:t>
      </w:r>
      <w:r>
        <w:rPr>
          <w:rFonts w:ascii="Times New Roman" w:cs="Times New Roman" w:eastAsia="Times New Roman" w:hAnsi="Times New Roman"/>
          <w:sz w:val="20"/>
          <w:szCs w:val="20"/>
          <w:color w:val="161616"/>
        </w:rPr>
        <w:t xml:space="preserve"> revoke this</w:t>
      </w:r>
    </w:p>
    <w:p>
      <w:pPr>
        <w:sectPr>
          <w:pgSz w:w="11900" w:h="16838" w:orient="portrait"/>
          <w:cols w:equalWidth="0" w:num="1">
            <w:col w:w="11140"/>
          </w:cols>
          <w:pgMar w:left="420" w:top="104" w:right="339" w:bottom="1440" w:gutter="0" w:footer="0" w:header="0"/>
        </w:sectPr>
      </w:pPr>
    </w:p>
    <w:bookmarkStart w:id="125" w:name="page126"/>
    <w:bookmarkEnd w:id="125"/>
    <w:p>
      <w:pPr>
        <w:jc w:val="right"/>
        <w:spacing w:after="0"/>
        <w:rPr>
          <w:sz w:val="20"/>
          <w:szCs w:val="20"/>
          <w:color w:val="auto"/>
        </w:rPr>
      </w:pPr>
      <w:r>
        <w:rPr>
          <w:rFonts w:ascii="Times New Roman" w:cs="Times New Roman" w:eastAsia="Times New Roman" w:hAnsi="Times New Roman"/>
          <w:sz w:val="19"/>
          <w:szCs w:val="19"/>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ind w:left="620" w:right="640" w:firstLine="5"/>
        <w:spacing w:after="0" w:line="267" w:lineRule="auto"/>
        <w:rPr>
          <w:sz w:val="20"/>
          <w:szCs w:val="20"/>
          <w:color w:val="auto"/>
        </w:rPr>
      </w:pPr>
      <w:r>
        <w:rPr>
          <w:rFonts w:ascii="Times New Roman" w:cs="Times New Roman" w:eastAsia="Times New Roman" w:hAnsi="Times New Roman"/>
          <w:sz w:val="20"/>
          <w:szCs w:val="20"/>
          <w:color w:val="161616"/>
        </w:rPr>
        <w:t>Agreement as set forth below.) You understand and agree that you are not authorized to hold yourself out as being employed or affiliated with the Company in any way following the Separation Date, including as a member of the Board of Directors.</w:t>
      </w:r>
    </w:p>
    <w:p>
      <w:pPr>
        <w:spacing w:after="0" w:line="209" w:lineRule="exact"/>
        <w:rPr>
          <w:sz w:val="20"/>
          <w:szCs w:val="20"/>
          <w:color w:val="auto"/>
        </w:rPr>
      </w:pPr>
    </w:p>
    <w:p>
      <w:pPr>
        <w:jc w:val="both"/>
        <w:ind w:right="200" w:firstLine="622"/>
        <w:spacing w:after="0" w:line="267" w:lineRule="auto"/>
        <w:tabs>
          <w:tab w:leader="none" w:pos="1129" w:val="left"/>
        </w:tabs>
        <w:numPr>
          <w:ilvl w:val="0"/>
          <w:numId w:val="76"/>
        </w:numPr>
        <w:rPr>
          <w:rFonts w:ascii="Times New Roman" w:cs="Times New Roman" w:eastAsia="Times New Roman" w:hAnsi="Times New Roman"/>
          <w:sz w:val="20"/>
          <w:szCs w:val="20"/>
          <w:color w:val="161616"/>
        </w:rPr>
      </w:pPr>
      <w:r>
        <w:rPr>
          <w:rFonts w:ascii="Times New Roman" w:cs="Times New Roman" w:eastAsia="Times New Roman" w:hAnsi="Times New Roman"/>
          <w:sz w:val="20"/>
          <w:szCs w:val="20"/>
          <w:u w:val="single" w:color="auto"/>
          <w:color w:val="161616"/>
        </w:rPr>
        <w:t>Effect on Severance Payments.</w:t>
      </w:r>
      <w:r>
        <w:rPr>
          <w:rFonts w:ascii="Times New Roman" w:cs="Times New Roman" w:eastAsia="Times New Roman" w:hAnsi="Times New Roman"/>
          <w:sz w:val="20"/>
          <w:szCs w:val="20"/>
          <w:color w:val="161616"/>
        </w:rPr>
        <w:t xml:space="preserve"> For the avoidance of doubt, (i) commencement of Severance Payments pursuant to Section 3(a) of the Agreement and (ii) the vesting of equity awards pursuant to Section 3(c) of the Agreement shall not occur until the Separation Date, as determined pursuant to Section 1 of the Agreement, as amended.</w:t>
      </w:r>
    </w:p>
    <w:p>
      <w:pPr>
        <w:spacing w:after="0" w:line="209" w:lineRule="exact"/>
        <w:rPr>
          <w:rFonts w:ascii="Times New Roman" w:cs="Times New Roman" w:eastAsia="Times New Roman" w:hAnsi="Times New Roman"/>
          <w:sz w:val="20"/>
          <w:szCs w:val="20"/>
          <w:color w:val="161616"/>
        </w:rPr>
      </w:pPr>
    </w:p>
    <w:p>
      <w:pPr>
        <w:jc w:val="both"/>
        <w:ind w:right="200" w:firstLine="622"/>
        <w:spacing w:after="0" w:line="264" w:lineRule="auto"/>
        <w:tabs>
          <w:tab w:leader="none" w:pos="1130" w:val="left"/>
        </w:tabs>
        <w:numPr>
          <w:ilvl w:val="0"/>
          <w:numId w:val="76"/>
        </w:numPr>
        <w:rPr>
          <w:rFonts w:ascii="Times New Roman" w:cs="Times New Roman" w:eastAsia="Times New Roman" w:hAnsi="Times New Roman"/>
          <w:sz w:val="20"/>
          <w:szCs w:val="20"/>
          <w:color w:val="161616"/>
        </w:rPr>
      </w:pPr>
      <w:r>
        <w:rPr>
          <w:rFonts w:ascii="Times New Roman" w:cs="Times New Roman" w:eastAsia="Times New Roman" w:hAnsi="Times New Roman"/>
          <w:sz w:val="20"/>
          <w:szCs w:val="20"/>
          <w:u w:val="single" w:color="auto"/>
          <w:color w:val="161616"/>
        </w:rPr>
        <w:t>Release.</w:t>
      </w:r>
      <w:r>
        <w:rPr>
          <w:rFonts w:ascii="Times New Roman" w:cs="Times New Roman" w:eastAsia="Times New Roman" w:hAnsi="Times New Roman"/>
          <w:sz w:val="20"/>
          <w:szCs w:val="20"/>
          <w:color w:val="161616"/>
        </w:rPr>
        <w:t xml:space="preserve"> As part of this Amendment and in exchange for the benefits provided to you pursuant to this Amendment, you hereby acknowledge and agree that the releases provided by you in Paragraph 7 of the Agreement shall apply fully and completely to waive and release any claims that you may have that arise out of or are in any way related to events, acts, conduct, or omissions occurring during the period of time from the date you first signed this Agreement to the date of your signature below.</w:t>
      </w:r>
    </w:p>
    <w:p>
      <w:pPr>
        <w:spacing w:after="0" w:line="212" w:lineRule="exact"/>
        <w:rPr>
          <w:rFonts w:ascii="Times New Roman" w:cs="Times New Roman" w:eastAsia="Times New Roman" w:hAnsi="Times New Roman"/>
          <w:sz w:val="20"/>
          <w:szCs w:val="20"/>
          <w:color w:val="161616"/>
        </w:rPr>
      </w:pPr>
    </w:p>
    <w:p>
      <w:pPr>
        <w:ind w:left="1140" w:hanging="521"/>
        <w:spacing w:after="0"/>
        <w:tabs>
          <w:tab w:leader="none" w:pos="1140" w:val="left"/>
        </w:tabs>
        <w:numPr>
          <w:ilvl w:val="0"/>
          <w:numId w:val="76"/>
        </w:numPr>
        <w:rPr>
          <w:rFonts w:ascii="Times New Roman" w:cs="Times New Roman" w:eastAsia="Times New Roman" w:hAnsi="Times New Roman"/>
          <w:sz w:val="20"/>
          <w:szCs w:val="20"/>
          <w:color w:val="161616"/>
        </w:rPr>
      </w:pPr>
      <w:r>
        <w:rPr>
          <w:rFonts w:ascii="Times New Roman" w:cs="Times New Roman" w:eastAsia="Times New Roman" w:hAnsi="Times New Roman"/>
          <w:sz w:val="20"/>
          <w:szCs w:val="20"/>
          <w:u w:val="single" w:color="auto"/>
          <w:color w:val="161616"/>
        </w:rPr>
        <w:t>Advisory Period.</w:t>
      </w:r>
      <w:r>
        <w:rPr>
          <w:rFonts w:ascii="Times New Roman" w:cs="Times New Roman" w:eastAsia="Times New Roman" w:hAnsi="Times New Roman"/>
          <w:sz w:val="20"/>
          <w:szCs w:val="20"/>
          <w:color w:val="161616"/>
        </w:rPr>
        <w:t xml:space="preserve"> The third sentence of Section 4(a) of the Agreement is hereby amended and restated as follows:</w:t>
      </w:r>
    </w:p>
    <w:p>
      <w:pPr>
        <w:spacing w:after="0" w:line="265" w:lineRule="exact"/>
        <w:rPr>
          <w:sz w:val="20"/>
          <w:szCs w:val="20"/>
          <w:color w:val="auto"/>
        </w:rPr>
      </w:pPr>
    </w:p>
    <w:p>
      <w:pPr>
        <w:jc w:val="both"/>
        <w:ind w:left="620" w:right="560" w:firstLine="7"/>
        <w:spacing w:after="0" w:line="267" w:lineRule="auto"/>
        <w:rPr>
          <w:sz w:val="20"/>
          <w:szCs w:val="20"/>
          <w:color w:val="auto"/>
        </w:rPr>
      </w:pPr>
      <w:r>
        <w:rPr>
          <w:rFonts w:ascii="Times New Roman" w:cs="Times New Roman" w:eastAsia="Times New Roman" w:hAnsi="Times New Roman"/>
          <w:sz w:val="20"/>
          <w:szCs w:val="20"/>
          <w:color w:val="161616"/>
        </w:rPr>
        <w:t>However</w:t>
      </w:r>
      <w:r>
        <w:rPr>
          <w:rFonts w:ascii="Times New Roman" w:cs="Times New Roman" w:eastAsia="Times New Roman" w:hAnsi="Times New Roman"/>
          <w:sz w:val="20"/>
          <w:szCs w:val="20"/>
          <w:color w:val="4B4B4B"/>
        </w:rPr>
        <w:t>,</w:t>
      </w:r>
      <w:r>
        <w:rPr>
          <w:rFonts w:ascii="Times New Roman" w:cs="Times New Roman" w:eastAsia="Times New Roman" w:hAnsi="Times New Roman"/>
          <w:sz w:val="20"/>
          <w:szCs w:val="20"/>
          <w:color w:val="161616"/>
        </w:rPr>
        <w:t xml:space="preserve"> if you timely sign and return this Agreement to the Company, and allow it to become effective, then the Company will continue your advisory engagement until the fifth anniversary of the Separation Date, unless earlier terminated pursuant to Paragraph 4(i) below or extended by the parties in writing.</w:t>
      </w:r>
    </w:p>
    <w:p>
      <w:pPr>
        <w:spacing w:after="0" w:line="209" w:lineRule="exact"/>
        <w:rPr>
          <w:sz w:val="20"/>
          <w:szCs w:val="20"/>
          <w:color w:val="auto"/>
        </w:rPr>
      </w:pPr>
    </w:p>
    <w:p>
      <w:pPr>
        <w:jc w:val="both"/>
        <w:ind w:right="160" w:firstLine="620"/>
        <w:spacing w:after="0" w:line="267" w:lineRule="auto"/>
        <w:tabs>
          <w:tab w:leader="none" w:pos="1127" w:val="left"/>
        </w:tabs>
        <w:numPr>
          <w:ilvl w:val="0"/>
          <w:numId w:val="77"/>
        </w:numPr>
        <w:rPr>
          <w:rFonts w:ascii="Times New Roman" w:cs="Times New Roman" w:eastAsia="Times New Roman" w:hAnsi="Times New Roman"/>
          <w:sz w:val="20"/>
          <w:szCs w:val="20"/>
          <w:color w:val="161616"/>
        </w:rPr>
      </w:pPr>
      <w:r>
        <w:rPr>
          <w:rFonts w:ascii="Times New Roman" w:cs="Times New Roman" w:eastAsia="Times New Roman" w:hAnsi="Times New Roman"/>
          <w:sz w:val="20"/>
          <w:szCs w:val="20"/>
          <w:u w:val="single" w:color="auto"/>
          <w:color w:val="161616"/>
        </w:rPr>
        <w:t>Remaining Terms Ratified.</w:t>
      </w:r>
      <w:r>
        <w:rPr>
          <w:rFonts w:ascii="Times New Roman" w:cs="Times New Roman" w:eastAsia="Times New Roman" w:hAnsi="Times New Roman"/>
          <w:sz w:val="20"/>
          <w:szCs w:val="20"/>
          <w:color w:val="161616"/>
        </w:rPr>
        <w:t xml:space="preserve"> Except as expressly amended herein, all terms and provisions of the Agreement are and shall remain in full force and effect and all references therein to such Agreement shall henceforth refer to the Agreement as amended by the Amendment.</w:t>
      </w:r>
    </w:p>
    <w:p>
      <w:pPr>
        <w:spacing w:after="0" w:line="209" w:lineRule="exact"/>
        <w:rPr>
          <w:rFonts w:ascii="Times New Roman" w:cs="Times New Roman" w:eastAsia="Times New Roman" w:hAnsi="Times New Roman"/>
          <w:sz w:val="20"/>
          <w:szCs w:val="20"/>
          <w:color w:val="161616"/>
        </w:rPr>
      </w:pPr>
    </w:p>
    <w:p>
      <w:pPr>
        <w:jc w:val="both"/>
        <w:ind w:right="140" w:firstLine="621"/>
        <w:spacing w:after="0" w:line="267" w:lineRule="auto"/>
        <w:tabs>
          <w:tab w:leader="none" w:pos="1129" w:val="left"/>
        </w:tabs>
        <w:numPr>
          <w:ilvl w:val="0"/>
          <w:numId w:val="77"/>
        </w:numPr>
        <w:rPr>
          <w:rFonts w:ascii="Times New Roman" w:cs="Times New Roman" w:eastAsia="Times New Roman" w:hAnsi="Times New Roman"/>
          <w:sz w:val="20"/>
          <w:szCs w:val="20"/>
          <w:color w:val="161616"/>
        </w:rPr>
      </w:pPr>
      <w:r>
        <w:rPr>
          <w:rFonts w:ascii="Times New Roman" w:cs="Times New Roman" w:eastAsia="Times New Roman" w:hAnsi="Times New Roman"/>
          <w:sz w:val="20"/>
          <w:szCs w:val="20"/>
          <w:u w:val="single" w:color="auto"/>
          <w:color w:val="161616"/>
        </w:rPr>
        <w:t>Entire Agreement.</w:t>
      </w:r>
      <w:r>
        <w:rPr>
          <w:rFonts w:ascii="Times New Roman" w:cs="Times New Roman" w:eastAsia="Times New Roman" w:hAnsi="Times New Roman"/>
          <w:sz w:val="20"/>
          <w:szCs w:val="20"/>
          <w:color w:val="161616"/>
        </w:rPr>
        <w:t xml:space="preserve"> </w:t>
      </w:r>
      <w:r>
        <w:rPr>
          <w:rFonts w:ascii="Times New Roman" w:cs="Times New Roman" w:eastAsia="Times New Roman" w:hAnsi="Times New Roman"/>
          <w:sz w:val="20"/>
          <w:szCs w:val="20"/>
          <w:color w:val="2F2F2F"/>
        </w:rPr>
        <w:t>The</w:t>
      </w:r>
      <w:r>
        <w:rPr>
          <w:rFonts w:ascii="Times New Roman" w:cs="Times New Roman" w:eastAsia="Times New Roman" w:hAnsi="Times New Roman"/>
          <w:sz w:val="20"/>
          <w:szCs w:val="20"/>
          <w:color w:val="161616"/>
        </w:rPr>
        <w:t xml:space="preserve"> Agreement, as amended by the Amendment, constitutes the full and complete agreement between the parties hereto regarding the subject matter of the Agreement and shall supersede all prior understandings or agreements, if any, whether written or oral, concerning the subject matter of the Agreement, as amended.</w:t>
      </w:r>
    </w:p>
    <w:p>
      <w:pPr>
        <w:spacing w:after="0" w:line="196" w:lineRule="exact"/>
        <w:rPr>
          <w:rFonts w:ascii="Times New Roman" w:cs="Times New Roman" w:eastAsia="Times New Roman" w:hAnsi="Times New Roman"/>
          <w:sz w:val="20"/>
          <w:szCs w:val="20"/>
          <w:color w:val="161616"/>
        </w:rPr>
      </w:pPr>
    </w:p>
    <w:p>
      <w:pPr>
        <w:jc w:val="both"/>
        <w:ind w:right="140" w:firstLine="619"/>
        <w:spacing w:after="0" w:line="259" w:lineRule="auto"/>
        <w:tabs>
          <w:tab w:leader="none" w:pos="1139" w:val="left"/>
        </w:tabs>
        <w:numPr>
          <w:ilvl w:val="0"/>
          <w:numId w:val="77"/>
        </w:numPr>
        <w:rPr>
          <w:rFonts w:ascii="Times New Roman" w:cs="Times New Roman" w:eastAsia="Times New Roman" w:hAnsi="Times New Roman"/>
          <w:sz w:val="20"/>
          <w:szCs w:val="20"/>
          <w:color w:val="161616"/>
        </w:rPr>
      </w:pPr>
      <w:r>
        <w:rPr>
          <w:rFonts w:ascii="Times New Roman" w:cs="Times New Roman" w:eastAsia="Times New Roman" w:hAnsi="Times New Roman"/>
          <w:sz w:val="20"/>
          <w:szCs w:val="20"/>
          <w:u w:val="single" w:color="auto"/>
          <w:color w:val="161616"/>
        </w:rPr>
        <w:t>Counterparts.</w:t>
      </w:r>
      <w:r>
        <w:rPr>
          <w:rFonts w:ascii="Times New Roman" w:cs="Times New Roman" w:eastAsia="Times New Roman" w:hAnsi="Times New Roman"/>
          <w:sz w:val="20"/>
          <w:szCs w:val="20"/>
          <w:color w:val="161616"/>
        </w:rPr>
        <w:t xml:space="preserve"> This Amendment may be executed in one or more counterparts, each of which shall be deemed an original, but all of which together </w:t>
      </w:r>
      <w:r>
        <w:rPr>
          <w:rFonts w:ascii="Times New Roman" w:cs="Times New Roman" w:eastAsia="Times New Roman" w:hAnsi="Times New Roman"/>
          <w:sz w:val="20"/>
          <w:szCs w:val="20"/>
          <w:color w:val="2F2F2F"/>
        </w:rPr>
        <w:t>shall</w:t>
      </w:r>
      <w:r>
        <w:rPr>
          <w:rFonts w:ascii="Times New Roman" w:cs="Times New Roman" w:eastAsia="Times New Roman" w:hAnsi="Times New Roman"/>
          <w:sz w:val="20"/>
          <w:szCs w:val="20"/>
          <w:color w:val="161616"/>
        </w:rPr>
        <w:t xml:space="preserve"> constitute one and the same instrument. Counterparts may be delivered via facsimile, electronic mail (including pdf or </w:t>
      </w:r>
      <w:r>
        <w:rPr>
          <w:rFonts w:ascii="Times New Roman" w:cs="Times New Roman" w:eastAsia="Times New Roman" w:hAnsi="Times New Roman"/>
          <w:sz w:val="20"/>
          <w:szCs w:val="20"/>
          <w:i w:val="1"/>
          <w:iCs w:val="1"/>
          <w:color w:val="161616"/>
        </w:rPr>
        <w:t>DocuSign)</w:t>
      </w:r>
      <w:r>
        <w:rPr>
          <w:rFonts w:ascii="Times New Roman" w:cs="Times New Roman" w:eastAsia="Times New Roman" w:hAnsi="Times New Roman"/>
          <w:sz w:val="20"/>
          <w:szCs w:val="20"/>
          <w:color w:val="161616"/>
        </w:rPr>
        <w:t xml:space="preserve"> or other transmission method and any counterpart so delivered shall be deemed to have been duly and validly delivered and be valid and effective for all purposes.</w:t>
      </w:r>
    </w:p>
    <w:p>
      <w:pPr>
        <w:sectPr>
          <w:pgSz w:w="11900" w:h="16838" w:orient="portrait"/>
          <w:cols w:equalWidth="0" w:num="1">
            <w:col w:w="11120"/>
          </w:cols>
          <w:pgMar w:left="440" w:top="104"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9"/>
          <w:szCs w:val="19"/>
          <w:color w:val="auto"/>
        </w:rPr>
        <w:t>Exhibit 10.36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111111"/>
        </w:rPr>
        <w:t>IN WITNESS WHEREOF</w:t>
      </w:r>
      <w:r>
        <w:rPr>
          <w:rFonts w:ascii="Times New Roman" w:cs="Times New Roman" w:eastAsia="Times New Roman" w:hAnsi="Times New Roman"/>
          <w:sz w:val="20"/>
          <w:szCs w:val="20"/>
          <w:color w:val="3F3F3F"/>
        </w:rPr>
        <w:t>,</w:t>
      </w:r>
      <w:r>
        <w:rPr>
          <w:rFonts w:ascii="Times New Roman" w:cs="Times New Roman" w:eastAsia="Times New Roman" w:hAnsi="Times New Roman"/>
          <w:sz w:val="20"/>
          <w:szCs w:val="20"/>
          <w:color w:val="111111"/>
        </w:rPr>
        <w:t xml:space="preserve"> the undersigned have executed this Amendment as of the date first written above.</w:t>
      </w:r>
    </w:p>
    <w:p>
      <w:pPr>
        <w:spacing w:after="0" w:line="2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b w:val="1"/>
          <w:bCs w:val="1"/>
          <w:color w:val="111111"/>
        </w:rPr>
        <w:t>MACROGENICS, INC.</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111111"/>
        </w:rPr>
        <w:t>By: __________________________</w:t>
      </w:r>
    </w:p>
    <w:p>
      <w:pPr>
        <w:spacing w:after="0" w:line="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111111"/>
        </w:rPr>
        <w:t>Name: William Heiden</w:t>
      </w:r>
    </w:p>
    <w:p>
      <w:pPr>
        <w:spacing w:after="0" w:line="1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0"/>
          <w:szCs w:val="20"/>
          <w:color w:val="111111"/>
        </w:rPr>
        <w:t>Title: 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0"/>
          <w:szCs w:val="20"/>
          <w:color w:val="111111"/>
        </w:rPr>
        <w:t>Scott Koenig, M.D., Ph.D.</w:t>
      </w:r>
    </w:p>
    <w:p>
      <w:pPr>
        <w:sectPr>
          <w:pgSz w:w="11900" w:h="16838" w:orient="portrait"/>
          <w:cols w:equalWidth="0" w:num="1">
            <w:col w:w="11240"/>
          </w:cols>
          <w:pgMar w:left="320" w:top="105"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0"/>
          <w:szCs w:val="20"/>
          <w:color w:val="auto"/>
        </w:rPr>
        <w:t>Exhibit 19.1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b w:val="1"/>
          <w:bCs w:val="1"/>
          <w:color w:val="auto"/>
        </w:rPr>
        <w:t>MACROGENICS, INC.</w:t>
      </w:r>
    </w:p>
    <w:p>
      <w:pPr>
        <w:spacing w:after="0" w:line="34"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b w:val="1"/>
          <w:bCs w:val="1"/>
          <w:color w:val="auto"/>
        </w:rPr>
        <w:t>INSIDER TRADING POLICY</w:t>
      </w:r>
    </w:p>
    <w:p>
      <w:pPr>
        <w:spacing w:after="0" w:line="222" w:lineRule="exact"/>
        <w:rPr>
          <w:sz w:val="20"/>
          <w:szCs w:val="20"/>
          <w:color w:val="auto"/>
        </w:rPr>
      </w:pPr>
    </w:p>
    <w:p>
      <w:pPr>
        <w:ind w:right="320" w:firstLine="625"/>
        <w:spacing w:after="0" w:line="262" w:lineRule="auto"/>
        <w:rPr>
          <w:sz w:val="20"/>
          <w:szCs w:val="20"/>
          <w:color w:val="auto"/>
        </w:rPr>
      </w:pPr>
      <w:r>
        <w:rPr>
          <w:rFonts w:ascii="Times New Roman" w:cs="Times New Roman" w:eastAsia="Times New Roman" w:hAnsi="Times New Roman"/>
          <w:sz w:val="20"/>
          <w:szCs w:val="20"/>
          <w:color w:val="auto"/>
        </w:rPr>
        <w:t>This Insider Trading Policy (the “</w:t>
      </w:r>
      <w:r>
        <w:rPr>
          <w:rFonts w:ascii="Times New Roman" w:cs="Times New Roman" w:eastAsia="Times New Roman" w:hAnsi="Times New Roman"/>
          <w:sz w:val="20"/>
          <w:szCs w:val="20"/>
          <w:b w:val="1"/>
          <w:bCs w:val="1"/>
          <w:color w:val="auto"/>
        </w:rPr>
        <w:t>Policy</w:t>
      </w:r>
      <w:r>
        <w:rPr>
          <w:rFonts w:ascii="Times New Roman" w:cs="Times New Roman" w:eastAsia="Times New Roman" w:hAnsi="Times New Roman"/>
          <w:sz w:val="20"/>
          <w:szCs w:val="20"/>
          <w:color w:val="auto"/>
        </w:rPr>
        <w:t xml:space="preserve">”) provides the standards of MacroGenics, Inc. and its affiliates (the </w:t>
      </w:r>
      <w:r>
        <w:rPr>
          <w:rFonts w:ascii="Times New Roman" w:cs="Times New Roman" w:eastAsia="Times New Roman" w:hAnsi="Times New Roman"/>
          <w:sz w:val="20"/>
          <w:szCs w:val="20"/>
          <w:b w:val="1"/>
          <w:bCs w:val="1"/>
          <w:color w:val="auto"/>
        </w:rPr>
        <w:t>"Company"</w:t>
      </w:r>
      <w:r>
        <w:rPr>
          <w:rFonts w:ascii="Times New Roman" w:cs="Times New Roman" w:eastAsia="Times New Roman" w:hAnsi="Times New Roman"/>
          <w:sz w:val="20"/>
          <w:szCs w:val="20"/>
          <w:color w:val="auto"/>
        </w:rPr>
        <w:t>) for trading and causing the trading of the Company's securities or securities of other publicly-traded companies while in possession of confidential information.</w:t>
      </w:r>
    </w:p>
    <w:p>
      <w:pPr>
        <w:spacing w:after="0" w:line="202" w:lineRule="exact"/>
        <w:rPr>
          <w:sz w:val="20"/>
          <w:szCs w:val="20"/>
          <w:color w:val="auto"/>
        </w:rPr>
      </w:pPr>
    </w:p>
    <w:p>
      <w:pPr>
        <w:ind w:right="220" w:firstLine="625"/>
        <w:spacing w:after="0" w:line="259" w:lineRule="auto"/>
        <w:rPr>
          <w:sz w:val="20"/>
          <w:szCs w:val="20"/>
          <w:color w:val="auto"/>
        </w:rPr>
      </w:pPr>
      <w:r>
        <w:rPr>
          <w:rFonts w:ascii="Times New Roman" w:cs="Times New Roman" w:eastAsia="Times New Roman" w:hAnsi="Times New Roman"/>
          <w:sz w:val="20"/>
          <w:szCs w:val="20"/>
          <w:color w:val="auto"/>
        </w:rPr>
        <w:t>One of the purposes of the federal securities laws is to prohibit so-called "insider trading." Simply stated, insider trading occurs when a person uses material non-public information to make decisions to purchase, sell, give away or otherwise trade a company's securities or to provide that information to others outside the company. The prohibitions against insider trading apply to trades, tips and recommendations by virtually any person, including all persons associated with the company, if the information involved is "material" and "non-public." These terms are defined in this Policy under Part I, Section 3 below.</w:t>
      </w:r>
    </w:p>
    <w:p>
      <w:pPr>
        <w:spacing w:after="0" w:line="192" w:lineRule="exact"/>
        <w:rPr>
          <w:sz w:val="20"/>
          <w:szCs w:val="20"/>
          <w:color w:val="auto"/>
        </w:rPr>
      </w:pPr>
    </w:p>
    <w:p>
      <w:pPr>
        <w:ind w:right="300" w:firstLine="625"/>
        <w:spacing w:after="0" w:line="289" w:lineRule="auto"/>
        <w:rPr>
          <w:sz w:val="20"/>
          <w:szCs w:val="20"/>
          <w:color w:val="auto"/>
        </w:rPr>
      </w:pPr>
      <w:r>
        <w:rPr>
          <w:rFonts w:ascii="Times New Roman" w:cs="Times New Roman" w:eastAsia="Times New Roman" w:hAnsi="Times New Roman"/>
          <w:sz w:val="20"/>
          <w:szCs w:val="20"/>
          <w:color w:val="auto"/>
        </w:rPr>
        <w:t>Any person who has a question about this Policy or its application to any proposed transaction may obtain additional guidance from the General Counsel (or their designee).</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Scope of Policy</w:t>
      </w:r>
    </w:p>
    <w:p>
      <w:pPr>
        <w:spacing w:after="0" w:line="399" w:lineRule="exact"/>
        <w:rPr>
          <w:sz w:val="20"/>
          <w:szCs w:val="20"/>
          <w:color w:val="auto"/>
        </w:rPr>
      </w:pPr>
    </w:p>
    <w:p>
      <w:pPr>
        <w:ind w:right="120" w:firstLine="625"/>
        <w:spacing w:after="0" w:line="258" w:lineRule="auto"/>
        <w:rPr>
          <w:sz w:val="20"/>
          <w:szCs w:val="20"/>
          <w:color w:val="auto"/>
        </w:rPr>
      </w:pPr>
      <w:r>
        <w:rPr>
          <w:rFonts w:ascii="Times New Roman" w:cs="Times New Roman" w:eastAsia="Times New Roman" w:hAnsi="Times New Roman"/>
          <w:sz w:val="20"/>
          <w:szCs w:val="20"/>
          <w:color w:val="auto"/>
        </w:rPr>
        <w:t>This Policy applies to all transactions in the Company's securities, including common stock, options and any other securities that the Company may issue, such as preferred stock, notes, bonds and convertible securities, as well as to derivative securities relating to any of the Company's securities, whether or not issued by the Company. Accordingly, for purposes of this Policy, the terms “trade,” “trading” and “transactions” include not only purchases and sales of the Company’s securities in the public market but also any other purchases, sales, transfers, gifts or other acquisitions and dispositions of common or preferred equity, options, warrants and other securities (including debt securities) and other arrangements or transactions that affect economic exposure to changes in the prices of these securities.</w:t>
      </w:r>
    </w:p>
    <w:p>
      <w:pPr>
        <w:spacing w:after="0" w:line="271" w:lineRule="exact"/>
        <w:rPr>
          <w:sz w:val="20"/>
          <w:szCs w:val="20"/>
          <w:color w:val="auto"/>
        </w:rPr>
      </w:pPr>
    </w:p>
    <w:p>
      <w:pPr>
        <w:jc w:val="both"/>
        <w:ind w:right="640" w:firstLine="417"/>
        <w:spacing w:after="0" w:line="260" w:lineRule="auto"/>
        <w:rPr>
          <w:sz w:val="20"/>
          <w:szCs w:val="20"/>
          <w:color w:val="auto"/>
        </w:rPr>
      </w:pPr>
      <w:r>
        <w:rPr>
          <w:rFonts w:ascii="Times New Roman" w:cs="Times New Roman" w:eastAsia="Times New Roman" w:hAnsi="Times New Roman"/>
          <w:sz w:val="20"/>
          <w:szCs w:val="20"/>
          <w:color w:val="auto"/>
        </w:rPr>
        <w:t>This Policy applies to all directors, officers and employees of the Company (“</w:t>
      </w:r>
      <w:r>
        <w:rPr>
          <w:rFonts w:ascii="Times New Roman" w:cs="Times New Roman" w:eastAsia="Times New Roman" w:hAnsi="Times New Roman"/>
          <w:sz w:val="20"/>
          <w:szCs w:val="20"/>
          <w:b w:val="1"/>
          <w:bCs w:val="1"/>
          <w:color w:val="auto"/>
        </w:rPr>
        <w:t>MacroGenics Personnel</w:t>
      </w:r>
      <w:r>
        <w:rPr>
          <w:rFonts w:ascii="Times New Roman" w:cs="Times New Roman" w:eastAsia="Times New Roman" w:hAnsi="Times New Roman"/>
          <w:sz w:val="20"/>
          <w:szCs w:val="20"/>
          <w:color w:val="auto"/>
        </w:rPr>
        <w:t>”). It also applies to MacroGenics Personnel family members, others living in the household, and any entities over which any MacroGenics Personnel exercises control. MacroGenics Personnel are responsible for such individuals and entities’ compliance with the provisions of this Policy.</w:t>
      </w:r>
    </w:p>
    <w:p>
      <w:pPr>
        <w:spacing w:after="0" w:line="202"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20"/>
          <w:szCs w:val="20"/>
          <w:color w:val="auto"/>
        </w:rPr>
        <w:t xml:space="preserve">The Policy is divided into two parts: </w:t>
      </w:r>
      <w:r>
        <w:rPr>
          <w:rFonts w:ascii="Times New Roman" w:cs="Times New Roman" w:eastAsia="Times New Roman" w:hAnsi="Times New Roman"/>
          <w:sz w:val="20"/>
          <w:szCs w:val="20"/>
          <w:b w:val="1"/>
          <w:bCs w:val="1"/>
          <w:color w:val="auto"/>
        </w:rPr>
        <w:t>Part I</w:t>
      </w:r>
      <w:r>
        <w:rPr>
          <w:rFonts w:ascii="Times New Roman" w:cs="Times New Roman" w:eastAsia="Times New Roman" w:hAnsi="Times New Roman"/>
          <w:sz w:val="20"/>
          <w:szCs w:val="20"/>
          <w:color w:val="auto"/>
        </w:rPr>
        <w:t xml:space="preserve"> applies to all MacroGenics Personnel. </w:t>
      </w:r>
      <w:r>
        <w:rPr>
          <w:rFonts w:ascii="Times New Roman" w:cs="Times New Roman" w:eastAsia="Times New Roman" w:hAnsi="Times New Roman"/>
          <w:sz w:val="20"/>
          <w:szCs w:val="20"/>
          <w:b w:val="1"/>
          <w:bCs w:val="1"/>
          <w:color w:val="auto"/>
        </w:rPr>
        <w:t>Part II</w:t>
      </w:r>
      <w:r>
        <w:rPr>
          <w:rFonts w:ascii="Times New Roman" w:cs="Times New Roman" w:eastAsia="Times New Roman" w:hAnsi="Times New Roman"/>
          <w:sz w:val="20"/>
          <w:szCs w:val="20"/>
          <w:color w:val="auto"/>
        </w:rPr>
        <w:t xml:space="preserve"> imposes special additional trading restrictions and applies to (i) all directors of the Company; (ii) all executive officers of the Company; and (iii) the employees so designated from time to time by an Authorized Company Official (collectively, </w:t>
      </w:r>
      <w:r>
        <w:rPr>
          <w:rFonts w:ascii="Times New Roman" w:cs="Times New Roman" w:eastAsia="Times New Roman" w:hAnsi="Times New Roman"/>
          <w:sz w:val="20"/>
          <w:szCs w:val="20"/>
          <w:b w:val="1"/>
          <w:bCs w:val="1"/>
          <w:color w:val="auto"/>
        </w:rPr>
        <w:t>"Covered Persons"</w:t>
      </w:r>
      <w:r>
        <w:rPr>
          <w:rFonts w:ascii="Times New Roman" w:cs="Times New Roman" w:eastAsia="Times New Roman" w:hAnsi="Times New Roman"/>
          <w:sz w:val="20"/>
          <w:szCs w:val="20"/>
          <w:color w:val="auto"/>
        </w:rPr>
        <w:t>).</w:t>
      </w:r>
    </w:p>
    <w:p>
      <w:pPr>
        <w:spacing w:after="0" w:line="276"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83"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0"/>
          <w:szCs w:val="20"/>
          <w:b w:val="1"/>
          <w:bCs w:val="1"/>
          <w:color w:val="auto"/>
        </w:rPr>
        <w:t>MacroGenics Personnel Trading Restrictions</w:t>
      </w:r>
    </w:p>
    <w:p>
      <w:pPr>
        <w:spacing w:after="0" w:line="265" w:lineRule="exact"/>
        <w:rPr>
          <w:sz w:val="20"/>
          <w:szCs w:val="20"/>
          <w:color w:val="auto"/>
        </w:rPr>
      </w:pPr>
    </w:p>
    <w:p>
      <w:pPr>
        <w:ind w:left="300" w:hanging="255"/>
        <w:spacing w:after="0"/>
        <w:tabs>
          <w:tab w:leader="none" w:pos="300" w:val="left"/>
        </w:tabs>
        <w:numPr>
          <w:ilvl w:val="0"/>
          <w:numId w:val="78"/>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General Policy: No Trading or Causing Trading While in Possession of Material Non- public Information</w:t>
      </w:r>
    </w:p>
    <w:p>
      <w:pPr>
        <w:sectPr>
          <w:pgSz w:w="11900" w:h="16838" w:orient="portrait"/>
          <w:cols w:equalWidth="0" w:num="1">
            <w:col w:w="11020"/>
          </w:cols>
          <w:pgMar w:left="540" w:top="356" w:right="339" w:bottom="1440" w:gutter="0" w:footer="0" w:header="0"/>
        </w:sectPr>
      </w:pPr>
    </w:p>
    <w:bookmarkStart w:id="128" w:name="page129"/>
    <w:bookmarkEnd w:id="128"/>
    <w:p>
      <w:pPr>
        <w:spacing w:after="0" w:line="193" w:lineRule="exact"/>
        <w:rPr>
          <w:sz w:val="20"/>
          <w:szCs w:val="20"/>
          <w:color w:val="auto"/>
        </w:rPr>
      </w:pPr>
    </w:p>
    <w:p>
      <w:pPr>
        <w:ind w:left="100" w:right="120" w:firstLine="387"/>
        <w:spacing w:after="0" w:line="272" w:lineRule="auto"/>
        <w:tabs>
          <w:tab w:leader="none" w:pos="1036"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MacroGenics Personnel may not purchase or sell any Company security, whether or not issued by the Company, while in possession of material non-public information about the Company. The terms "material" and "non-public" are defined in Part I, Section 3(a) and (b) below. MacroGenics Personnel who may be in possession of material non-public information are bound by confidentiality obligations regarding the Company’s business in all cases, and in particular should not share material non-public information about the Company with any other person, unless authorized. Sharing material non-public information without authorization to any person, including to family and friends, puts the employee and the other person or persons at risk of violation of the insider trading laws</w:t>
      </w:r>
    </w:p>
    <w:p>
      <w:pPr>
        <w:spacing w:after="0" w:line="241" w:lineRule="exact"/>
        <w:rPr>
          <w:rFonts w:ascii="Times New Roman" w:cs="Times New Roman" w:eastAsia="Times New Roman" w:hAnsi="Times New Roman"/>
          <w:sz w:val="19"/>
          <w:szCs w:val="19"/>
          <w:color w:val="auto"/>
        </w:rPr>
      </w:pPr>
    </w:p>
    <w:p>
      <w:pPr>
        <w:ind w:left="100" w:right="20" w:firstLine="387"/>
        <w:spacing w:after="0" w:line="264" w:lineRule="auto"/>
        <w:tabs>
          <w:tab w:leader="none" w:pos="1027"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MacroGenics Personnel may not purchase or sell any security of any other company, whether or not issued by the Company, while in possession of material non- public information about that company that was obtained in the course of their involvement with the Company. MacroGenics Personnel who know of any such material non-public information may not communicate that information to any other person, including family and friends.</w:t>
      </w:r>
    </w:p>
    <w:p>
      <w:pPr>
        <w:spacing w:after="0" w:line="203" w:lineRule="exact"/>
        <w:rPr>
          <w:rFonts w:ascii="Times New Roman" w:cs="Times New Roman" w:eastAsia="Times New Roman" w:hAnsi="Times New Roman"/>
          <w:sz w:val="19"/>
          <w:szCs w:val="19"/>
          <w:color w:val="auto"/>
        </w:rPr>
      </w:pPr>
    </w:p>
    <w:p>
      <w:pPr>
        <w:ind w:left="100" w:right="780" w:firstLine="387"/>
        <w:spacing w:after="0" w:line="260" w:lineRule="auto"/>
        <w:tabs>
          <w:tab w:leader="none" w:pos="1036"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MacroGenics Personnel should never trade, tip or recommend securities (or otherwise cause the purchase or sale of securities) while in possession of information that individual has reason to believe is material and non-public unless such MacroGenics Personnel obtains the advance approval of the Compliance Officer.</w:t>
      </w:r>
    </w:p>
    <w:p>
      <w:pPr>
        <w:spacing w:after="0" w:line="203" w:lineRule="exact"/>
        <w:rPr>
          <w:rFonts w:ascii="Times New Roman" w:cs="Times New Roman" w:eastAsia="Times New Roman" w:hAnsi="Times New Roman"/>
          <w:sz w:val="20"/>
          <w:szCs w:val="20"/>
          <w:color w:val="auto"/>
        </w:rPr>
      </w:pPr>
    </w:p>
    <w:p>
      <w:pPr>
        <w:ind w:left="100" w:right="380" w:firstLine="387"/>
        <w:spacing w:after="0" w:line="275" w:lineRule="auto"/>
        <w:tabs>
          <w:tab w:leader="none" w:pos="1035" w:val="left"/>
        </w:tabs>
        <w:numPr>
          <w:ilvl w:val="0"/>
          <w:numId w:val="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Covered Persons must "pre-clear" all trading in securities of the Company in accordance with the procedures set forth in Part II, Section 3 below.</w:t>
      </w:r>
    </w:p>
    <w:p>
      <w:pPr>
        <w:spacing w:after="0" w:line="198" w:lineRule="exact"/>
        <w:rPr>
          <w:sz w:val="20"/>
          <w:szCs w:val="20"/>
          <w:color w:val="auto"/>
        </w:rPr>
      </w:pPr>
    </w:p>
    <w:p>
      <w:pPr>
        <w:ind w:left="300" w:hanging="255"/>
        <w:spacing w:after="0"/>
        <w:tabs>
          <w:tab w:leader="none" w:pos="300" w:val="left"/>
        </w:tabs>
        <w:numPr>
          <w:ilvl w:val="0"/>
          <w:numId w:val="80"/>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Other Prohibited Transactions</w:t>
      </w:r>
    </w:p>
    <w:p>
      <w:pPr>
        <w:spacing w:after="0" w:line="231" w:lineRule="exact"/>
        <w:rPr>
          <w:sz w:val="20"/>
          <w:szCs w:val="20"/>
          <w:color w:val="auto"/>
        </w:rPr>
      </w:pPr>
    </w:p>
    <w:p>
      <w:pPr>
        <w:ind w:firstLine="196"/>
        <w:spacing w:after="0" w:line="259" w:lineRule="auto"/>
        <w:rPr>
          <w:sz w:val="20"/>
          <w:szCs w:val="20"/>
          <w:color w:val="auto"/>
        </w:rPr>
      </w:pPr>
      <w:r>
        <w:rPr>
          <w:rFonts w:ascii="Times New Roman" w:cs="Times New Roman" w:eastAsia="Times New Roman" w:hAnsi="Times New Roman"/>
          <w:sz w:val="20"/>
          <w:szCs w:val="20"/>
          <w:color w:val="auto"/>
        </w:rPr>
        <w:t>The Company considers it improper and inappropriate for MacroGenics Personnel to engage in short-term or speculative transactions in the Company’s securities or in other transactions that may lead to inadvertent violations of the insider trading laws or the appearance of profiting off of insider information, potentially triggering a government investigation. Accordingly, trading in the Company’s securities by MacroGenics Personnel is subject to the following additional restrictions:</w:t>
      </w:r>
    </w:p>
    <w:p>
      <w:pPr>
        <w:spacing w:after="0" w:line="218" w:lineRule="exact"/>
        <w:rPr>
          <w:sz w:val="20"/>
          <w:szCs w:val="20"/>
          <w:color w:val="auto"/>
        </w:rPr>
      </w:pPr>
    </w:p>
    <w:p>
      <w:pPr>
        <w:ind w:left="1020" w:hanging="715"/>
        <w:spacing w:after="0"/>
        <w:tabs>
          <w:tab w:leader="none" w:pos="1020"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Short sales.</w:t>
      </w:r>
      <w:r>
        <w:rPr>
          <w:rFonts w:ascii="Times New Roman" w:cs="Times New Roman" w:eastAsia="Times New Roman" w:hAnsi="Times New Roman"/>
          <w:sz w:val="20"/>
          <w:szCs w:val="20"/>
          <w:color w:val="auto"/>
        </w:rPr>
        <w:t xml:space="preserve"> MacroGenics Personnel may not sell the Company's securities short;</w:t>
      </w:r>
    </w:p>
    <w:p>
      <w:pPr>
        <w:spacing w:after="0" w:line="318" w:lineRule="exact"/>
        <w:rPr>
          <w:rFonts w:ascii="Times New Roman" w:cs="Times New Roman" w:eastAsia="Times New Roman" w:hAnsi="Times New Roman"/>
          <w:sz w:val="21"/>
          <w:szCs w:val="21"/>
          <w:color w:val="auto"/>
        </w:rPr>
      </w:pPr>
    </w:p>
    <w:p>
      <w:pPr>
        <w:ind w:right="1260" w:firstLine="305"/>
        <w:spacing w:after="0" w:line="277" w:lineRule="auto"/>
        <w:tabs>
          <w:tab w:leader="none" w:pos="1033"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Options trading.</w:t>
      </w:r>
      <w:r>
        <w:rPr>
          <w:rFonts w:ascii="Times New Roman" w:cs="Times New Roman" w:eastAsia="Times New Roman" w:hAnsi="Times New Roman"/>
          <w:sz w:val="20"/>
          <w:szCs w:val="20"/>
          <w:color w:val="auto"/>
        </w:rPr>
        <w:t xml:space="preserve"> MacroGenics Personnel may not buy or sell puts or calls or other derivative securities on the Company's securities;</w:t>
      </w:r>
    </w:p>
    <w:p>
      <w:pPr>
        <w:spacing w:after="0" w:line="185" w:lineRule="exact"/>
        <w:rPr>
          <w:rFonts w:ascii="Times New Roman" w:cs="Times New Roman" w:eastAsia="Times New Roman" w:hAnsi="Times New Roman"/>
          <w:sz w:val="21"/>
          <w:szCs w:val="21"/>
          <w:color w:val="auto"/>
        </w:rPr>
      </w:pPr>
    </w:p>
    <w:p>
      <w:pPr>
        <w:ind w:right="960" w:firstLine="305"/>
        <w:spacing w:after="0" w:line="277" w:lineRule="auto"/>
        <w:tabs>
          <w:tab w:leader="none" w:pos="1034"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Trading on margin or pledging.</w:t>
      </w:r>
      <w:r>
        <w:rPr>
          <w:rFonts w:ascii="Times New Roman" w:cs="Times New Roman" w:eastAsia="Times New Roman" w:hAnsi="Times New Roman"/>
          <w:sz w:val="20"/>
          <w:szCs w:val="20"/>
          <w:color w:val="auto"/>
        </w:rPr>
        <w:t xml:space="preserve"> MacroGenics Personnel may not hold Company securities in a margin account or pledge Company securities as collateral for a loan; and</w:t>
      </w:r>
    </w:p>
    <w:p>
      <w:pPr>
        <w:spacing w:after="0" w:line="185" w:lineRule="exact"/>
        <w:rPr>
          <w:rFonts w:ascii="Times New Roman" w:cs="Times New Roman" w:eastAsia="Times New Roman" w:hAnsi="Times New Roman"/>
          <w:sz w:val="21"/>
          <w:szCs w:val="21"/>
          <w:color w:val="auto"/>
        </w:rPr>
      </w:pPr>
    </w:p>
    <w:p>
      <w:pPr>
        <w:ind w:right="380" w:firstLine="305"/>
        <w:spacing w:after="0" w:line="263" w:lineRule="auto"/>
        <w:tabs>
          <w:tab w:leader="none" w:pos="1083" w:val="left"/>
        </w:tabs>
        <w:numPr>
          <w:ilvl w:val="1"/>
          <w:numId w:val="81"/>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u w:val="single" w:color="auto"/>
          <w:color w:val="auto"/>
        </w:rPr>
        <w:t>Hedging.</w:t>
      </w:r>
      <w:r>
        <w:rPr>
          <w:rFonts w:ascii="Times New Roman" w:cs="Times New Roman" w:eastAsia="Times New Roman" w:hAnsi="Times New Roman"/>
          <w:sz w:val="20"/>
          <w:szCs w:val="20"/>
          <w:color w:val="auto"/>
        </w:rPr>
        <w:t xml:space="preserve"> MacroGenics Personnel may not enter into hedging or monetization transactions or similar arrangements with respect to Company securities.</w:t>
      </w:r>
    </w:p>
    <w:p>
      <w:pPr>
        <w:spacing w:after="0" w:line="208" w:lineRule="exact"/>
        <w:rPr>
          <w:rFonts w:ascii="Times New Roman" w:cs="Times New Roman" w:eastAsia="Times New Roman" w:hAnsi="Times New Roman"/>
          <w:sz w:val="21"/>
          <w:szCs w:val="21"/>
          <w:color w:val="auto"/>
        </w:rPr>
      </w:pPr>
    </w:p>
    <w:p>
      <w:pPr>
        <w:ind w:left="300" w:hanging="255"/>
        <w:spacing w:after="0"/>
        <w:tabs>
          <w:tab w:leader="none" w:pos="300" w:val="left"/>
        </w:tabs>
        <w:numPr>
          <w:ilvl w:val="0"/>
          <w:numId w:val="82"/>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No Trading in Securities of Other Companies While Aware of Material Non-public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00"/>
        <w:spacing w:after="0"/>
        <w:rPr>
          <w:sz w:val="20"/>
          <w:szCs w:val="20"/>
          <w:color w:val="auto"/>
        </w:rPr>
      </w:pPr>
      <w:r>
        <w:rPr>
          <w:rFonts w:ascii="Times New Roman" w:cs="Times New Roman" w:eastAsia="Times New Roman" w:hAnsi="Times New Roman"/>
          <w:sz w:val="21"/>
          <w:szCs w:val="21"/>
          <w:i w:val="1"/>
          <w:iCs w:val="1"/>
          <w:color w:val="auto"/>
        </w:rPr>
        <w:t>MacroGenics, Inc. – Insider Trading Policy</w:t>
      </w:r>
    </w:p>
    <w:p>
      <w:pPr>
        <w:sectPr>
          <w:pgSz w:w="11900" w:h="16838" w:orient="portrait"/>
          <w:cols w:equalWidth="0" w:num="1">
            <w:col w:w="11020"/>
          </w:cols>
          <w:pgMar w:left="540" w:top="1440" w:right="339" w:bottom="1440" w:gutter="0" w:footer="0" w:header="0"/>
        </w:sectPr>
      </w:pPr>
    </w:p>
    <w:bookmarkStart w:id="129" w:name="page130"/>
    <w:bookmarkEnd w:id="129"/>
    <w:p>
      <w:pPr>
        <w:ind w:left="80" w:firstLine="404"/>
        <w:spacing w:after="0" w:line="256" w:lineRule="auto"/>
        <w:rPr>
          <w:sz w:val="20"/>
          <w:szCs w:val="20"/>
          <w:color w:val="auto"/>
        </w:rPr>
      </w:pPr>
      <w:r>
        <w:rPr>
          <w:rFonts w:ascii="Times New Roman" w:cs="Times New Roman" w:eastAsia="Times New Roman" w:hAnsi="Times New Roman"/>
          <w:sz w:val="20"/>
          <w:szCs w:val="20"/>
          <w:color w:val="auto"/>
        </w:rPr>
        <w:t>The Company may engage in business transactions with companies whose securities are publicly traded. These transactions may include, among other things, mergers, acquisitions, divestitures or renewal or termination of significant contracts, collaborations and license agreements or other arrangements. Information learned in connection with these transactions or relationships may constitute material non-public information about the other company. MacroGenics Personnel are prohibited from trading in the securities of these companies while aware of material non-public information about the companies and from communicating that information to any other person for such use.</w:t>
      </w:r>
    </w:p>
    <w:p>
      <w:pPr>
        <w:spacing w:after="0" w:line="217" w:lineRule="exact"/>
        <w:rPr>
          <w:sz w:val="20"/>
          <w:szCs w:val="20"/>
          <w:color w:val="auto"/>
        </w:rPr>
      </w:pPr>
    </w:p>
    <w:p>
      <w:pPr>
        <w:ind w:left="340" w:hanging="255"/>
        <w:spacing w:after="0"/>
        <w:tabs>
          <w:tab w:leader="none" w:pos="340" w:val="left"/>
        </w:tabs>
        <w:numPr>
          <w:ilvl w:val="0"/>
          <w:numId w:val="83"/>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Definitions</w:t>
      </w:r>
    </w:p>
    <w:p>
      <w:pPr>
        <w:spacing w:after="0" w:line="244" w:lineRule="exact"/>
        <w:rPr>
          <w:rFonts w:ascii="Times New Roman" w:cs="Times New Roman" w:eastAsia="Times New Roman" w:hAnsi="Times New Roman"/>
          <w:sz w:val="21"/>
          <w:szCs w:val="21"/>
          <w:b w:val="1"/>
          <w:bCs w:val="1"/>
          <w:color w:val="auto"/>
        </w:rPr>
      </w:pPr>
    </w:p>
    <w:p>
      <w:pPr>
        <w:ind w:left="60" w:firstLine="311"/>
        <w:spacing w:after="0" w:line="260" w:lineRule="auto"/>
        <w:tabs>
          <w:tab w:leader="none" w:pos="1075" w:val="left"/>
        </w:tabs>
        <w:numPr>
          <w:ilvl w:val="1"/>
          <w:numId w:val="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Materiality</w:t>
      </w:r>
      <w:r>
        <w:rPr>
          <w:rFonts w:ascii="Times New Roman" w:cs="Times New Roman" w:eastAsia="Times New Roman" w:hAnsi="Times New Roman"/>
          <w:sz w:val="20"/>
          <w:szCs w:val="20"/>
          <w:color w:val="auto"/>
        </w:rPr>
        <w:t xml:space="preserve"> -- Insider trading restrictions come into play only if the information is "material." Information is generally regarded as "material" if it has market significance, that is, if its public dissemination is likely to affect the market price of securities, or if it otherwise is information that a reasonable investor would want to know before making an investment decision.</w:t>
      </w:r>
    </w:p>
    <w:p>
      <w:pPr>
        <w:spacing w:after="0" w:line="216" w:lineRule="exact"/>
        <w:rPr>
          <w:sz w:val="20"/>
          <w:szCs w:val="20"/>
          <w:color w:val="auto"/>
        </w:rPr>
      </w:pPr>
    </w:p>
    <w:p>
      <w:pPr>
        <w:ind w:left="40" w:right="280" w:firstLine="625"/>
        <w:spacing w:after="0" w:line="275" w:lineRule="auto"/>
        <w:rPr>
          <w:sz w:val="20"/>
          <w:szCs w:val="20"/>
          <w:color w:val="auto"/>
        </w:rPr>
      </w:pPr>
      <w:r>
        <w:rPr>
          <w:rFonts w:ascii="Times New Roman" w:cs="Times New Roman" w:eastAsia="Times New Roman" w:hAnsi="Times New Roman"/>
          <w:sz w:val="20"/>
          <w:szCs w:val="20"/>
          <w:color w:val="auto"/>
        </w:rPr>
        <w:t>Information dealing with the certain subjects is reasonably likely to be found material in particular situations. These subjects include but are not limited to:</w:t>
      </w:r>
    </w:p>
    <w:p>
      <w:pPr>
        <w:spacing w:after="0" w:line="189" w:lineRule="exact"/>
        <w:rPr>
          <w:sz w:val="20"/>
          <w:szCs w:val="20"/>
          <w:color w:val="auto"/>
        </w:rPr>
      </w:pPr>
    </w:p>
    <w:p>
      <w:pPr>
        <w:ind w:left="660" w:hanging="315"/>
        <w:spacing w:after="0"/>
        <w:tabs>
          <w:tab w:leader="none" w:pos="6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financial results or forecasts;</w:t>
      </w:r>
    </w:p>
    <w:p>
      <w:pPr>
        <w:spacing w:after="0" w:line="20" w:lineRule="exact"/>
        <w:rPr>
          <w:rFonts w:ascii="Times New Roman" w:cs="Times New Roman" w:eastAsia="Times New Roman" w:hAnsi="Times New Roman"/>
          <w:sz w:val="21"/>
          <w:szCs w:val="21"/>
          <w:color w:val="auto"/>
        </w:rPr>
      </w:pPr>
    </w:p>
    <w:p>
      <w:pPr>
        <w:ind w:left="660" w:hanging="315"/>
        <w:spacing w:after="0"/>
        <w:tabs>
          <w:tab w:leader="none" w:pos="6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significant changes in the Company's prospects;</w:t>
      </w:r>
    </w:p>
    <w:p>
      <w:pPr>
        <w:spacing w:after="0" w:line="18" w:lineRule="exact"/>
        <w:rPr>
          <w:rFonts w:ascii="Times New Roman" w:cs="Times New Roman" w:eastAsia="Times New Roman" w:hAnsi="Times New Roman"/>
          <w:sz w:val="21"/>
          <w:szCs w:val="21"/>
          <w:color w:val="auto"/>
        </w:rPr>
      </w:pPr>
    </w:p>
    <w:p>
      <w:pPr>
        <w:ind w:left="660" w:hanging="315"/>
        <w:spacing w:after="0"/>
        <w:tabs>
          <w:tab w:leader="none" w:pos="6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developments in connection with pre-clinical and clinical trials;</w:t>
      </w:r>
    </w:p>
    <w:p>
      <w:pPr>
        <w:spacing w:after="0" w:line="5" w:lineRule="exact"/>
        <w:rPr>
          <w:rFonts w:ascii="Times New Roman" w:cs="Times New Roman" w:eastAsia="Times New Roman" w:hAnsi="Times New Roman"/>
          <w:sz w:val="21"/>
          <w:szCs w:val="21"/>
          <w:color w:val="auto"/>
        </w:rPr>
      </w:pPr>
    </w:p>
    <w:p>
      <w:pPr>
        <w:ind w:left="660" w:hanging="315"/>
        <w:spacing w:after="0"/>
        <w:tabs>
          <w:tab w:leader="none" w:pos="6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significant litigation or government agency inquiries or investigations;</w:t>
      </w:r>
    </w:p>
    <w:p>
      <w:pPr>
        <w:spacing w:after="0" w:line="18" w:lineRule="exact"/>
        <w:rPr>
          <w:rFonts w:ascii="Times New Roman" w:cs="Times New Roman" w:eastAsia="Times New Roman" w:hAnsi="Times New Roman"/>
          <w:sz w:val="21"/>
          <w:szCs w:val="21"/>
          <w:color w:val="auto"/>
        </w:rPr>
      </w:pPr>
    </w:p>
    <w:p>
      <w:pPr>
        <w:ind w:left="660" w:hanging="315"/>
        <w:spacing w:after="0"/>
        <w:tabs>
          <w:tab w:leader="none" w:pos="6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liquidity problems;</w:t>
      </w:r>
    </w:p>
    <w:p>
      <w:pPr>
        <w:spacing w:after="0" w:line="5" w:lineRule="exact"/>
        <w:rPr>
          <w:rFonts w:ascii="Times New Roman" w:cs="Times New Roman" w:eastAsia="Times New Roman" w:hAnsi="Times New Roman"/>
          <w:sz w:val="21"/>
          <w:szCs w:val="21"/>
          <w:color w:val="auto"/>
        </w:rPr>
      </w:pPr>
    </w:p>
    <w:p>
      <w:pPr>
        <w:ind w:left="660" w:hanging="315"/>
        <w:spacing w:after="0"/>
        <w:tabs>
          <w:tab w:leader="none" w:pos="6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major changes in management, departure in key personnel or large volume employee layoffs;</w:t>
      </w:r>
    </w:p>
    <w:p>
      <w:pPr>
        <w:spacing w:after="0" w:line="18" w:lineRule="exact"/>
        <w:rPr>
          <w:rFonts w:ascii="Times New Roman" w:cs="Times New Roman" w:eastAsia="Times New Roman" w:hAnsi="Times New Roman"/>
          <w:sz w:val="21"/>
          <w:szCs w:val="21"/>
          <w:color w:val="auto"/>
        </w:rPr>
      </w:pPr>
    </w:p>
    <w:p>
      <w:pPr>
        <w:ind w:left="660" w:hanging="315"/>
        <w:spacing w:after="0"/>
        <w:tabs>
          <w:tab w:leader="none" w:pos="6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entering into major contracts or major contract cancellations;</w:t>
      </w:r>
    </w:p>
    <w:p>
      <w:pPr>
        <w:spacing w:after="0" w:line="5" w:lineRule="exact"/>
        <w:rPr>
          <w:rFonts w:ascii="Times New Roman" w:cs="Times New Roman" w:eastAsia="Times New Roman" w:hAnsi="Times New Roman"/>
          <w:sz w:val="21"/>
          <w:szCs w:val="21"/>
          <w:color w:val="auto"/>
        </w:rPr>
      </w:pPr>
    </w:p>
    <w:p>
      <w:pPr>
        <w:ind w:left="660" w:right="320" w:hanging="315"/>
        <w:spacing w:after="0" w:line="257" w:lineRule="auto"/>
        <w:tabs>
          <w:tab w:leader="none" w:pos="655"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a disruption in the Company’s operations or breach or unauthorized access of its property or assets, including its facilities or information technology infrastructure;</w:t>
      </w:r>
    </w:p>
    <w:p>
      <w:pPr>
        <w:spacing w:after="0" w:line="1" w:lineRule="exact"/>
        <w:rPr>
          <w:rFonts w:ascii="Times New Roman" w:cs="Times New Roman" w:eastAsia="Times New Roman" w:hAnsi="Times New Roman"/>
          <w:sz w:val="21"/>
          <w:szCs w:val="21"/>
          <w:color w:val="auto"/>
        </w:rPr>
      </w:pPr>
    </w:p>
    <w:p>
      <w:pPr>
        <w:ind w:left="660" w:right="300" w:hanging="315"/>
        <w:spacing w:after="0" w:line="251" w:lineRule="auto"/>
        <w:tabs>
          <w:tab w:leader="none" w:pos="655"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proposals, plans or agreements, even if preliminary in nature, involving mergers, acquisitions, divestitures, recapitalizations, strategic alliances, licensing arrangements, or purchases or sales of substantial assets; and</w:t>
      </w:r>
    </w:p>
    <w:p>
      <w:pPr>
        <w:spacing w:after="0" w:line="1" w:lineRule="exact"/>
        <w:rPr>
          <w:rFonts w:ascii="Times New Roman" w:cs="Times New Roman" w:eastAsia="Times New Roman" w:hAnsi="Times New Roman"/>
          <w:sz w:val="21"/>
          <w:szCs w:val="21"/>
          <w:color w:val="auto"/>
        </w:rPr>
      </w:pPr>
    </w:p>
    <w:p>
      <w:pPr>
        <w:ind w:left="660" w:hanging="315"/>
        <w:spacing w:after="0"/>
        <w:tabs>
          <w:tab w:leader="none" w:pos="660" w:val="left"/>
        </w:tabs>
        <w:numPr>
          <w:ilvl w:val="0"/>
          <w:numId w:val="84"/>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capital raising plans.</w:t>
      </w:r>
    </w:p>
    <w:p>
      <w:pPr>
        <w:spacing w:after="0" w:line="240" w:lineRule="exact"/>
        <w:rPr>
          <w:sz w:val="20"/>
          <w:szCs w:val="20"/>
          <w:color w:val="auto"/>
        </w:rPr>
      </w:pPr>
    </w:p>
    <w:p>
      <w:pPr>
        <w:ind w:left="40" w:firstLine="625"/>
        <w:spacing w:after="0" w:line="256" w:lineRule="auto"/>
        <w:rPr>
          <w:sz w:val="20"/>
          <w:szCs w:val="20"/>
          <w:color w:val="auto"/>
        </w:rPr>
      </w:pPr>
      <w:r>
        <w:rPr>
          <w:rFonts w:ascii="Times New Roman" w:cs="Times New Roman" w:eastAsia="Times New Roman" w:hAnsi="Times New Roman"/>
          <w:sz w:val="20"/>
          <w:szCs w:val="20"/>
          <w:color w:val="auto"/>
        </w:rPr>
        <w:t>Material information is not limited to historical facts but may also include projections and forecasts. With respect to a future event, such as a collaboration or introduction of a new product candidate, for example, the point at which negotiations or product development are determined to be material is determined by balancing the probability that the event will occur against the magnitude of the effect the event would have on a company's operations or stock price should it occur. Thus, information concerning an event that would have a large effect on stock price, such as a new collaboration, may be material even if the possibility that the event will occur is relatively small.</w:t>
      </w:r>
    </w:p>
    <w:p>
      <w:pPr>
        <w:spacing w:after="0" w:line="195" w:lineRule="exact"/>
        <w:rPr>
          <w:sz w:val="20"/>
          <w:szCs w:val="20"/>
          <w:color w:val="auto"/>
        </w:rPr>
      </w:pPr>
    </w:p>
    <w:p>
      <w:pPr>
        <w:ind w:left="40" w:right="160" w:firstLine="625"/>
        <w:spacing w:after="0" w:line="267" w:lineRule="auto"/>
        <w:rPr>
          <w:sz w:val="20"/>
          <w:szCs w:val="20"/>
          <w:color w:val="auto"/>
        </w:rPr>
      </w:pPr>
      <w:r>
        <w:rPr>
          <w:rFonts w:ascii="Times New Roman" w:cs="Times New Roman" w:eastAsia="Times New Roman" w:hAnsi="Times New Roman"/>
          <w:sz w:val="20"/>
          <w:szCs w:val="20"/>
          <w:color w:val="auto"/>
        </w:rPr>
        <w:t>When in doubt about whether particular non-public information is material, presume it is material unless instructed otherwise. Any person with questions about the potential materiality of particular non-public Company information in their possession should contact the department head or the General Counsel.</w:t>
      </w:r>
    </w:p>
    <w:p>
      <w:pPr>
        <w:spacing w:after="0" w:line="196" w:lineRule="exact"/>
        <w:rPr>
          <w:sz w:val="20"/>
          <w:szCs w:val="20"/>
          <w:color w:val="auto"/>
        </w:rPr>
      </w:pPr>
    </w:p>
    <w:p>
      <w:pPr>
        <w:ind w:left="40" w:right="20" w:hanging="312"/>
        <w:spacing w:after="0" w:line="275" w:lineRule="auto"/>
        <w:rPr>
          <w:sz w:val="20"/>
          <w:szCs w:val="20"/>
          <w:color w:val="auto"/>
        </w:rPr>
      </w:pPr>
      <w:r>
        <w:rPr>
          <w:rFonts w:ascii="Times New Roman" w:cs="Times New Roman" w:eastAsia="Times New Roman" w:hAnsi="Times New Roman"/>
          <w:sz w:val="20"/>
          <w:szCs w:val="20"/>
          <w:u w:val="single" w:color="auto"/>
          <w:color w:val="auto"/>
        </w:rPr>
        <w:t>Non-public Information</w:t>
      </w:r>
      <w:r>
        <w:rPr>
          <w:rFonts w:ascii="Times New Roman" w:cs="Times New Roman" w:eastAsia="Times New Roman" w:hAnsi="Times New Roman"/>
          <w:sz w:val="20"/>
          <w:szCs w:val="20"/>
          <w:color w:val="auto"/>
        </w:rPr>
        <w:t xml:space="preserve"> -- Insider trading prohibitions come into play only when you possess information that is material </w:t>
      </w:r>
      <w:r>
        <w:rPr>
          <w:rFonts w:ascii="Times New Roman" w:cs="Times New Roman" w:eastAsia="Times New Roman" w:hAnsi="Times New Roman"/>
          <w:sz w:val="20"/>
          <w:szCs w:val="20"/>
          <w:u w:val="single" w:color="auto"/>
          <w:color w:val="auto"/>
        </w:rPr>
        <w:t>and</w:t>
      </w:r>
      <w:r>
        <w:rPr>
          <w:rFonts w:ascii="Times New Roman" w:cs="Times New Roman" w:eastAsia="Times New Roman" w:hAnsi="Times New Roman"/>
          <w:sz w:val="20"/>
          <w:szCs w:val="20"/>
          <w:color w:val="auto"/>
        </w:rPr>
        <w:t xml:space="preserve"> "non-public." The fact that information has been disclosed to a few members of</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i w:val="1"/>
          <w:iCs w:val="1"/>
          <w:color w:val="auto"/>
        </w:rPr>
        <w:t>MacroGenics, Inc. – Insider Trading Policy</w:t>
      </w:r>
    </w:p>
    <w:p>
      <w:pPr>
        <w:sectPr>
          <w:pgSz w:w="11900" w:h="16838" w:orient="portrait"/>
          <w:cols w:equalWidth="0" w:num="1">
            <w:col w:w="10880"/>
          </w:cols>
          <w:pgMar w:left="500" w:top="1320" w:right="519" w:bottom="1440" w:gutter="0" w:footer="0" w:header="0"/>
        </w:sectPr>
      </w:pPr>
    </w:p>
    <w:bookmarkStart w:id="130" w:name="page131"/>
    <w:bookmarkEnd w:id="130"/>
    <w:p>
      <w:pPr>
        <w:spacing w:after="0" w:line="259" w:lineRule="auto"/>
        <w:rPr>
          <w:sz w:val="20"/>
          <w:szCs w:val="20"/>
          <w:color w:val="auto"/>
        </w:rPr>
      </w:pPr>
      <w:r>
        <w:rPr>
          <w:rFonts w:ascii="Times New Roman" w:cs="Times New Roman" w:eastAsia="Times New Roman" w:hAnsi="Times New Roman"/>
          <w:sz w:val="20"/>
          <w:szCs w:val="20"/>
          <w:color w:val="auto"/>
        </w:rPr>
        <w:t>the public does not make it public for insider trading purposes. To be "public" the information must have been disseminated in a manner designed to reach investors generally, and the investors must be given the opportunity to absorb the information. As a rule of thumb, there should a referenceable source reflecting the widespread distribution of the information. In addition, under this Policy, Covered Persons must wait until the close of business on the second trading day after the information was publicly disclosed before the information will be considered public.</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Examples of non-public information may include:</w:t>
      </w:r>
    </w:p>
    <w:p>
      <w:pPr>
        <w:spacing w:after="0" w:line="265" w:lineRule="exact"/>
        <w:rPr>
          <w:sz w:val="20"/>
          <w:szCs w:val="20"/>
          <w:color w:val="auto"/>
        </w:rPr>
      </w:pPr>
    </w:p>
    <w:p>
      <w:pPr>
        <w:ind w:left="620" w:hanging="315"/>
        <w:spacing w:after="0"/>
        <w:tabs>
          <w:tab w:leader="none" w:pos="62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information available to a select group of analysts or brokers or institutional investors;</w:t>
      </w:r>
    </w:p>
    <w:p>
      <w:pPr>
        <w:spacing w:after="0" w:line="20" w:lineRule="exact"/>
        <w:rPr>
          <w:rFonts w:ascii="Times New Roman" w:cs="Times New Roman" w:eastAsia="Times New Roman" w:hAnsi="Times New Roman"/>
          <w:sz w:val="21"/>
          <w:szCs w:val="21"/>
          <w:color w:val="auto"/>
        </w:rPr>
      </w:pPr>
    </w:p>
    <w:p>
      <w:pPr>
        <w:ind w:left="620" w:hanging="315"/>
        <w:spacing w:after="0"/>
        <w:tabs>
          <w:tab w:leader="none" w:pos="620"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undisclosed facts that are the subject of rumors, even if the rumors are widely circulated; and</w:t>
      </w:r>
    </w:p>
    <w:p>
      <w:pPr>
        <w:spacing w:after="0" w:line="5" w:lineRule="exact"/>
        <w:rPr>
          <w:rFonts w:ascii="Times New Roman" w:cs="Times New Roman" w:eastAsia="Times New Roman" w:hAnsi="Times New Roman"/>
          <w:sz w:val="21"/>
          <w:szCs w:val="21"/>
          <w:color w:val="auto"/>
        </w:rPr>
      </w:pPr>
    </w:p>
    <w:p>
      <w:pPr>
        <w:ind w:left="620" w:right="120" w:hanging="315"/>
        <w:spacing w:after="0" w:line="262" w:lineRule="auto"/>
        <w:tabs>
          <w:tab w:leader="none" w:pos="615" w:val="left"/>
        </w:tabs>
        <w:numPr>
          <w:ilvl w:val="1"/>
          <w:numId w:val="85"/>
        </w:numPr>
        <w:rPr>
          <w:rFonts w:ascii="Times New Roman" w:cs="Times New Roman" w:eastAsia="Times New Roman" w:hAnsi="Times New Roman"/>
          <w:sz w:val="21"/>
          <w:szCs w:val="21"/>
          <w:color w:val="auto"/>
        </w:rPr>
      </w:pPr>
      <w:r>
        <w:rPr>
          <w:rFonts w:ascii="Times New Roman" w:cs="Times New Roman" w:eastAsia="Times New Roman" w:hAnsi="Times New Roman"/>
          <w:sz w:val="20"/>
          <w:szCs w:val="20"/>
          <w:color w:val="auto"/>
        </w:rPr>
        <w:t>information that has been entrusted to the Company on a confidential basis until a public announcement of the information has been made and enough time has elapsed for the market to respond to a public announcement of the information.</w:t>
      </w:r>
    </w:p>
    <w:p>
      <w:pPr>
        <w:spacing w:after="0" w:line="200" w:lineRule="exact"/>
        <w:rPr>
          <w:rFonts w:ascii="Times New Roman" w:cs="Times New Roman" w:eastAsia="Times New Roman" w:hAnsi="Times New Roman"/>
          <w:sz w:val="21"/>
          <w:szCs w:val="21"/>
          <w:color w:val="auto"/>
        </w:rPr>
      </w:pPr>
    </w:p>
    <w:p>
      <w:pPr>
        <w:ind w:left="100" w:right="280" w:firstLine="309"/>
        <w:spacing w:after="0" w:line="275" w:lineRule="auto"/>
        <w:tabs>
          <w:tab w:leader="none" w:pos="1035" w:val="left"/>
        </w:tabs>
        <w:numPr>
          <w:ilvl w:val="2"/>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Authorized Company Official</w:t>
      </w:r>
      <w:r>
        <w:rPr>
          <w:rFonts w:ascii="Times New Roman" w:cs="Times New Roman" w:eastAsia="Times New Roman" w:hAnsi="Times New Roman"/>
          <w:sz w:val="20"/>
          <w:szCs w:val="20"/>
          <w:color w:val="auto"/>
        </w:rPr>
        <w:t xml:space="preserve"> – With respect to this Policy, an Authorized Company Official includes the General Counsel, Compliance Officer, Chief Financial Officer, or their designees. The duties of the Authorized Company Official include:</w:t>
      </w:r>
    </w:p>
    <w:p>
      <w:pPr>
        <w:spacing w:after="0" w:line="202" w:lineRule="exact"/>
        <w:rPr>
          <w:rFonts w:ascii="Times New Roman" w:cs="Times New Roman" w:eastAsia="Times New Roman" w:hAnsi="Times New Roman"/>
          <w:sz w:val="20"/>
          <w:szCs w:val="20"/>
          <w:color w:val="auto"/>
        </w:rPr>
      </w:pPr>
    </w:p>
    <w:p>
      <w:pPr>
        <w:ind w:left="560" w:right="280" w:hanging="255"/>
        <w:spacing w:after="0" w:line="251" w:lineRule="auto"/>
        <w:tabs>
          <w:tab w:leader="none" w:pos="555" w:val="left"/>
        </w:tabs>
        <w:numPr>
          <w:ilvl w:val="1"/>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identifying and notifying employees of their status as a Covered Person, and any other duties delegated by the General Counsel;</w:t>
      </w:r>
    </w:p>
    <w:p>
      <w:pPr>
        <w:spacing w:after="0" w:line="1" w:lineRule="exact"/>
        <w:rPr>
          <w:rFonts w:ascii="Times New Roman" w:cs="Times New Roman" w:eastAsia="Times New Roman" w:hAnsi="Times New Roman"/>
          <w:sz w:val="21"/>
          <w:szCs w:val="21"/>
          <w:b w:val="1"/>
          <w:bCs w:val="1"/>
          <w:color w:val="auto"/>
        </w:rPr>
      </w:pPr>
    </w:p>
    <w:p>
      <w:pPr>
        <w:ind w:left="560" w:right="180" w:hanging="255"/>
        <w:spacing w:after="0" w:line="251" w:lineRule="auto"/>
        <w:tabs>
          <w:tab w:leader="none" w:pos="555" w:val="left"/>
        </w:tabs>
        <w:numPr>
          <w:ilvl w:val="1"/>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pre-clearing all trading in securities of the Company by Covered Persons in accordance with the procedures set forth in Part II, Section 3 below; and</w:t>
      </w:r>
    </w:p>
    <w:p>
      <w:pPr>
        <w:spacing w:after="0" w:line="1" w:lineRule="exact"/>
        <w:rPr>
          <w:rFonts w:ascii="Times New Roman" w:cs="Times New Roman" w:eastAsia="Times New Roman" w:hAnsi="Times New Roman"/>
          <w:sz w:val="21"/>
          <w:szCs w:val="21"/>
          <w:b w:val="1"/>
          <w:bCs w:val="1"/>
          <w:color w:val="auto"/>
        </w:rPr>
      </w:pPr>
    </w:p>
    <w:p>
      <w:pPr>
        <w:ind w:left="560" w:hanging="255"/>
        <w:spacing w:after="0"/>
        <w:tabs>
          <w:tab w:leader="none" w:pos="560" w:val="left"/>
        </w:tabs>
        <w:numPr>
          <w:ilvl w:val="1"/>
          <w:numId w:val="85"/>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providing approval of any transactions under Part II, Section 3 below.</w:t>
      </w:r>
    </w:p>
    <w:p>
      <w:pPr>
        <w:spacing w:after="0" w:line="227" w:lineRule="exact"/>
        <w:rPr>
          <w:rFonts w:ascii="Times New Roman" w:cs="Times New Roman" w:eastAsia="Times New Roman" w:hAnsi="Times New Roman"/>
          <w:sz w:val="21"/>
          <w:szCs w:val="21"/>
          <w:b w:val="1"/>
          <w:bCs w:val="1"/>
          <w:color w:val="auto"/>
        </w:rPr>
      </w:pPr>
    </w:p>
    <w:p>
      <w:pPr>
        <w:ind w:right="240" w:firstLine="487"/>
        <w:spacing w:after="0" w:line="267" w:lineRule="auto"/>
        <w:tabs>
          <w:tab w:leader="none" w:pos="1041" w:val="left"/>
        </w:tabs>
        <w:numPr>
          <w:ilvl w:val="3"/>
          <w:numId w:val="8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General Counsel</w:t>
      </w:r>
      <w:r>
        <w:rPr>
          <w:rFonts w:ascii="Times New Roman" w:cs="Times New Roman" w:eastAsia="Times New Roman" w:hAnsi="Times New Roman"/>
          <w:sz w:val="20"/>
          <w:szCs w:val="20"/>
          <w:color w:val="auto"/>
        </w:rPr>
        <w:t xml:space="preserve"> – With respect to this Policy, the duties of the General Counsel, which duties the General Counsel may delegate an Authorized Company Official, include, but are not limited to, circulating this Policy to all MacroGenics Personnel and ensuring that this Policy is amended as necessary to remain up-to-date with insider trading laws .</w:t>
      </w:r>
    </w:p>
    <w:p>
      <w:pPr>
        <w:spacing w:after="0" w:line="192" w:lineRule="exact"/>
        <w:rPr>
          <w:rFonts w:ascii="Times New Roman" w:cs="Times New Roman" w:eastAsia="Times New Roman" w:hAnsi="Times New Roman"/>
          <w:sz w:val="20"/>
          <w:szCs w:val="20"/>
          <w:color w:val="auto"/>
        </w:rPr>
      </w:pPr>
    </w:p>
    <w:p>
      <w:pPr>
        <w:ind w:left="300" w:hanging="255"/>
        <w:spacing w:after="0"/>
        <w:tabs>
          <w:tab w:leader="none" w:pos="300" w:val="left"/>
        </w:tabs>
        <w:numPr>
          <w:ilvl w:val="0"/>
          <w:numId w:val="86"/>
        </w:numPr>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b w:val="1"/>
          <w:bCs w:val="1"/>
          <w:color w:val="auto"/>
        </w:rPr>
        <w:t>Violations of Insider Trading Laws</w:t>
      </w:r>
    </w:p>
    <w:p>
      <w:pPr>
        <w:spacing w:after="0" w:line="244" w:lineRule="exact"/>
        <w:rPr>
          <w:rFonts w:ascii="Times New Roman" w:cs="Times New Roman" w:eastAsia="Times New Roman" w:hAnsi="Times New Roman"/>
          <w:sz w:val="21"/>
          <w:szCs w:val="21"/>
          <w:b w:val="1"/>
          <w:bCs w:val="1"/>
          <w:color w:val="auto"/>
        </w:rPr>
      </w:pPr>
    </w:p>
    <w:p>
      <w:pPr>
        <w:ind w:left="300"/>
        <w:spacing w:after="0"/>
        <w:rPr>
          <w:rFonts w:ascii="Times New Roman" w:cs="Times New Roman" w:eastAsia="Times New Roman" w:hAnsi="Times New Roman"/>
          <w:sz w:val="21"/>
          <w:szCs w:val="21"/>
          <w:b w:val="1"/>
          <w:bCs w:val="1"/>
          <w:color w:val="auto"/>
        </w:rPr>
      </w:pPr>
      <w:r>
        <w:rPr>
          <w:rFonts w:ascii="Times New Roman" w:cs="Times New Roman" w:eastAsia="Times New Roman" w:hAnsi="Times New Roman"/>
          <w:sz w:val="20"/>
          <w:szCs w:val="20"/>
          <w:color w:val="auto"/>
        </w:rPr>
        <w:t>Penalties for trading on or communicating material non-public information can be severe, both for individuals involved in such</w:t>
      </w:r>
    </w:p>
    <w:p>
      <w:pPr>
        <w:spacing w:after="0" w:line="26" w:lineRule="exact"/>
        <w:rPr>
          <w:sz w:val="20"/>
          <w:szCs w:val="20"/>
          <w:color w:val="auto"/>
        </w:rPr>
      </w:pPr>
    </w:p>
    <w:p>
      <w:pPr>
        <w:ind w:right="120"/>
        <w:spacing w:after="0" w:line="266" w:lineRule="auto"/>
        <w:rPr>
          <w:sz w:val="20"/>
          <w:szCs w:val="20"/>
          <w:color w:val="auto"/>
        </w:rPr>
      </w:pPr>
      <w:r>
        <w:rPr>
          <w:rFonts w:ascii="Times New Roman" w:cs="Times New Roman" w:eastAsia="Times New Roman" w:hAnsi="Times New Roman"/>
          <w:sz w:val="20"/>
          <w:szCs w:val="20"/>
          <w:color w:val="auto"/>
        </w:rPr>
        <w:t>unlawful conduct and their employers and supervisors, and may include jail terms, criminal fines, civil penalties and civil enforcement injunctions. Given the severity of the potential penalties, compliance with this Policy is absolutely mandatory.</w:t>
      </w:r>
    </w:p>
    <w:p>
      <w:pPr>
        <w:spacing w:after="0" w:line="276" w:lineRule="exact"/>
        <w:rPr>
          <w:sz w:val="20"/>
          <w:szCs w:val="20"/>
          <w:color w:val="auto"/>
        </w:rPr>
      </w:pPr>
    </w:p>
    <w:p>
      <w:pPr>
        <w:jc w:val="both"/>
        <w:ind w:right="100" w:firstLine="261"/>
        <w:spacing w:after="0" w:line="260" w:lineRule="auto"/>
        <w:rPr>
          <w:sz w:val="20"/>
          <w:szCs w:val="20"/>
          <w:color w:val="auto"/>
        </w:rPr>
      </w:pPr>
      <w:r>
        <w:rPr>
          <w:rFonts w:ascii="Times New Roman" w:cs="Times New Roman" w:eastAsia="Times New Roman" w:hAnsi="Times New Roman"/>
          <w:sz w:val="20"/>
          <w:szCs w:val="20"/>
          <w:color w:val="auto"/>
        </w:rPr>
        <w:t>a)</w:t>
      </w:r>
      <w:r>
        <w:rPr>
          <w:rFonts w:ascii="Times New Roman" w:cs="Times New Roman" w:eastAsia="Times New Roman" w:hAnsi="Times New Roman"/>
          <w:sz w:val="20"/>
          <w:szCs w:val="20"/>
          <w:u w:val="single" w:color="auto"/>
          <w:color w:val="auto"/>
        </w:rPr>
        <w:t>Legal Penalties</w:t>
      </w:r>
      <w:r>
        <w:rPr>
          <w:rFonts w:ascii="Times New Roman" w:cs="Times New Roman" w:eastAsia="Times New Roman" w:hAnsi="Times New Roman"/>
          <w:sz w:val="20"/>
          <w:szCs w:val="20"/>
          <w:color w:val="auto"/>
        </w:rPr>
        <w:t>. A person who violates insider trading laws by engaging in transactions in a company's securities when they have material non-public information can be sentenced to a substantial jail term and required to pay a penalty of several times the amount of profits gained or losses avoided.</w:t>
      </w:r>
    </w:p>
    <w:p>
      <w:pPr>
        <w:spacing w:after="0" w:line="203" w:lineRule="exact"/>
        <w:rPr>
          <w:sz w:val="20"/>
          <w:szCs w:val="20"/>
          <w:color w:val="auto"/>
        </w:rPr>
      </w:pPr>
    </w:p>
    <w:p>
      <w:pPr>
        <w:ind w:right="420" w:firstLine="261"/>
        <w:spacing w:after="0" w:line="267" w:lineRule="auto"/>
        <w:rPr>
          <w:sz w:val="20"/>
          <w:szCs w:val="20"/>
          <w:color w:val="auto"/>
        </w:rPr>
      </w:pPr>
      <w:r>
        <w:rPr>
          <w:rFonts w:ascii="Times New Roman" w:cs="Times New Roman" w:eastAsia="Times New Roman" w:hAnsi="Times New Roman"/>
          <w:sz w:val="20"/>
          <w:szCs w:val="20"/>
          <w:color w:val="auto"/>
        </w:rPr>
        <w:t>In addition, a person who tips others may also be liable for transactions by the tippees to whom he or she has disclosed material non-public information. Tippers can be subject to the same penalties and sanctions as the tippees, and the SEC has imposed large penalties even when the tipper did not profit from the transaction.</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1"/>
          <w:szCs w:val="21"/>
          <w:i w:val="1"/>
          <w:iCs w:val="1"/>
          <w:color w:val="auto"/>
        </w:rPr>
        <w:t>MacroGenics, Inc. – Insider Trading Policy</w:t>
      </w:r>
    </w:p>
    <w:p>
      <w:pPr>
        <w:sectPr>
          <w:pgSz w:w="11900" w:h="16838" w:orient="portrait"/>
          <w:cols w:equalWidth="0" w:num="1">
            <w:col w:w="10860"/>
          </w:cols>
          <w:pgMar w:left="540" w:top="1320" w:right="499" w:bottom="1440" w:gutter="0" w:footer="0" w:header="0"/>
        </w:sectPr>
      </w:pPr>
    </w:p>
    <w:bookmarkStart w:id="131" w:name="page132"/>
    <w:bookmarkEnd w:id="131"/>
    <w:p>
      <w:pPr>
        <w:ind w:left="7" w:right="20" w:firstLine="261"/>
        <w:spacing w:after="0" w:line="259" w:lineRule="auto"/>
        <w:rPr>
          <w:sz w:val="20"/>
          <w:szCs w:val="20"/>
          <w:color w:val="auto"/>
        </w:rPr>
      </w:pPr>
      <w:r>
        <w:rPr>
          <w:rFonts w:ascii="Times New Roman" w:cs="Times New Roman" w:eastAsia="Times New Roman" w:hAnsi="Times New Roman"/>
          <w:sz w:val="20"/>
          <w:szCs w:val="20"/>
          <w:color w:val="auto"/>
        </w:rPr>
        <w:t>The SEC can also seek substantial penalties from any person who, at the time of an insider trading violation, "directly or indirectly controlled the person who committed such violation," which would apply to the Company and/or management and supervisory personnel. These control persons may be held liable for up to the greater of $1 million or three times the amount of the profits gained or losses avoided. Even for violations that result in a small or no profit, the SEC can seek a minimum of $1 million from a company and/or management and supervisory personnel as control persons.</w:t>
      </w:r>
    </w:p>
    <w:p>
      <w:pPr>
        <w:spacing w:after="0" w:line="192" w:lineRule="exact"/>
        <w:rPr>
          <w:sz w:val="20"/>
          <w:szCs w:val="20"/>
          <w:color w:val="auto"/>
        </w:rPr>
      </w:pPr>
    </w:p>
    <w:p>
      <w:pPr>
        <w:ind w:left="7" w:right="160" w:firstLine="253"/>
        <w:spacing w:after="0" w:line="267" w:lineRule="auto"/>
        <w:tabs>
          <w:tab w:leader="none" w:pos="1047" w:val="left"/>
        </w:tabs>
        <w:numPr>
          <w:ilvl w:val="0"/>
          <w:numId w:val="8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Company-imposed Penalties</w:t>
      </w:r>
      <w:r>
        <w:rPr>
          <w:rFonts w:ascii="Times New Roman" w:cs="Times New Roman" w:eastAsia="Times New Roman" w:hAnsi="Times New Roman"/>
          <w:sz w:val="20"/>
          <w:szCs w:val="20"/>
          <w:color w:val="auto"/>
        </w:rPr>
        <w:t>. MacroGenics Personnel who violate this Policy may be subject to disciplinary action by the Company, including dismissal for cause. Any exceptions to the Policy, if permitted, may only be granted by the General Counsel and must be provided before any activity contrary to the above requirements takes place.</w:t>
      </w:r>
    </w:p>
    <w:p>
      <w:pPr>
        <w:spacing w:after="0" w:line="179"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34"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20"/>
          <w:szCs w:val="20"/>
          <w:b w:val="1"/>
          <w:bCs w:val="1"/>
          <w:color w:val="auto"/>
        </w:rPr>
        <w:t>Additional Trading Restrictions for Covered Persons</w:t>
      </w:r>
    </w:p>
    <w:p>
      <w:pPr>
        <w:spacing w:after="0" w:line="235" w:lineRule="exact"/>
        <w:rPr>
          <w:sz w:val="20"/>
          <w:szCs w:val="20"/>
          <w:color w:val="auto"/>
        </w:rPr>
      </w:pPr>
    </w:p>
    <w:p>
      <w:pPr>
        <w:ind w:left="7"/>
        <w:spacing w:after="0"/>
        <w:rPr>
          <w:sz w:val="20"/>
          <w:szCs w:val="20"/>
          <w:color w:val="auto"/>
        </w:rPr>
      </w:pPr>
      <w:r>
        <w:rPr>
          <w:rFonts w:ascii="Times New Roman" w:cs="Times New Roman" w:eastAsia="Times New Roman" w:hAnsi="Times New Roman"/>
          <w:sz w:val="20"/>
          <w:szCs w:val="20"/>
          <w:b w:val="1"/>
          <w:bCs w:val="1"/>
          <w:color w:val="auto"/>
        </w:rPr>
        <w:t>1.  Blackout Periods</w:t>
      </w:r>
    </w:p>
    <w:p>
      <w:pPr>
        <w:spacing w:after="0" w:line="256" w:lineRule="exact"/>
        <w:rPr>
          <w:sz w:val="20"/>
          <w:szCs w:val="20"/>
          <w:color w:val="auto"/>
        </w:rPr>
      </w:pPr>
    </w:p>
    <w:p>
      <w:pPr>
        <w:ind w:left="627"/>
        <w:spacing w:after="0"/>
        <w:rPr>
          <w:sz w:val="20"/>
          <w:szCs w:val="20"/>
          <w:color w:val="auto"/>
        </w:rPr>
      </w:pPr>
      <w:r>
        <w:rPr>
          <w:rFonts w:ascii="Times New Roman" w:cs="Times New Roman" w:eastAsia="Times New Roman" w:hAnsi="Times New Roman"/>
          <w:sz w:val="20"/>
          <w:szCs w:val="20"/>
          <w:color w:val="auto"/>
        </w:rPr>
        <w:t>All Covered Persons are prohibited from trading in the Company's securities during blackout periods.</w:t>
      </w:r>
    </w:p>
    <w:p>
      <w:pPr>
        <w:spacing w:after="0" w:line="239" w:lineRule="exact"/>
        <w:rPr>
          <w:sz w:val="20"/>
          <w:szCs w:val="20"/>
          <w:color w:val="auto"/>
        </w:rPr>
      </w:pPr>
    </w:p>
    <w:p>
      <w:pPr>
        <w:ind w:left="107" w:right="220" w:firstLine="128"/>
        <w:spacing w:after="0" w:line="264" w:lineRule="auto"/>
        <w:tabs>
          <w:tab w:leader="none" w:pos="420"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Quarterly Blackout Periods</w:t>
      </w:r>
      <w:r>
        <w:rPr>
          <w:rFonts w:ascii="Times New Roman" w:cs="Times New Roman" w:eastAsia="Times New Roman" w:hAnsi="Times New Roman"/>
          <w:sz w:val="20"/>
          <w:szCs w:val="20"/>
          <w:color w:val="auto"/>
        </w:rPr>
        <w:t>. Trading in the Company's securities is prohibited during the period beginning on the closing of each fiscal quarter and ending at the close of business on the second business day following the date the Company's financial results are publicly disclosed. During these periods, Covered Persons generally possess or are presumed to possess material non-public information about the Company's financial results.</w:t>
      </w:r>
    </w:p>
    <w:p>
      <w:pPr>
        <w:spacing w:after="0" w:line="186" w:lineRule="exact"/>
        <w:rPr>
          <w:rFonts w:ascii="Times New Roman" w:cs="Times New Roman" w:eastAsia="Times New Roman" w:hAnsi="Times New Roman"/>
          <w:sz w:val="20"/>
          <w:szCs w:val="20"/>
          <w:color w:val="auto"/>
        </w:rPr>
      </w:pPr>
    </w:p>
    <w:p>
      <w:pPr>
        <w:ind w:left="467" w:hanging="232"/>
        <w:spacing w:after="0"/>
        <w:tabs>
          <w:tab w:leader="none" w:pos="467"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Other Blackout Periods</w:t>
      </w:r>
      <w:r>
        <w:rPr>
          <w:rFonts w:ascii="Times New Roman" w:cs="Times New Roman" w:eastAsia="Times New Roman" w:hAnsi="Times New Roman"/>
          <w:sz w:val="20"/>
          <w:szCs w:val="20"/>
          <w:color w:val="auto"/>
        </w:rPr>
        <w:t>. From time to time, other types of material non-public information regarding the Company (such as</w:t>
      </w:r>
    </w:p>
    <w:p>
      <w:pPr>
        <w:spacing w:after="0" w:line="26" w:lineRule="exact"/>
        <w:rPr>
          <w:rFonts w:ascii="Times New Roman" w:cs="Times New Roman" w:eastAsia="Times New Roman" w:hAnsi="Times New Roman"/>
          <w:sz w:val="20"/>
          <w:szCs w:val="20"/>
          <w:color w:val="auto"/>
        </w:rPr>
      </w:pPr>
    </w:p>
    <w:p>
      <w:pPr>
        <w:ind w:left="107" w:right="220"/>
        <w:spacing w:after="0" w:line="251"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negotiation of new collaborations or clinical developments) may be pending and not be publicly disclosed. While such material non-public information is pending, the Company may impose special blackout periods during which Covered Persons are prohibited from trading in the Company's securities. If the Company imposes a special blackout period, it will notify the Covered Persons affected.</w:t>
      </w:r>
    </w:p>
    <w:p>
      <w:pPr>
        <w:spacing w:after="0" w:line="279" w:lineRule="exact"/>
        <w:rPr>
          <w:rFonts w:ascii="Times New Roman" w:cs="Times New Roman" w:eastAsia="Times New Roman" w:hAnsi="Times New Roman"/>
          <w:sz w:val="20"/>
          <w:szCs w:val="20"/>
          <w:color w:val="auto"/>
        </w:rPr>
      </w:pPr>
    </w:p>
    <w:p>
      <w:pPr>
        <w:jc w:val="both"/>
        <w:ind w:left="107" w:right="280" w:firstLine="128"/>
        <w:spacing w:after="0" w:line="267" w:lineRule="auto"/>
        <w:tabs>
          <w:tab w:leader="none" w:pos="482" w:val="left"/>
        </w:tabs>
        <w:numPr>
          <w:ilvl w:val="1"/>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Exception</w:t>
      </w:r>
      <w:r>
        <w:rPr>
          <w:rFonts w:ascii="Times New Roman" w:cs="Times New Roman" w:eastAsia="Times New Roman" w:hAnsi="Times New Roman"/>
          <w:sz w:val="20"/>
          <w:szCs w:val="20"/>
          <w:color w:val="auto"/>
        </w:rPr>
        <w:t xml:space="preserve">. These trading restrictions do not apply to transactions under a pre-existing written plan, contract, instruction, or arrangement under Rule 10b5-1 of the Securities Exchange Act (an </w:t>
      </w:r>
      <w:r>
        <w:rPr>
          <w:rFonts w:ascii="Times New Roman" w:cs="Times New Roman" w:eastAsia="Times New Roman" w:hAnsi="Times New Roman"/>
          <w:sz w:val="20"/>
          <w:szCs w:val="20"/>
          <w:b w:val="1"/>
          <w:bCs w:val="1"/>
          <w:color w:val="auto"/>
        </w:rPr>
        <w:t>"Approved 10b5-1 Plan"</w:t>
      </w:r>
      <w:r>
        <w:rPr>
          <w:rFonts w:ascii="Times New Roman" w:cs="Times New Roman" w:eastAsia="Times New Roman" w:hAnsi="Times New Roman"/>
          <w:sz w:val="20"/>
          <w:szCs w:val="20"/>
          <w:color w:val="auto"/>
        </w:rPr>
        <w:t>) pursuant to Legal Department guidelines as may be adopted from time to time.</w:t>
      </w:r>
    </w:p>
    <w:p>
      <w:pPr>
        <w:spacing w:after="0" w:line="179" w:lineRule="exact"/>
        <w:rPr>
          <w:rFonts w:ascii="Times New Roman" w:cs="Times New Roman" w:eastAsia="Times New Roman" w:hAnsi="Times New Roman"/>
          <w:sz w:val="20"/>
          <w:szCs w:val="20"/>
          <w:color w:val="auto"/>
        </w:rPr>
      </w:pPr>
    </w:p>
    <w:p>
      <w:pPr>
        <w:ind w:left="307" w:hanging="307"/>
        <w:spacing w:after="0"/>
        <w:tabs>
          <w:tab w:leader="none" w:pos="307" w:val="left"/>
        </w:tabs>
        <w:numPr>
          <w:ilvl w:val="0"/>
          <w:numId w:val="8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Trading Window</w:t>
      </w:r>
    </w:p>
    <w:p>
      <w:pPr>
        <w:spacing w:after="0" w:line="256" w:lineRule="exact"/>
        <w:rPr>
          <w:sz w:val="20"/>
          <w:szCs w:val="20"/>
          <w:color w:val="auto"/>
        </w:rPr>
      </w:pPr>
    </w:p>
    <w:p>
      <w:pPr>
        <w:ind w:left="7" w:firstLine="313"/>
        <w:spacing w:after="0" w:line="256" w:lineRule="auto"/>
        <w:rPr>
          <w:sz w:val="20"/>
          <w:szCs w:val="20"/>
          <w:color w:val="auto"/>
        </w:rPr>
      </w:pPr>
      <w:r>
        <w:rPr>
          <w:rFonts w:ascii="Times New Roman" w:cs="Times New Roman" w:eastAsia="Times New Roman" w:hAnsi="Times New Roman"/>
          <w:sz w:val="20"/>
          <w:szCs w:val="20"/>
          <w:color w:val="auto"/>
        </w:rPr>
        <w:t>Covered Persons are permitted to trade in the Company's securities when no blackout period is in effect, assuming they are not in possession of material non-public information. Generally, this means that Covered Persons can trade during the period beginning on the day that the blackout period under Part II, Section 1(a) ends. However, even during this trading window, a Covered Person who is in possession of any material non-public information is prohibited from trading in the Company's securities. In addition, the Company may close this trading window if a special blackout period under Part II, Section 1(b) above is imposed and will re-open the trading window once the special blackout period has ended.</w:t>
      </w:r>
    </w:p>
    <w:p>
      <w:pPr>
        <w:spacing w:after="0" w:line="200" w:lineRule="exact"/>
        <w:rPr>
          <w:sz w:val="20"/>
          <w:szCs w:val="20"/>
          <w:color w:val="auto"/>
        </w:rPr>
      </w:pPr>
    </w:p>
    <w:p>
      <w:pPr>
        <w:spacing w:after="0" w:line="374" w:lineRule="exact"/>
        <w:rPr>
          <w:sz w:val="20"/>
          <w:szCs w:val="20"/>
          <w:color w:val="auto"/>
        </w:rPr>
      </w:pPr>
    </w:p>
    <w:p>
      <w:pPr>
        <w:jc w:val="center"/>
        <w:ind w:right="73"/>
        <w:spacing w:after="0"/>
        <w:rPr>
          <w:sz w:val="20"/>
          <w:szCs w:val="20"/>
          <w:color w:val="auto"/>
        </w:rPr>
      </w:pPr>
      <w:r>
        <w:rPr>
          <w:rFonts w:ascii="Times New Roman" w:cs="Times New Roman" w:eastAsia="Times New Roman" w:hAnsi="Times New Roman"/>
          <w:sz w:val="21"/>
          <w:szCs w:val="21"/>
          <w:i w:val="1"/>
          <w:iCs w:val="1"/>
          <w:color w:val="auto"/>
        </w:rPr>
        <w:t>MacroGenics, Inc. – Insider Trading Policy</w:t>
      </w:r>
    </w:p>
    <w:p>
      <w:pPr>
        <w:sectPr>
          <w:pgSz w:w="11900" w:h="16838" w:orient="portrait"/>
          <w:cols w:equalWidth="0" w:num="1">
            <w:col w:w="10907"/>
          </w:cols>
          <w:pgMar w:left="533" w:top="1320" w:right="459" w:bottom="1440" w:gutter="0" w:footer="0" w:header="0"/>
        </w:sectPr>
      </w:pPr>
    </w:p>
    <w:bookmarkStart w:id="132" w:name="page133"/>
    <w:bookmarkEnd w:id="132"/>
    <w:p>
      <w:pPr>
        <w:spacing w:after="0" w:line="111" w:lineRule="exact"/>
        <w:rPr>
          <w:sz w:val="20"/>
          <w:szCs w:val="20"/>
          <w:color w:val="auto"/>
        </w:rPr>
      </w:pPr>
    </w:p>
    <w:p>
      <w:pPr>
        <w:ind w:left="580" w:hanging="367"/>
        <w:spacing w:after="0"/>
        <w:tabs>
          <w:tab w:leader="none" w:pos="580" w:val="left"/>
        </w:tabs>
        <w:numPr>
          <w:ilvl w:val="0"/>
          <w:numId w:val="9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Pre-clearance of Securities Transactions</w:t>
      </w:r>
    </w:p>
    <w:p>
      <w:pPr>
        <w:spacing w:after="0" w:line="256" w:lineRule="exact"/>
        <w:rPr>
          <w:sz w:val="20"/>
          <w:szCs w:val="20"/>
          <w:color w:val="auto"/>
        </w:rPr>
      </w:pPr>
    </w:p>
    <w:p>
      <w:pPr>
        <w:ind w:left="240" w:right="240" w:firstLine="234"/>
        <w:spacing w:after="0" w:line="267" w:lineRule="auto"/>
        <w:rPr>
          <w:sz w:val="20"/>
          <w:szCs w:val="20"/>
          <w:color w:val="auto"/>
        </w:rPr>
      </w:pPr>
      <w:r>
        <w:rPr>
          <w:rFonts w:ascii="Times New Roman" w:cs="Times New Roman" w:eastAsia="Times New Roman" w:hAnsi="Times New Roman"/>
          <w:sz w:val="20"/>
          <w:szCs w:val="20"/>
          <w:color w:val="auto"/>
        </w:rPr>
        <w:t>a)Because Covered Persons are likely to obtain material non-public information on a regular basis, the Company requires all such persons to refrain from trading, even during a trading window under Part II, Section 2 above, without first pre-clearing all transactions in the Company's securities.</w:t>
      </w:r>
    </w:p>
    <w:p>
      <w:pPr>
        <w:spacing w:after="0" w:line="196" w:lineRule="exact"/>
        <w:rPr>
          <w:sz w:val="20"/>
          <w:szCs w:val="20"/>
          <w:color w:val="auto"/>
        </w:rPr>
      </w:pPr>
    </w:p>
    <w:p>
      <w:pPr>
        <w:ind w:left="240" w:right="160" w:firstLine="233"/>
        <w:spacing w:after="0" w:line="259" w:lineRule="auto"/>
        <w:tabs>
          <w:tab w:leader="none" w:pos="1253" w:val="left"/>
        </w:tabs>
        <w:numPr>
          <w:ilvl w:val="0"/>
          <w:numId w:val="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Subject to the exemption in subsection (d) below, no Covered Person may, directly or indirectly, purchase or sell (or otherwise make any transfer, gift, pledge or loan of) any Company security at any time without first obtaining prior approval from the Authorized Company Official. These procedures also apply to transactions by such person's spouse, other persons living in such person’s household and minor children and to transactions by entities over which such person exercises control.</w:t>
      </w:r>
    </w:p>
    <w:p>
      <w:pPr>
        <w:spacing w:after="0" w:line="205" w:lineRule="exact"/>
        <w:rPr>
          <w:sz w:val="20"/>
          <w:szCs w:val="20"/>
          <w:color w:val="auto"/>
        </w:rPr>
      </w:pPr>
    </w:p>
    <w:p>
      <w:pPr>
        <w:ind w:left="240" w:right="100" w:firstLine="234"/>
        <w:spacing w:after="0" w:line="259" w:lineRule="auto"/>
        <w:rPr>
          <w:sz w:val="20"/>
          <w:szCs w:val="20"/>
          <w:color w:val="auto"/>
        </w:rPr>
      </w:pPr>
      <w:r>
        <w:rPr>
          <w:rFonts w:ascii="Times New Roman" w:cs="Times New Roman" w:eastAsia="Times New Roman" w:hAnsi="Times New Roman"/>
          <w:sz w:val="20"/>
          <w:szCs w:val="20"/>
          <w:color w:val="auto"/>
        </w:rPr>
        <w:t>c)The Authorized Company Official shall record the date each request is received and the date and time each request is approved or disapproved. Unless revoked, a grant of permission will normally remain valid until the close of trading two business days following the day on which it was granted. If the transaction does not occur during the two-day period, pre-clearance of the transaction must be re-requested.</w:t>
      </w:r>
    </w:p>
    <w:p>
      <w:pPr>
        <w:spacing w:after="0" w:line="284" w:lineRule="exact"/>
        <w:rPr>
          <w:sz w:val="20"/>
          <w:szCs w:val="20"/>
          <w:color w:val="auto"/>
        </w:rPr>
      </w:pPr>
    </w:p>
    <w:p>
      <w:pPr>
        <w:ind w:left="240" w:right="360" w:firstLine="233"/>
        <w:spacing w:after="0" w:line="267" w:lineRule="auto"/>
        <w:tabs>
          <w:tab w:leader="none" w:pos="1253" w:val="left"/>
        </w:tabs>
        <w:numPr>
          <w:ilvl w:val="1"/>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Pre-clearance is not required for purchases and sales of securities under an Approved 10b5-1 Plan. With respect to any purchase or sale under an Approved 10b5-1 Plan, the third party effecting transactions on behalf of the Covered Person should be instructed to send duplicate confirmations of all such transactions to the Compliance Officer.</w:t>
      </w:r>
    </w:p>
    <w:p>
      <w:pPr>
        <w:spacing w:after="0" w:line="192" w:lineRule="exact"/>
        <w:rPr>
          <w:rFonts w:ascii="Times New Roman" w:cs="Times New Roman" w:eastAsia="Times New Roman" w:hAnsi="Times New Roman"/>
          <w:sz w:val="20"/>
          <w:szCs w:val="20"/>
          <w:color w:val="auto"/>
        </w:rPr>
      </w:pPr>
    </w:p>
    <w:p>
      <w:pPr>
        <w:ind w:left="520" w:hanging="307"/>
        <w:spacing w:after="0"/>
        <w:tabs>
          <w:tab w:leader="none" w:pos="520" w:val="left"/>
        </w:tabs>
        <w:numPr>
          <w:ilvl w:val="0"/>
          <w:numId w:val="9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Short Term Trading by Covered Persons</w:t>
      </w:r>
    </w:p>
    <w:p>
      <w:pPr>
        <w:spacing w:after="0" w:line="237" w:lineRule="exact"/>
        <w:rPr>
          <w:rFonts w:ascii="Times New Roman" w:cs="Times New Roman" w:eastAsia="Times New Roman" w:hAnsi="Times New Roman"/>
          <w:sz w:val="20"/>
          <w:szCs w:val="20"/>
          <w:b w:val="1"/>
          <w:bCs w:val="1"/>
          <w:color w:val="auto"/>
        </w:rPr>
      </w:pPr>
    </w:p>
    <w:p>
      <w:pPr>
        <w:ind w:left="520"/>
        <w:spacing w:after="0"/>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19"/>
          <w:szCs w:val="19"/>
          <w:color w:val="auto"/>
        </w:rPr>
        <w:t>Certain Covered Persons (officers and directors) who purchase Company securities may not sell any Company securities of the same class</w:t>
      </w:r>
    </w:p>
    <w:p>
      <w:pPr>
        <w:spacing w:after="0" w:line="32"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19"/>
          <w:szCs w:val="19"/>
          <w:color w:val="auto"/>
        </w:rPr>
        <w:t>for at least six months after the purchase. This prohibition does not apply to stock option exercises (whether regular or cashless) and Employee Stock Purchase Plan purchases.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1"/>
          <w:szCs w:val="21"/>
          <w:i w:val="1"/>
          <w:iCs w:val="1"/>
          <w:color w:val="auto"/>
        </w:rPr>
        <w:t>MacroGenics, Inc. – Insider Trading Policy</w:t>
      </w:r>
    </w:p>
    <w:p>
      <w:pPr>
        <w:sectPr>
          <w:pgSz w:w="11900" w:h="16838" w:orient="portrait"/>
          <w:cols w:equalWidth="0" w:num="1">
            <w:col w:w="11080"/>
          </w:cols>
          <w:pgMar w:left="320" w:top="1440" w:right="499" w:bottom="1440" w:gutter="0" w:footer="0" w:header="0"/>
        </w:sectPr>
      </w:pPr>
    </w:p>
    <w:bookmarkStart w:id="133" w:name="page134"/>
    <w:bookmarkEnd w:id="133"/>
    <w:p>
      <w:pPr>
        <w:jc w:val="right"/>
        <w:spacing w:after="0"/>
        <w:rPr>
          <w:sz w:val="20"/>
          <w:szCs w:val="20"/>
          <w:color w:val="auto"/>
        </w:rPr>
      </w:pPr>
      <w:r>
        <w:rPr>
          <w:rFonts w:ascii="Times New Roman" w:cs="Times New Roman" w:eastAsia="Times New Roman" w:hAnsi="Times New Roman"/>
          <w:sz w:val="17"/>
          <w:szCs w:val="17"/>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consent to the incorporation by reference in the following Registration Statements:</w:t>
      </w:r>
    </w:p>
    <w:p>
      <w:pPr>
        <w:spacing w:after="0" w:line="352" w:lineRule="exact"/>
        <w:rPr>
          <w:sz w:val="20"/>
          <w:szCs w:val="20"/>
          <w:color w:val="auto"/>
        </w:rPr>
      </w:pPr>
    </w:p>
    <w:p>
      <w:pPr>
        <w:ind w:left="620" w:hanging="303"/>
        <w:spacing w:after="0" w:line="252" w:lineRule="auto"/>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333-192277) pertaining to the 2000 Stock Option and Incentive Plan, the 2003 Equity Incentive Plan, and 2013 Equity Incentive Plan of MacroGenics, Inc.,</w:t>
      </w:r>
    </w:p>
    <w:p>
      <w:pPr>
        <w:ind w:left="620" w:hanging="303"/>
        <w:spacing w:after="0"/>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333-202470) pertaining to the 2013 Equity Incentive Plan of MacroGenics, Inc.,</w:t>
      </w:r>
    </w:p>
    <w:p>
      <w:pPr>
        <w:ind w:left="620" w:hanging="303"/>
        <w:spacing w:after="0"/>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333-209812) pertaining to the 2013 Equity Incentive Plan of MacroGenics, Inc.,</w:t>
      </w:r>
    </w:p>
    <w:p>
      <w:pPr>
        <w:ind w:left="620" w:hanging="303"/>
        <w:spacing w:after="0"/>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333-217620) pertaining to the 2013 Equity Incentive Plan of MacroGenics, Inc.,</w:t>
      </w:r>
    </w:p>
    <w:p>
      <w:pPr>
        <w:ind w:left="620" w:hanging="303"/>
        <w:spacing w:after="0"/>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333-223682) pertaining to the 2013 Equity Incentive Plan of MacroGenics, Inc.,</w:t>
      </w:r>
    </w:p>
    <w:p>
      <w:pPr>
        <w:ind w:left="620" w:hanging="303"/>
        <w:spacing w:after="0"/>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333-230292) pertaining to the 2013 Equity Incentive Plan of MacroGenics, Inc.,</w:t>
      </w:r>
    </w:p>
    <w:p>
      <w:pPr>
        <w:ind w:left="620" w:hanging="303"/>
        <w:spacing w:after="0"/>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333-237127) pertaining to the 2013 Equity Incentive Plan of MacroGenics, Inc.,</w:t>
      </w:r>
    </w:p>
    <w:p>
      <w:pPr>
        <w:ind w:left="620" w:hanging="303"/>
        <w:spacing w:after="0" w:line="223" w:lineRule="auto"/>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333-253502) pertaining to the 2013 Equity Incentive Plan of MacroGenics, Inc.,</w:t>
      </w:r>
    </w:p>
    <w:p>
      <w:pPr>
        <w:ind w:left="620" w:hanging="303"/>
        <w:spacing w:after="0"/>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Statements (Form S-8 No. 333-262967) pertaining to the 2013 Equity Incentive Plan of MacroGenics, Inc.,</w:t>
      </w:r>
    </w:p>
    <w:p>
      <w:pPr>
        <w:ind w:left="620" w:hanging="303"/>
        <w:spacing w:after="0"/>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333-270562) pertaining to the 2013 Equity Incentive Plan of MacroGenics, Inc.,</w:t>
      </w:r>
    </w:p>
    <w:p>
      <w:pPr>
        <w:ind w:left="620" w:hanging="303"/>
        <w:spacing w:after="0"/>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333-214386) pertaining to the 2016 Employee Stock Purchase Plan of MacroGenics, Inc.,</w:t>
      </w:r>
    </w:p>
    <w:p>
      <w:pPr>
        <w:ind w:left="620" w:hanging="303"/>
        <w:spacing w:after="0"/>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333-272451) pertaining to the 2023 Equity Incentive Plan of MacroGenics, Inc.,</w:t>
      </w:r>
    </w:p>
    <w:p>
      <w:pPr>
        <w:ind w:left="620" w:hanging="303"/>
        <w:spacing w:after="0"/>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S-3 No. 333-275343) of MacroGenics, Inc., and</w:t>
      </w:r>
    </w:p>
    <w:p>
      <w:pPr>
        <w:spacing w:after="0" w:line="136" w:lineRule="exact"/>
        <w:rPr>
          <w:rFonts w:ascii="Times New Roman" w:cs="Times New Roman" w:eastAsia="Times New Roman" w:hAnsi="Times New Roman"/>
          <w:sz w:val="17"/>
          <w:szCs w:val="17"/>
          <w:color w:val="auto"/>
        </w:rPr>
      </w:pPr>
    </w:p>
    <w:p>
      <w:pPr>
        <w:ind w:left="620" w:hanging="303"/>
        <w:spacing w:after="0"/>
        <w:tabs>
          <w:tab w:leader="none" w:pos="62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Registration Statement (Form S-8 No. 333-279674) pertaining to the 2023 Equity Incentive Plan of MacroGenics, Inc.</w:t>
      </w:r>
    </w:p>
    <w:p>
      <w:pPr>
        <w:spacing w:after="0" w:line="169" w:lineRule="exact"/>
        <w:rPr>
          <w:sz w:val="20"/>
          <w:szCs w:val="20"/>
          <w:color w:val="auto"/>
        </w:rPr>
      </w:pPr>
    </w:p>
    <w:p>
      <w:pPr>
        <w:ind w:right="360"/>
        <w:spacing w:after="0" w:line="294" w:lineRule="auto"/>
        <w:rPr>
          <w:sz w:val="20"/>
          <w:szCs w:val="20"/>
          <w:color w:val="auto"/>
        </w:rPr>
      </w:pPr>
      <w:r>
        <w:rPr>
          <w:rFonts w:ascii="Times New Roman" w:cs="Times New Roman" w:eastAsia="Times New Roman" w:hAnsi="Times New Roman"/>
          <w:sz w:val="17"/>
          <w:szCs w:val="17"/>
          <w:color w:val="auto"/>
        </w:rPr>
        <w:t>of our reports dated March 20, 2025, with respect to the consolidated financial statements of MacroGenics, Inc. and the effectiveness of internal control over financial reporting of MacroGenics, Inc. included in this Annual Report (Form 10-K) of MacroGenics, Inc. for the year ended December 31, 2024.</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Ernst &amp; Young LLP</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Tysons, Virginia</w:t>
      </w:r>
    </w:p>
    <w:p>
      <w:pPr>
        <w:spacing w:after="0" w:line="6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March 20, 2025</w:t>
      </w:r>
    </w:p>
    <w:p>
      <w:pPr>
        <w:sectPr>
          <w:pgSz w:w="11900" w:h="16838" w:orient="portrait"/>
          <w:cols w:equalWidth="0" w:num="1">
            <w:col w:w="11240"/>
          </w:cols>
          <w:pgMar w:left="320" w:top="864" w:right="339"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7"/>
          <w:szCs w:val="17"/>
          <w:color w:val="auto"/>
        </w:rPr>
        <w:t>EXHIBIT 31.1</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Scott Koenig, certify that:</w:t>
      </w:r>
    </w:p>
    <w:p>
      <w:pPr>
        <w:spacing w:after="0" w:line="151" w:lineRule="exact"/>
        <w:rPr>
          <w:sz w:val="20"/>
          <w:szCs w:val="20"/>
          <w:color w:val="auto"/>
        </w:rPr>
      </w:pPr>
    </w:p>
    <w:p>
      <w:pPr>
        <w:ind w:left="1260" w:hanging="631"/>
        <w:spacing w:after="0"/>
        <w:tabs>
          <w:tab w:leader="none" w:pos="12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period ended December 31, 2024 of MacroGenics, Inc.;</w:t>
      </w:r>
    </w:p>
    <w:p>
      <w:pPr>
        <w:spacing w:after="0" w:line="169" w:lineRule="exact"/>
        <w:rPr>
          <w:rFonts w:ascii="Times New Roman" w:cs="Times New Roman" w:eastAsia="Times New Roman" w:hAnsi="Times New Roman"/>
          <w:sz w:val="17"/>
          <w:szCs w:val="17"/>
          <w:color w:val="auto"/>
        </w:rPr>
      </w:pPr>
    </w:p>
    <w:p>
      <w:pPr>
        <w:jc w:val="both"/>
        <w:ind w:left="1260" w:right="140" w:hanging="631"/>
        <w:spacing w:after="0" w:line="274" w:lineRule="auto"/>
        <w:tabs>
          <w:tab w:leader="none" w:pos="12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7"/>
          <w:szCs w:val="17"/>
          <w:color w:val="auto"/>
        </w:rPr>
      </w:pPr>
    </w:p>
    <w:p>
      <w:pPr>
        <w:ind w:left="1260" w:right="100" w:hanging="631"/>
        <w:spacing w:after="0" w:line="294" w:lineRule="auto"/>
        <w:tabs>
          <w:tab w:leader="none" w:pos="12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1260" w:right="80" w:hanging="631"/>
        <w:spacing w:after="0" w:line="267" w:lineRule="auto"/>
        <w:tabs>
          <w:tab w:leader="none" w:pos="12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15d-15(f)) for the registrant and have:</w:t>
      </w:r>
    </w:p>
    <w:p>
      <w:pPr>
        <w:spacing w:after="0" w:line="150" w:lineRule="exact"/>
        <w:rPr>
          <w:rFonts w:ascii="Times New Roman" w:cs="Times New Roman" w:eastAsia="Times New Roman" w:hAnsi="Times New Roman"/>
          <w:sz w:val="17"/>
          <w:szCs w:val="17"/>
          <w:color w:val="auto"/>
        </w:rPr>
      </w:pPr>
    </w:p>
    <w:p>
      <w:pPr>
        <w:ind w:left="2200" w:right="180" w:hanging="633"/>
        <w:spacing w:after="0" w:line="274" w:lineRule="auto"/>
        <w:tabs>
          <w:tab w:leader="none" w:pos="219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7"/>
          <w:szCs w:val="17"/>
          <w:color w:val="auto"/>
        </w:rPr>
      </w:pPr>
    </w:p>
    <w:p>
      <w:pPr>
        <w:ind w:left="2200" w:right="300" w:hanging="633"/>
        <w:spacing w:after="0" w:line="274" w:lineRule="auto"/>
        <w:tabs>
          <w:tab w:leader="none" w:pos="220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7"/>
          <w:szCs w:val="17"/>
          <w:color w:val="auto"/>
        </w:rPr>
      </w:pPr>
    </w:p>
    <w:p>
      <w:pPr>
        <w:ind w:left="2200" w:right="100" w:hanging="633"/>
        <w:spacing w:after="0" w:line="274" w:lineRule="auto"/>
        <w:tabs>
          <w:tab w:leader="none" w:pos="219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ind w:left="2200" w:right="40" w:hanging="633"/>
        <w:spacing w:after="0" w:line="274" w:lineRule="auto"/>
        <w:tabs>
          <w:tab w:leader="none" w:pos="220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7"/>
          <w:szCs w:val="17"/>
          <w:color w:val="auto"/>
        </w:rPr>
      </w:pPr>
    </w:p>
    <w:p>
      <w:pPr>
        <w:ind w:left="1260" w:right="40" w:hanging="631"/>
        <w:spacing w:after="0" w:line="294" w:lineRule="auto"/>
        <w:tabs>
          <w:tab w:leader="none" w:pos="1260" w:val="left"/>
        </w:tabs>
        <w:numPr>
          <w:ilvl w:val="0"/>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2200" w:right="160" w:hanging="633"/>
        <w:spacing w:after="0" w:line="274" w:lineRule="auto"/>
        <w:tabs>
          <w:tab w:leader="none" w:pos="219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7"/>
          <w:szCs w:val="17"/>
          <w:color w:val="auto"/>
        </w:rPr>
      </w:pPr>
    </w:p>
    <w:p>
      <w:pPr>
        <w:ind w:left="2200" w:right="180" w:hanging="633"/>
        <w:spacing w:after="0" w:line="294" w:lineRule="auto"/>
        <w:tabs>
          <w:tab w:leader="none" w:pos="220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/s/ Scott Koenig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3699510</wp:posOffset>
            </wp:positionH>
            <wp:positionV relativeFrom="paragraph">
              <wp:posOffset>19685</wp:posOffset>
            </wp:positionV>
            <wp:extent cx="191897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70">
                      <a:extLst>
                        <a:ext uri="{28A0092B-C50C-407E-A947-70E740481C1C}"/>
                      </a:extLst>
                    </a:blip>
                    <a:srcRect/>
                    <a:stretch>
                      <a:fillRect/>
                    </a:stretch>
                  </pic:blipFill>
                  <pic:spPr bwMode="auto">
                    <a:xfrm>
                      <a:off x="0" y="0"/>
                      <a:ext cx="1918970" cy="8255"/>
                    </a:xfrm>
                    <a:prstGeom prst="rect">
                      <a:avLst/>
                    </a:prstGeom>
                    <a:noFill/>
                  </pic:spPr>
                </pic:pic>
              </a:graphicData>
            </a:graphic>
          </wp:anchor>
        </w:drawing>
      </w:r>
    </w:p>
    <w:p>
      <w:pPr>
        <w:spacing w:after="0" w:line="19"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Scott Koenig, M.D., Ph.D.</w:t>
      </w:r>
    </w:p>
    <w:p>
      <w:pPr>
        <w:spacing w:after="0" w:line="20" w:lineRule="exact"/>
        <w:rPr>
          <w:sz w:val="20"/>
          <w:szCs w:val="20"/>
          <w:color w:val="auto"/>
        </w:rPr>
      </w:pPr>
    </w:p>
    <w:p>
      <w:pPr>
        <w:ind w:left="5840"/>
        <w:spacing w:after="0"/>
        <w:rPr>
          <w:sz w:val="20"/>
          <w:szCs w:val="20"/>
          <w:color w:val="auto"/>
        </w:rPr>
      </w:pPr>
      <w:r>
        <w:rPr>
          <w:rFonts w:ascii="Times New Roman" w:cs="Times New Roman" w:eastAsia="Times New Roman" w:hAnsi="Times New Roman"/>
          <w:sz w:val="17"/>
          <w:szCs w:val="17"/>
          <w:color w:val="auto"/>
        </w:rPr>
        <w:t>President and Chief Executive Officer</w:t>
      </w:r>
    </w:p>
    <w:p>
      <w:pPr>
        <w:ind w:left="584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March 20, 2025</w:t>
      </w:r>
    </w:p>
    <w:p>
      <w:pPr>
        <w:sectPr>
          <w:pgSz w:w="11900" w:h="16838" w:orient="portrait"/>
          <w:cols w:equalWidth="0" w:num="1">
            <w:col w:w="11240"/>
          </w:cols>
          <w:pgMar w:left="320" w:top="863" w:right="339" w:bottom="1440" w:gutter="0" w:footer="0" w:header="0"/>
        </w:sectPr>
      </w:pPr>
    </w:p>
    <w:bookmarkStart w:id="135" w:name="page136"/>
    <w:bookmarkEnd w:id="135"/>
    <w:p>
      <w:pPr>
        <w:jc w:val="right"/>
        <w:spacing w:after="0"/>
        <w:rPr>
          <w:sz w:val="20"/>
          <w:szCs w:val="20"/>
          <w:color w:val="auto"/>
        </w:rPr>
      </w:pPr>
      <w:r>
        <w:rPr>
          <w:rFonts w:ascii="Times New Roman" w:cs="Times New Roman" w:eastAsia="Times New Roman" w:hAnsi="Times New Roman"/>
          <w:sz w:val="17"/>
          <w:szCs w:val="17"/>
          <w:color w:val="auto"/>
        </w:rPr>
        <w:t>EXHIBIT 31.2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James Karrels, certify that:</w:t>
      </w:r>
    </w:p>
    <w:p>
      <w:pPr>
        <w:spacing w:after="0" w:line="169" w:lineRule="exact"/>
        <w:rPr>
          <w:sz w:val="20"/>
          <w:szCs w:val="20"/>
          <w:color w:val="auto"/>
        </w:rPr>
      </w:pPr>
    </w:p>
    <w:p>
      <w:pPr>
        <w:ind w:left="1260" w:hanging="631"/>
        <w:spacing w:after="0"/>
        <w:tabs>
          <w:tab w:leader="none" w:pos="12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Annual Report on Form 10-K for the period ended December 31, 2024 of MacroGenics, Inc.;</w:t>
      </w:r>
    </w:p>
    <w:p>
      <w:pPr>
        <w:spacing w:after="0" w:line="169" w:lineRule="exact"/>
        <w:rPr>
          <w:rFonts w:ascii="Times New Roman" w:cs="Times New Roman" w:eastAsia="Times New Roman" w:hAnsi="Times New Roman"/>
          <w:sz w:val="17"/>
          <w:szCs w:val="17"/>
          <w:color w:val="auto"/>
        </w:rPr>
      </w:pPr>
    </w:p>
    <w:p>
      <w:pPr>
        <w:jc w:val="both"/>
        <w:ind w:left="1260" w:right="140" w:hanging="631"/>
        <w:spacing w:after="0" w:line="274" w:lineRule="auto"/>
        <w:tabs>
          <w:tab w:leader="none" w:pos="12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Times New Roman" w:cs="Times New Roman" w:eastAsia="Times New Roman" w:hAnsi="Times New Roman"/>
          <w:sz w:val="17"/>
          <w:szCs w:val="17"/>
          <w:color w:val="auto"/>
        </w:rPr>
      </w:pPr>
    </w:p>
    <w:p>
      <w:pPr>
        <w:ind w:left="1260" w:right="100" w:hanging="631"/>
        <w:spacing w:after="0" w:line="294" w:lineRule="auto"/>
        <w:tabs>
          <w:tab w:leader="none" w:pos="12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4" w:lineRule="exact"/>
        <w:rPr>
          <w:rFonts w:ascii="Times New Roman" w:cs="Times New Roman" w:eastAsia="Times New Roman" w:hAnsi="Times New Roman"/>
          <w:sz w:val="17"/>
          <w:szCs w:val="17"/>
          <w:color w:val="auto"/>
        </w:rPr>
      </w:pPr>
    </w:p>
    <w:p>
      <w:pPr>
        <w:ind w:left="1260" w:right="80" w:hanging="631"/>
        <w:spacing w:after="0" w:line="267" w:lineRule="auto"/>
        <w:tabs>
          <w:tab w:leader="none" w:pos="12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w:t>
      </w:r>
    </w:p>
    <w:p>
      <w:pPr>
        <w:ind w:left="12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15d-15(f)) for the registrant and have:</w:t>
      </w:r>
    </w:p>
    <w:p>
      <w:pPr>
        <w:spacing w:after="0" w:line="150" w:lineRule="exact"/>
        <w:rPr>
          <w:rFonts w:ascii="Times New Roman" w:cs="Times New Roman" w:eastAsia="Times New Roman" w:hAnsi="Times New Roman"/>
          <w:sz w:val="17"/>
          <w:szCs w:val="17"/>
          <w:color w:val="auto"/>
        </w:rPr>
      </w:pPr>
    </w:p>
    <w:p>
      <w:pPr>
        <w:ind w:left="2500" w:right="100" w:hanging="620"/>
        <w:spacing w:after="0" w:line="274" w:lineRule="auto"/>
        <w:tabs>
          <w:tab w:leader="none" w:pos="249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1" w:lineRule="exact"/>
        <w:rPr>
          <w:rFonts w:ascii="Times New Roman" w:cs="Times New Roman" w:eastAsia="Times New Roman" w:hAnsi="Times New Roman"/>
          <w:sz w:val="17"/>
          <w:szCs w:val="17"/>
          <w:color w:val="auto"/>
        </w:rPr>
      </w:pPr>
    </w:p>
    <w:p>
      <w:pPr>
        <w:ind w:left="2500" w:right="520" w:hanging="620"/>
        <w:spacing w:after="0" w:line="274" w:lineRule="auto"/>
        <w:tabs>
          <w:tab w:leader="none" w:pos="250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1" w:lineRule="exact"/>
        <w:rPr>
          <w:rFonts w:ascii="Times New Roman" w:cs="Times New Roman" w:eastAsia="Times New Roman" w:hAnsi="Times New Roman"/>
          <w:sz w:val="17"/>
          <w:szCs w:val="17"/>
          <w:color w:val="auto"/>
        </w:rPr>
      </w:pPr>
    </w:p>
    <w:p>
      <w:pPr>
        <w:ind w:left="2500" w:right="80" w:hanging="620"/>
        <w:spacing w:after="0" w:line="274" w:lineRule="auto"/>
        <w:tabs>
          <w:tab w:leader="none" w:pos="249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1" w:lineRule="exact"/>
        <w:rPr>
          <w:rFonts w:ascii="Times New Roman" w:cs="Times New Roman" w:eastAsia="Times New Roman" w:hAnsi="Times New Roman"/>
          <w:sz w:val="17"/>
          <w:szCs w:val="17"/>
          <w:color w:val="auto"/>
        </w:rPr>
      </w:pPr>
    </w:p>
    <w:p>
      <w:pPr>
        <w:ind w:left="2500" w:right="100" w:hanging="620"/>
        <w:spacing w:after="0" w:line="274" w:lineRule="auto"/>
        <w:tabs>
          <w:tab w:leader="none" w:pos="250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1" w:lineRule="exact"/>
        <w:rPr>
          <w:rFonts w:ascii="Times New Roman" w:cs="Times New Roman" w:eastAsia="Times New Roman" w:hAnsi="Times New Roman"/>
          <w:sz w:val="17"/>
          <w:szCs w:val="17"/>
          <w:color w:val="auto"/>
        </w:rPr>
      </w:pPr>
    </w:p>
    <w:p>
      <w:pPr>
        <w:ind w:left="1260" w:right="40" w:hanging="631"/>
        <w:spacing w:after="0" w:line="294" w:lineRule="auto"/>
        <w:tabs>
          <w:tab w:leader="none" w:pos="1260" w:val="left"/>
        </w:tabs>
        <w:numPr>
          <w:ilvl w:val="0"/>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4" w:lineRule="exact"/>
        <w:rPr>
          <w:rFonts w:ascii="Times New Roman" w:cs="Times New Roman" w:eastAsia="Times New Roman" w:hAnsi="Times New Roman"/>
          <w:sz w:val="17"/>
          <w:szCs w:val="17"/>
          <w:color w:val="auto"/>
        </w:rPr>
      </w:pPr>
    </w:p>
    <w:p>
      <w:pPr>
        <w:ind w:left="2500" w:right="320" w:hanging="620"/>
        <w:spacing w:after="0" w:line="274" w:lineRule="auto"/>
        <w:tabs>
          <w:tab w:leader="none" w:pos="249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1" w:lineRule="exact"/>
        <w:rPr>
          <w:rFonts w:ascii="Times New Roman" w:cs="Times New Roman" w:eastAsia="Times New Roman" w:hAnsi="Times New Roman"/>
          <w:sz w:val="17"/>
          <w:szCs w:val="17"/>
          <w:color w:val="auto"/>
        </w:rPr>
      </w:pPr>
    </w:p>
    <w:p>
      <w:pPr>
        <w:ind w:left="2500" w:right="680" w:hanging="620"/>
        <w:spacing w:after="0" w:line="294" w:lineRule="auto"/>
        <w:tabs>
          <w:tab w:leader="none" w:pos="2500"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19685</wp:posOffset>
            </wp:positionV>
            <wp:extent cx="263017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1">
                      <a:extLst>
                        <a:ext uri="{28A0092B-C50C-407E-A947-70E740481C1C}"/>
                      </a:extLst>
                    </a:blip>
                    <a:srcRect/>
                    <a:stretch>
                      <a:fillRect/>
                    </a:stretch>
                  </pic:blipFill>
                  <pic:spPr bwMode="auto">
                    <a:xfrm>
                      <a:off x="0" y="0"/>
                      <a:ext cx="2630170" cy="8255"/>
                    </a:xfrm>
                    <a:prstGeom prst="rect">
                      <a:avLst/>
                    </a:prstGeom>
                    <a:noFill/>
                  </pic:spPr>
                </pic:pic>
              </a:graphicData>
            </a:graphic>
          </wp:anchor>
        </w:drawing>
      </w:r>
    </w:p>
    <w:p>
      <w:pPr>
        <w:spacing w:after="0" w:line="19"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James Karrels</w:t>
      </w:r>
    </w:p>
    <w:p>
      <w:pPr>
        <w:spacing w:after="0" w:line="20" w:lineRule="exact"/>
        <w:rPr>
          <w:sz w:val="20"/>
          <w:szCs w:val="20"/>
          <w:color w:val="auto"/>
        </w:rPr>
      </w:pPr>
    </w:p>
    <w:p>
      <w:pPr>
        <w:ind w:left="4680"/>
        <w:spacing w:after="0"/>
        <w:rPr>
          <w:sz w:val="20"/>
          <w:szCs w:val="20"/>
          <w:color w:val="auto"/>
        </w:rPr>
      </w:pPr>
      <w:r>
        <w:rPr>
          <w:rFonts w:ascii="Times New Roman" w:cs="Times New Roman" w:eastAsia="Times New Roman" w:hAnsi="Times New Roman"/>
          <w:sz w:val="17"/>
          <w:szCs w:val="17"/>
          <w:color w:val="auto"/>
        </w:rPr>
        <w:t>Senior Vice President and Chief Financial Officer</w:t>
      </w:r>
    </w:p>
    <w:p>
      <w:pPr>
        <w:ind w:left="468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Dated: March 20, 2025</w:t>
      </w:r>
    </w:p>
    <w:p>
      <w:pPr>
        <w:sectPr>
          <w:pgSz w:w="11900" w:h="16838" w:orient="portrait"/>
          <w:cols w:equalWidth="0" w:num="1">
            <w:col w:w="11240"/>
          </w:cols>
          <w:pgMar w:left="320" w:top="864" w:right="339" w:bottom="1440" w:gutter="0" w:footer="0" w:header="0"/>
        </w:sectPr>
      </w:pPr>
    </w:p>
    <w:bookmarkStart w:id="136" w:name="page137"/>
    <w:bookmarkEnd w:id="136"/>
    <w:p>
      <w:pPr>
        <w:jc w:val="right"/>
        <w:spacing w:after="0"/>
        <w:rPr>
          <w:sz w:val="20"/>
          <w:szCs w:val="20"/>
          <w:color w:val="auto"/>
        </w:rPr>
      </w:pPr>
      <w:r>
        <w:rPr>
          <w:rFonts w:ascii="Times New Roman" w:cs="Times New Roman" w:eastAsia="Times New Roman" w:hAnsi="Times New Roman"/>
          <w:sz w:val="17"/>
          <w:szCs w:val="17"/>
          <w:color w:val="auto"/>
        </w:rPr>
        <w:t>EXHIBIT 32.1</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Executive Officer Pursuant to 18 U.S.C. 1350 (Section 906 of the Sarbanes-Oxley Act of 2002)</w:t>
      </w:r>
    </w:p>
    <w:p>
      <w:pPr>
        <w:spacing w:after="0" w:line="223" w:lineRule="exact"/>
        <w:rPr>
          <w:sz w:val="20"/>
          <w:szCs w:val="20"/>
          <w:color w:val="auto"/>
        </w:rPr>
      </w:pPr>
    </w:p>
    <w:p>
      <w:pPr>
        <w:ind w:right="20"/>
        <w:spacing w:after="0" w:line="294" w:lineRule="auto"/>
        <w:rPr>
          <w:sz w:val="20"/>
          <w:szCs w:val="20"/>
          <w:color w:val="auto"/>
        </w:rPr>
      </w:pPr>
      <w:r>
        <w:rPr>
          <w:rFonts w:ascii="Times New Roman" w:cs="Times New Roman" w:eastAsia="Times New Roman" w:hAnsi="Times New Roman"/>
          <w:sz w:val="17"/>
          <w:szCs w:val="17"/>
          <w:color w:val="auto"/>
        </w:rPr>
        <w:t>I, Scott Koenig, President and Chief Executive Officer (principal executive officer) of MacroGenics, Inc. (the “Registrant”), certify, to the best of my knowledge, based upon a review of the Annual Report on Form 10-K for the period ended December 31, 2024 of the Registrant (the “Report”), that:</w:t>
      </w:r>
    </w:p>
    <w:p>
      <w:pPr>
        <w:spacing w:after="0" w:line="185" w:lineRule="exact"/>
        <w:rPr>
          <w:sz w:val="20"/>
          <w:szCs w:val="20"/>
          <w:color w:val="auto"/>
        </w:rPr>
      </w:pPr>
    </w:p>
    <w:p>
      <w:pPr>
        <w:ind w:left="360" w:hanging="317"/>
        <w:spacing w:after="0"/>
        <w:tabs>
          <w:tab w:leader="none" w:pos="36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31" w:lineRule="exact"/>
        <w:rPr>
          <w:rFonts w:ascii="Times New Roman" w:cs="Times New Roman" w:eastAsia="Times New Roman" w:hAnsi="Times New Roman"/>
          <w:sz w:val="17"/>
          <w:szCs w:val="17"/>
          <w:color w:val="auto"/>
        </w:rPr>
      </w:pPr>
    </w:p>
    <w:p>
      <w:pPr>
        <w:ind w:left="360" w:hanging="317"/>
        <w:spacing w:after="0"/>
        <w:tabs>
          <w:tab w:leader="none" w:pos="360" w:val="left"/>
        </w:tabs>
        <w:numPr>
          <w:ilvl w:val="0"/>
          <w:numId w:val="9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6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u w:val="single" w:color="auto"/>
          <w:color w:val="auto"/>
        </w:rPr>
        <w:t>/s/ Scott Koenig</w:t>
      </w:r>
    </w:p>
    <w:p>
      <w:pPr>
        <w:spacing w:after="0" w:line="3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Name: Scott Koenig, M.D., Ph.D.</w:t>
      </w:r>
    </w:p>
    <w:p>
      <w:pPr>
        <w:spacing w:after="0" w:line="1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Date: March 20, 2025</w:t>
      </w:r>
    </w:p>
    <w:p>
      <w:pPr>
        <w:sectPr>
          <w:pgSz w:w="11900" w:h="16838" w:orient="portrait"/>
          <w:cols w:equalWidth="0" w:num="1">
            <w:col w:w="11240"/>
          </w:cols>
          <w:pgMar w:left="320" w:top="863" w:right="339"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7"/>
          <w:szCs w:val="17"/>
          <w:color w:val="auto"/>
        </w:rPr>
        <w:t>EXHIBIT 32.2</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of Principal Financial Officer Pursuant to 18 U.S.C. 1350 (Section 906 of the Sarbanes-Oxley Act of 2002)</w:t>
      </w:r>
    </w:p>
    <w:p>
      <w:pPr>
        <w:spacing w:after="0" w:line="223" w:lineRule="exact"/>
        <w:rPr>
          <w:sz w:val="20"/>
          <w:szCs w:val="20"/>
          <w:color w:val="auto"/>
        </w:rPr>
      </w:pPr>
    </w:p>
    <w:p>
      <w:pPr>
        <w:ind w:right="60"/>
        <w:spacing w:after="0" w:line="294" w:lineRule="auto"/>
        <w:rPr>
          <w:sz w:val="20"/>
          <w:szCs w:val="20"/>
          <w:color w:val="auto"/>
        </w:rPr>
      </w:pPr>
      <w:r>
        <w:rPr>
          <w:rFonts w:ascii="Times New Roman" w:cs="Times New Roman" w:eastAsia="Times New Roman" w:hAnsi="Times New Roman"/>
          <w:sz w:val="17"/>
          <w:szCs w:val="17"/>
          <w:color w:val="auto"/>
        </w:rPr>
        <w:t>I, James Karrels, Senior Vice President and Chief Financial Officer (principal financial officer) of MacroGenics, Inc. (the “Registrant”), certify, to the best of my knowledge, based upon a review of the Annual Report on Form 10-K for the period ended December 31, 2024 of the Registrant (the “Report”), that:</w:t>
      </w:r>
    </w:p>
    <w:p>
      <w:pPr>
        <w:spacing w:after="0" w:line="185" w:lineRule="exact"/>
        <w:rPr>
          <w:sz w:val="20"/>
          <w:szCs w:val="20"/>
          <w:color w:val="auto"/>
        </w:rPr>
      </w:pPr>
    </w:p>
    <w:p>
      <w:pPr>
        <w:ind w:left="360" w:hanging="317"/>
        <w:spacing w:after="0"/>
        <w:tabs>
          <w:tab w:leader="none" w:pos="3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as amended; and</w:t>
      </w:r>
    </w:p>
    <w:p>
      <w:pPr>
        <w:spacing w:after="0" w:line="31" w:lineRule="exact"/>
        <w:rPr>
          <w:rFonts w:ascii="Times New Roman" w:cs="Times New Roman" w:eastAsia="Times New Roman" w:hAnsi="Times New Roman"/>
          <w:sz w:val="17"/>
          <w:szCs w:val="17"/>
          <w:color w:val="auto"/>
        </w:rPr>
      </w:pPr>
    </w:p>
    <w:p>
      <w:pPr>
        <w:ind w:left="360" w:hanging="317"/>
        <w:spacing w:after="0"/>
        <w:tabs>
          <w:tab w:leader="none" w:pos="360"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Registrant.</w:t>
      </w:r>
    </w:p>
    <w:p>
      <w:pPr>
        <w:spacing w:after="0" w:line="22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/s/ James Karrels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3178175</wp:posOffset>
            </wp:positionH>
            <wp:positionV relativeFrom="paragraph">
              <wp:posOffset>-4445</wp:posOffset>
            </wp:positionV>
            <wp:extent cx="8629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2">
                      <a:extLst>
                        <a:ext uri="{28A0092B-C50C-407E-A947-70E740481C1C}"/>
                      </a:extLst>
                    </a:blip>
                    <a:srcRect/>
                    <a:stretch>
                      <a:fillRect/>
                    </a:stretch>
                  </pic:blipFill>
                  <pic:spPr bwMode="auto">
                    <a:xfrm>
                      <a:off x="0" y="0"/>
                      <a:ext cx="862965" cy="8255"/>
                    </a:xfrm>
                    <a:prstGeom prst="rect">
                      <a:avLst/>
                    </a:prstGeom>
                    <a:noFill/>
                  </pic:spPr>
                </pic:pic>
              </a:graphicData>
            </a:graphic>
          </wp:anchor>
        </w:drawing>
      </w:r>
    </w:p>
    <w:p>
      <w:pPr>
        <w:spacing w:after="0" w:line="11"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Name: James Karrels</w:t>
      </w:r>
    </w:p>
    <w:p>
      <w:pPr>
        <w:spacing w:after="0" w:line="1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7"/>
          <w:szCs w:val="17"/>
          <w:color w:val="auto"/>
        </w:rPr>
        <w:t>Date: March 20, 2025</w:t>
      </w:r>
    </w:p>
    <w:sectPr>
      <w:pgSz w:w="11900" w:h="16838" w:orient="portrait"/>
      <w:cols w:equalWidth="0" w:num="1">
        <w:col w:w="11240"/>
      </w:cols>
      <w:pgMar w:left="320" w:top="8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9478FE"/>
    <w:multiLevelType w:val="hybridMultilevel"/>
    <w:lvl w:ilvl="0">
      <w:lvlJc w:val="left"/>
      <w:lvlText w:val="☒"/>
      <w:numFmt w:val="bullet"/>
      <w:start w:val="1"/>
    </w:lvl>
  </w:abstractNum>
  <w:abstractNum w:abstractNumId="1">
    <w:nsid w:val="749ABB43"/>
    <w:multiLevelType w:val="hybridMultilevel"/>
    <w:lvl w:ilvl="0">
      <w:lvlJc w:val="left"/>
      <w:lvlText w:val="☐"/>
      <w:numFmt w:val="bullet"/>
      <w:start w:val="1"/>
    </w:lvl>
  </w:abstractNum>
  <w:abstractNum w:abstractNumId="2">
    <w:nsid w:val="3DC240FB"/>
    <w:multiLevelType w:val="hybridMultilevel"/>
    <w:lvl w:ilvl="0">
      <w:lvlJc w:val="left"/>
      <w:lvlText w:val="•"/>
      <w:numFmt w:val="bullet"/>
      <w:start w:val="1"/>
    </w:lvl>
  </w:abstractNum>
  <w:abstractNum w:abstractNumId="3">
    <w:nsid w:val="1BA026FA"/>
    <w:multiLevelType w:val="hybridMultilevel"/>
    <w:lvl w:ilvl="0">
      <w:lvlJc w:val="left"/>
      <w:lvlText w:val="(%1)"/>
      <w:numFmt w:val="decimal"/>
      <w:start w:val="3"/>
    </w:lvl>
  </w:abstractNum>
  <w:abstractNum w:abstractNumId="4">
    <w:nsid w:val="79A1DEAA"/>
    <w:multiLevelType w:val="hybridMultilevel"/>
    <w:lvl w:ilvl="0">
      <w:lvlJc w:val="left"/>
      <w:lvlText w:val="•"/>
      <w:numFmt w:val="bullet"/>
      <w:start w:val="1"/>
    </w:lvl>
  </w:abstractNum>
  <w:abstractNum w:abstractNumId="5">
    <w:nsid w:val="75C6C33A"/>
    <w:multiLevelType w:val="hybridMultilevel"/>
    <w:lvl w:ilvl="0">
      <w:lvlJc w:val="left"/>
      <w:lvlText w:val="•"/>
      <w:numFmt w:val="bullet"/>
      <w:start w:val="1"/>
    </w:lvl>
  </w:abstractNum>
  <w:abstractNum w:abstractNumId="6">
    <w:nsid w:val="12E685FB"/>
    <w:multiLevelType w:val="hybridMultilevel"/>
    <w:lvl w:ilvl="0">
      <w:lvlJc w:val="left"/>
      <w:lvlText w:val="•"/>
      <w:numFmt w:val="bullet"/>
      <w:start w:val="1"/>
    </w:lvl>
  </w:abstractNum>
  <w:abstractNum w:abstractNumId="7">
    <w:nsid w:val="70C6A529"/>
    <w:multiLevelType w:val="hybridMultilevel"/>
    <w:lvl w:ilvl="0">
      <w:lvlJc w:val="left"/>
      <w:lvlText w:val="•"/>
      <w:numFmt w:val="bullet"/>
      <w:start w:val="1"/>
    </w:lvl>
  </w:abstractNum>
  <w:abstractNum w:abstractNumId="8">
    <w:nsid w:val="520EEDD1"/>
    <w:multiLevelType w:val="hybridMultilevel"/>
    <w:lvl w:ilvl="0">
      <w:lvlJc w:val="left"/>
      <w:lvlText w:val="•"/>
      <w:numFmt w:val="bullet"/>
      <w:start w:val="1"/>
    </w:lvl>
  </w:abstractNum>
  <w:abstractNum w:abstractNumId="9">
    <w:nsid w:val="374A3FE6"/>
    <w:multiLevelType w:val="hybridMultilevel"/>
    <w:lvl w:ilvl="0">
      <w:lvlJc w:val="left"/>
      <w:lvlText w:val="•"/>
      <w:numFmt w:val="bullet"/>
      <w:start w:val="1"/>
    </w:lvl>
  </w:abstractNum>
  <w:abstractNum w:abstractNumId="10">
    <w:nsid w:val="4F4EF005"/>
    <w:multiLevelType w:val="hybridMultilevel"/>
    <w:lvl w:ilvl="0">
      <w:lvlJc w:val="left"/>
      <w:lvlText w:val="•"/>
      <w:numFmt w:val="bullet"/>
      <w:start w:val="1"/>
    </w:lvl>
  </w:abstractNum>
  <w:abstractNum w:abstractNumId="11">
    <w:nsid w:val="23F9C13C"/>
    <w:multiLevelType w:val="hybridMultilevel"/>
    <w:lvl w:ilvl="0">
      <w:lvlJc w:val="left"/>
      <w:lvlText w:val="•"/>
      <w:numFmt w:val="bullet"/>
      <w:start w:val="1"/>
    </w:lvl>
  </w:abstractNum>
  <w:abstractNum w:abstractNumId="12">
    <w:nsid w:val="649BB77C"/>
    <w:multiLevelType w:val="hybridMultilevel"/>
    <w:lvl w:ilvl="0">
      <w:lvlJc w:val="left"/>
      <w:lvlText w:val="•"/>
      <w:numFmt w:val="bullet"/>
      <w:start w:val="1"/>
    </w:lvl>
  </w:abstractNum>
  <w:abstractNum w:abstractNumId="13">
    <w:nsid w:val="275AC794"/>
    <w:multiLevelType w:val="hybridMultilevel"/>
    <w:lvl w:ilvl="0">
      <w:lvlJc w:val="left"/>
      <w:lvlText w:val="•"/>
      <w:numFmt w:val="bullet"/>
      <w:start w:val="1"/>
    </w:lvl>
  </w:abstractNum>
  <w:abstractNum w:abstractNumId="14">
    <w:nsid w:val="39386575"/>
    <w:multiLevelType w:val="hybridMultilevel"/>
    <w:lvl w:ilvl="0">
      <w:lvlJc w:val="left"/>
      <w:lvlText w:val="•"/>
      <w:numFmt w:val="bullet"/>
      <w:start w:val="1"/>
    </w:lvl>
  </w:abstractNum>
  <w:abstractNum w:abstractNumId="15">
    <w:nsid w:val="1CF10FD8"/>
    <w:multiLevelType w:val="hybridMultilevel"/>
    <w:lvl w:ilvl="0">
      <w:lvlJc w:val="left"/>
      <w:lvlText w:val="•"/>
      <w:numFmt w:val="bullet"/>
      <w:start w:val="1"/>
    </w:lvl>
  </w:abstractNum>
  <w:abstractNum w:abstractNumId="16">
    <w:nsid w:val="180115BE"/>
    <w:multiLevelType w:val="hybridMultilevel"/>
    <w:lvl w:ilvl="0">
      <w:lvlJc w:val="left"/>
      <w:lvlText w:val="•"/>
      <w:numFmt w:val="bullet"/>
      <w:start w:val="1"/>
    </w:lvl>
  </w:abstractNum>
  <w:abstractNum w:abstractNumId="17">
    <w:nsid w:val="235BA861"/>
    <w:multiLevelType w:val="hybridMultilevel"/>
    <w:lvl w:ilvl="0">
      <w:lvlJc w:val="left"/>
      <w:lvlText w:val="•"/>
      <w:numFmt w:val="bullet"/>
      <w:start w:val="1"/>
    </w:lvl>
  </w:abstractNum>
  <w:abstractNum w:abstractNumId="18">
    <w:nsid w:val="47398C89"/>
    <w:multiLevelType w:val="hybridMultilevel"/>
    <w:lvl w:ilvl="0">
      <w:lvlJc w:val="left"/>
      <w:lvlText w:val="•"/>
      <w:numFmt w:val="bullet"/>
      <w:start w:val="1"/>
    </w:lvl>
  </w:abstractNum>
  <w:abstractNum w:abstractNumId="19">
    <w:nsid w:val="354FE9F9"/>
    <w:multiLevelType w:val="hybridMultilevel"/>
    <w:lvl w:ilvl="0">
      <w:lvlJc w:val="left"/>
      <w:lvlText w:val="•"/>
      <w:numFmt w:val="bullet"/>
      <w:start w:val="1"/>
    </w:lvl>
  </w:abstractNum>
  <w:abstractNum w:abstractNumId="20">
    <w:nsid w:val="15B5AF5C"/>
    <w:multiLevelType w:val="hybridMultilevel"/>
    <w:lvl w:ilvl="0">
      <w:lvlJc w:val="left"/>
      <w:lvlText w:val="•"/>
      <w:numFmt w:val="bullet"/>
      <w:start w:val="1"/>
    </w:lvl>
  </w:abstractNum>
  <w:abstractNum w:abstractNumId="21">
    <w:nsid w:val="741226BB"/>
    <w:multiLevelType w:val="hybridMultilevel"/>
    <w:lvl w:ilvl="0">
      <w:lvlJc w:val="left"/>
      <w:lvlText w:val="•"/>
      <w:numFmt w:val="bullet"/>
      <w:start w:val="1"/>
    </w:lvl>
  </w:abstractNum>
  <w:abstractNum w:abstractNumId="22">
    <w:nsid w:val="D34B6A8"/>
    <w:multiLevelType w:val="hybridMultilevel"/>
    <w:lvl w:ilvl="0">
      <w:lvlJc w:val="left"/>
      <w:lvlText w:val="•"/>
      <w:numFmt w:val="bullet"/>
      <w:start w:val="1"/>
    </w:lvl>
  </w:abstractNum>
  <w:abstractNum w:abstractNumId="23">
    <w:nsid w:val="10233C99"/>
    <w:multiLevelType w:val="hybridMultilevel"/>
    <w:lvl w:ilvl="0">
      <w:lvlJc w:val="left"/>
      <w:lvlText w:val="•"/>
      <w:numFmt w:val="bullet"/>
      <w:start w:val="1"/>
    </w:lvl>
  </w:abstractNum>
  <w:abstractNum w:abstractNumId="24">
    <w:nsid w:val="3F6AB60F"/>
    <w:multiLevelType w:val="hybridMultilevel"/>
    <w:lvl w:ilvl="0">
      <w:lvlJc w:val="left"/>
      <w:lvlText w:val="•"/>
      <w:numFmt w:val="bullet"/>
      <w:start w:val="1"/>
    </w:lvl>
  </w:abstractNum>
  <w:abstractNum w:abstractNumId="25">
    <w:nsid w:val="61574095"/>
    <w:multiLevelType w:val="hybridMultilevel"/>
    <w:lvl w:ilvl="0">
      <w:lvlJc w:val="left"/>
      <w:lvlText w:val="•"/>
      <w:numFmt w:val="bullet"/>
      <w:start w:val="1"/>
    </w:lvl>
  </w:abstractNum>
  <w:abstractNum w:abstractNumId="26">
    <w:nsid w:val="7E0C57B1"/>
    <w:multiLevelType w:val="hybridMultilevel"/>
    <w:lvl w:ilvl="0">
      <w:lvlJc w:val="left"/>
      <w:lvlText w:val="•"/>
      <w:numFmt w:val="bullet"/>
      <w:start w:val="1"/>
    </w:lvl>
  </w:abstractNum>
  <w:abstractNum w:abstractNumId="27">
    <w:nsid w:val="77AE35EB"/>
    <w:multiLevelType w:val="hybridMultilevel"/>
    <w:lvl w:ilvl="0">
      <w:lvlJc w:val="left"/>
      <w:lvlText w:val="•"/>
      <w:numFmt w:val="bullet"/>
      <w:start w:val="1"/>
    </w:lvl>
  </w:abstractNum>
  <w:abstractNum w:abstractNumId="28">
    <w:nsid w:val="579BE4F1"/>
    <w:multiLevelType w:val="hybridMultilevel"/>
    <w:lvl w:ilvl="0">
      <w:lvlJc w:val="left"/>
      <w:lvlText w:val="•"/>
      <w:numFmt w:val="bullet"/>
      <w:start w:val="1"/>
    </w:lvl>
  </w:abstractNum>
  <w:abstractNum w:abstractNumId="29">
    <w:nsid w:val="310C50B3"/>
    <w:multiLevelType w:val="hybridMultilevel"/>
    <w:lvl w:ilvl="0">
      <w:lvlJc w:val="left"/>
      <w:lvlText w:val="•"/>
      <w:numFmt w:val="bullet"/>
      <w:start w:val="1"/>
    </w:lvl>
  </w:abstractNum>
  <w:abstractNum w:abstractNumId="30">
    <w:nsid w:val="5FF87E05"/>
    <w:multiLevelType w:val="hybridMultilevel"/>
    <w:lvl w:ilvl="0">
      <w:lvlJc w:val="left"/>
      <w:lvlText w:val="•"/>
      <w:numFmt w:val="bullet"/>
      <w:start w:val="1"/>
    </w:lvl>
  </w:abstractNum>
  <w:abstractNum w:abstractNumId="31">
    <w:nsid w:val="2F305DEF"/>
    <w:multiLevelType w:val="hybridMultilevel"/>
    <w:lvl w:ilvl="0">
      <w:lvlJc w:val="left"/>
      <w:lvlText w:val="•"/>
      <w:numFmt w:val="bullet"/>
      <w:start w:val="1"/>
    </w:lvl>
  </w:abstractNum>
  <w:abstractNum w:abstractNumId="32">
    <w:nsid w:val="25A70BF7"/>
    <w:multiLevelType w:val="hybridMultilevel"/>
    <w:lvl w:ilvl="0">
      <w:lvlJc w:val="left"/>
      <w:lvlText w:val="•"/>
      <w:numFmt w:val="bullet"/>
      <w:start w:val="1"/>
    </w:lvl>
  </w:abstractNum>
  <w:abstractNum w:abstractNumId="33">
    <w:nsid w:val="1DBABF00"/>
    <w:multiLevelType w:val="hybridMultilevel"/>
    <w:lvl w:ilvl="0">
      <w:lvlJc w:val="left"/>
      <w:lvlText w:val="•"/>
      <w:numFmt w:val="bullet"/>
      <w:start w:val="1"/>
    </w:lvl>
  </w:abstractNum>
  <w:abstractNum w:abstractNumId="34">
    <w:nsid w:val="4AD084E9"/>
    <w:multiLevelType w:val="hybridMultilevel"/>
    <w:lvl w:ilvl="0">
      <w:lvlJc w:val="left"/>
      <w:lvlText w:val="•"/>
      <w:numFmt w:val="bullet"/>
      <w:start w:val="1"/>
    </w:lvl>
  </w:abstractNum>
  <w:abstractNum w:abstractNumId="35">
    <w:nsid w:val="1F48EAA1"/>
    <w:multiLevelType w:val="hybridMultilevel"/>
    <w:lvl w:ilvl="0">
      <w:lvlJc w:val="left"/>
      <w:lvlText w:val="•"/>
      <w:numFmt w:val="bullet"/>
      <w:start w:val="1"/>
    </w:lvl>
  </w:abstractNum>
  <w:abstractNum w:abstractNumId="36">
    <w:nsid w:val="1381823A"/>
    <w:multiLevelType w:val="hybridMultilevel"/>
    <w:lvl w:ilvl="0">
      <w:lvlJc w:val="left"/>
      <w:lvlText w:val="•"/>
      <w:numFmt w:val="bullet"/>
      <w:start w:val="1"/>
    </w:lvl>
  </w:abstractNum>
  <w:abstractNum w:abstractNumId="37">
    <w:nsid w:val="5DB70AE5"/>
    <w:multiLevelType w:val="hybridMultilevel"/>
    <w:lvl w:ilvl="0">
      <w:lvlJc w:val="left"/>
      <w:lvlText w:val="•"/>
      <w:numFmt w:val="bullet"/>
      <w:start w:val="1"/>
    </w:lvl>
  </w:abstractNum>
  <w:abstractNum w:abstractNumId="38">
    <w:nsid w:val="100F8FCA"/>
    <w:multiLevelType w:val="hybridMultilevel"/>
    <w:lvl w:ilvl="0">
      <w:lvlJc w:val="left"/>
      <w:lvlText w:val="•"/>
      <w:numFmt w:val="bullet"/>
      <w:start w:val="1"/>
    </w:lvl>
  </w:abstractNum>
  <w:abstractNum w:abstractNumId="39">
    <w:nsid w:val="6590700B"/>
    <w:multiLevelType w:val="hybridMultilevel"/>
    <w:lvl w:ilvl="0">
      <w:lvlJc w:val="left"/>
      <w:lvlText w:val="•"/>
      <w:numFmt w:val="bullet"/>
      <w:start w:val="1"/>
    </w:lvl>
  </w:abstractNum>
  <w:abstractNum w:abstractNumId="40">
    <w:nsid w:val="15014ACB"/>
    <w:multiLevelType w:val="hybridMultilevel"/>
    <w:lvl w:ilvl="0">
      <w:lvlJc w:val="left"/>
      <w:lvlText w:val="(%1)"/>
      <w:numFmt w:val="lowerRoman"/>
      <w:start w:val="1"/>
    </w:lvl>
  </w:abstractNum>
  <w:abstractNum w:abstractNumId="41">
    <w:nsid w:val="5F5E7FD0"/>
    <w:multiLevelType w:val="hybridMultilevel"/>
    <w:lvl w:ilvl="0">
      <w:lvlJc w:val="left"/>
      <w:lvlText w:val="(%1)"/>
      <w:numFmt w:val="lowerLetter"/>
      <w:start w:val="1"/>
    </w:lvl>
  </w:abstractNum>
  <w:abstractNum w:abstractNumId="42">
    <w:nsid w:val="98A3148"/>
    <w:multiLevelType w:val="hybridMultilevel"/>
    <w:lvl w:ilvl="0">
      <w:lvlJc w:val="left"/>
      <w:lvlText w:val="•"/>
      <w:numFmt w:val="bullet"/>
      <w:start w:val="1"/>
    </w:lvl>
  </w:abstractNum>
  <w:abstractNum w:abstractNumId="43">
    <w:nsid w:val="799D0247"/>
    <w:multiLevelType w:val="hybridMultilevel"/>
    <w:lvl w:ilvl="0">
      <w:lvlJc w:val="left"/>
      <w:lvlText w:val="•"/>
      <w:numFmt w:val="bullet"/>
      <w:start w:val="1"/>
    </w:lvl>
  </w:abstractNum>
  <w:abstractNum w:abstractNumId="44">
    <w:nsid w:val="6B94764"/>
    <w:multiLevelType w:val="hybridMultilevel"/>
    <w:lvl w:ilvl="0">
      <w:lvlJc w:val="left"/>
      <w:lvlText w:val="•"/>
      <w:numFmt w:val="bullet"/>
      <w:start w:val="1"/>
    </w:lvl>
  </w:abstractNum>
  <w:abstractNum w:abstractNumId="45">
    <w:nsid w:val="42C296BD"/>
    <w:multiLevelType w:val="hybridMultilevel"/>
    <w:lvl w:ilvl="0">
      <w:lvlJc w:val="left"/>
      <w:lvlText w:val="•"/>
      <w:numFmt w:val="bullet"/>
      <w:start w:val="1"/>
    </w:lvl>
  </w:abstractNum>
  <w:abstractNum w:abstractNumId="46">
    <w:nsid w:val="168E121F"/>
    <w:multiLevelType w:val="hybridMultilevel"/>
    <w:lvl w:ilvl="0">
      <w:lvlJc w:val="left"/>
      <w:lvlText w:val="%1."/>
      <w:numFmt w:val="decimal"/>
      <w:start w:val="2"/>
    </w:lvl>
  </w:abstractNum>
  <w:abstractNum w:abstractNumId="47">
    <w:nsid w:val="1EBA5D23"/>
    <w:multiLevelType w:val="hybridMultilevel"/>
    <w:lvl w:ilvl="0">
      <w:lvlJc w:val="left"/>
      <w:lvlText w:val="%1."/>
      <w:numFmt w:val="decimal"/>
      <w:start w:val="3"/>
    </w:lvl>
  </w:abstractNum>
  <w:abstractNum w:abstractNumId="48">
    <w:nsid w:val="661E3F1E"/>
    <w:multiLevelType w:val="hybridMultilevel"/>
    <w:lvl w:ilvl="0">
      <w:lvlJc w:val="left"/>
      <w:lvlText w:val="•"/>
      <w:numFmt w:val="bullet"/>
      <w:start w:val="1"/>
    </w:lvl>
  </w:abstractNum>
  <w:abstractNum w:abstractNumId="49">
    <w:nsid w:val="5DC79EA8"/>
    <w:multiLevelType w:val="hybridMultilevel"/>
    <w:lvl w:ilvl="0">
      <w:lvlJc w:val="left"/>
      <w:lvlText w:val="(%1)"/>
      <w:numFmt w:val="lowerLetter"/>
      <w:start w:val="1"/>
    </w:lvl>
  </w:abstractNum>
  <w:abstractNum w:abstractNumId="50">
    <w:nsid w:val="540A471C"/>
    <w:multiLevelType w:val="hybridMultilevel"/>
    <w:lvl w:ilvl="0">
      <w:lvlJc w:val="left"/>
      <w:lvlText w:val="(%1)"/>
      <w:numFmt w:val="lowerRoman"/>
      <w:start w:val="3"/>
    </w:lvl>
  </w:abstractNum>
  <w:abstractNum w:abstractNumId="51">
    <w:nsid w:val="7BD3EE7B"/>
    <w:multiLevelType w:val="hybridMultilevel"/>
    <w:lvl w:ilvl="0">
      <w:lvlJc w:val="left"/>
      <w:lvlText w:val="(%1)"/>
      <w:numFmt w:val="lowerLetter"/>
      <w:start w:val="1"/>
    </w:lvl>
  </w:abstractNum>
  <w:abstractNum w:abstractNumId="52">
    <w:nsid w:val="51D9C564"/>
    <w:multiLevelType w:val="hybridMultilevel"/>
    <w:lvl w:ilvl="0">
      <w:lvlJc w:val="left"/>
      <w:lvlText w:val="†"/>
      <w:numFmt w:val="bullet"/>
      <w:start w:val="1"/>
    </w:lvl>
    <w:lvl w:ilvl="1">
      <w:lvlJc w:val="left"/>
      <w:lvlText w:val="%2"/>
      <w:numFmt w:val="decimal"/>
      <w:start w:val="104"/>
    </w:lvl>
  </w:abstractNum>
  <w:abstractNum w:abstractNumId="53">
    <w:nsid w:val="613EFDC5"/>
    <w:multiLevelType w:val="hybridMultilevel"/>
    <w:lvl w:ilvl="0">
      <w:lvlJc w:val="left"/>
      <w:lvlText w:val="#"/>
      <w:numFmt w:val="bullet"/>
      <w:start w:val="1"/>
    </w:lvl>
  </w:abstractNum>
  <w:abstractNum w:abstractNumId="54">
    <w:nsid w:val="BF72B14"/>
    <w:multiLevelType w:val="hybridMultilevel"/>
    <w:lvl w:ilvl="0">
      <w:lvlJc w:val="left"/>
      <w:lvlText w:val="+"/>
      <w:numFmt w:val="bullet"/>
      <w:start w:val="1"/>
    </w:lvl>
  </w:abstractNum>
  <w:abstractNum w:abstractNumId="55">
    <w:nsid w:val="11447B73"/>
    <w:multiLevelType w:val="hybridMultilevel"/>
    <w:lvl w:ilvl="0">
      <w:lvlJc w:val="left"/>
      <w:lvlText w:val="%1."/>
      <w:numFmt w:val="decimal"/>
      <w:start w:val="1"/>
    </w:lvl>
  </w:abstractNum>
  <w:abstractNum w:abstractNumId="56">
    <w:nsid w:val="42963E5A"/>
    <w:multiLevelType w:val="hybridMultilevel"/>
    <w:lvl w:ilvl="0">
      <w:lvlJc w:val="left"/>
      <w:lvlText w:val="(%1)"/>
      <w:numFmt w:val="lowerLetter"/>
      <w:start w:val="1"/>
    </w:lvl>
  </w:abstractNum>
  <w:abstractNum w:abstractNumId="57">
    <w:nsid w:val="A0382C5"/>
    <w:multiLevelType w:val="hybridMultilevel"/>
    <w:lvl w:ilvl="0">
      <w:lvlJc w:val="left"/>
      <w:lvlText w:val="%1"/>
      <w:numFmt w:val="decimal"/>
      <w:start w:val="1"/>
    </w:lvl>
    <w:lvl w:ilvl="1">
      <w:lvlJc w:val="left"/>
      <w:lvlText w:val="(%2)"/>
      <w:numFmt w:val="lowerLetter"/>
      <w:start w:val="2"/>
    </w:lvl>
  </w:abstractNum>
  <w:abstractNum w:abstractNumId="58">
    <w:nsid w:val="8F2B15E"/>
    <w:multiLevelType w:val="hybridMultilevel"/>
    <w:lvl w:ilvl="0">
      <w:lvlJc w:val="left"/>
      <w:lvlText w:val="%1."/>
      <w:numFmt w:val="decimal"/>
      <w:start w:val="4"/>
    </w:lvl>
    <w:lvl w:ilvl="1">
      <w:lvlJc w:val="left"/>
      <w:lvlText w:val="(%2)"/>
      <w:numFmt w:val="lowerLetter"/>
      <w:start w:val="1"/>
    </w:lvl>
  </w:abstractNum>
  <w:abstractNum w:abstractNumId="59">
    <w:nsid w:val="1A32234B"/>
    <w:multiLevelType w:val="hybridMultilevel"/>
    <w:lvl w:ilvl="0">
      <w:lvlJc w:val="left"/>
      <w:lvlText w:val="(%1)"/>
      <w:numFmt w:val="lowerLetter"/>
      <w:start w:val="2"/>
    </w:lvl>
  </w:abstractNum>
  <w:abstractNum w:abstractNumId="60">
    <w:nsid w:val="3B0FD379"/>
    <w:multiLevelType w:val="hybridMultilevel"/>
    <w:lvl w:ilvl="0">
      <w:lvlJc w:val="left"/>
      <w:lvlText w:val="%1"/>
      <w:numFmt w:val="decimal"/>
      <w:start w:val="1"/>
    </w:lvl>
    <w:lvl w:ilvl="1">
      <w:lvlJc w:val="left"/>
      <w:lvlText w:val="(%2)"/>
      <w:numFmt w:val="lowerLetter"/>
      <w:start w:val="7"/>
    </w:lvl>
  </w:abstractNum>
  <w:abstractNum w:abstractNumId="61">
    <w:nsid w:val="68EB2F63"/>
    <w:multiLevelType w:val="hybridMultilevel"/>
    <w:lvl w:ilvl="0">
      <w:lvlJc w:val="left"/>
      <w:lvlText w:val="%1."/>
      <w:numFmt w:val="decimal"/>
      <w:start w:val="5"/>
    </w:lvl>
    <w:lvl w:ilvl="1">
      <w:lvlJc w:val="left"/>
      <w:lvlText w:val="%2"/>
      <w:numFmt w:val="lowerLetter"/>
      <w:start w:val="1"/>
    </w:lvl>
  </w:abstractNum>
  <w:abstractNum w:abstractNumId="62">
    <w:nsid w:val="4962813B"/>
    <w:multiLevelType w:val="hybridMultilevel"/>
    <w:lvl w:ilvl="0">
      <w:lvlJc w:val="left"/>
      <w:lvlText w:val="%1."/>
      <w:numFmt w:val="decimal"/>
      <w:start w:val="6"/>
    </w:lvl>
    <w:lvl w:ilvl="1">
      <w:lvlJc w:val="left"/>
      <w:lvlText w:val="(%2)"/>
      <w:numFmt w:val="lowerLetter"/>
      <w:start w:val="1"/>
    </w:lvl>
  </w:abstractNum>
  <w:abstractNum w:abstractNumId="63">
    <w:nsid w:val="60B6DF70"/>
    <w:multiLevelType w:val="hybridMultilevel"/>
    <w:lvl w:ilvl="0">
      <w:lvlJc w:val="left"/>
      <w:lvlText w:val="%1"/>
      <w:numFmt w:val="decimal"/>
      <w:start w:val="1"/>
    </w:lvl>
    <w:lvl w:ilvl="1">
      <w:lvlJc w:val="left"/>
      <w:lvlText w:val="(%2)"/>
      <w:numFmt w:val="lowerLetter"/>
      <w:start w:val="4"/>
    </w:lvl>
  </w:abstractNum>
  <w:abstractNum w:abstractNumId="64">
    <w:nsid w:val="6A5EE64"/>
    <w:multiLevelType w:val="hybridMultilevel"/>
    <w:lvl w:ilvl="0">
      <w:lvlJc w:val="left"/>
      <w:lvlText w:val="%1."/>
      <w:numFmt w:val="decimal"/>
      <w:start w:val="8"/>
    </w:lvl>
    <w:lvl w:ilvl="1">
      <w:lvlJc w:val="left"/>
      <w:lvlText w:val="%2"/>
      <w:numFmt w:val="lowerLetter"/>
      <w:start w:val="1"/>
    </w:lvl>
  </w:abstractNum>
  <w:abstractNum w:abstractNumId="65">
    <w:nsid w:val="14330624"/>
    <w:multiLevelType w:val="hybridMultilevel"/>
    <w:lvl w:ilvl="0">
      <w:lvlJc w:val="left"/>
      <w:lvlText w:val="%1."/>
      <w:numFmt w:val="decimal"/>
      <w:start w:val="9"/>
    </w:lvl>
  </w:abstractNum>
  <w:abstractNum w:abstractNumId="66">
    <w:nsid w:val="7FFFCA11"/>
    <w:multiLevelType w:val="hybridMultilevel"/>
    <w:lvl w:ilvl="0">
      <w:lvlJc w:val="left"/>
      <w:lvlText w:val="%1."/>
      <w:numFmt w:val="decimal"/>
      <w:start w:val="13"/>
    </w:lvl>
  </w:abstractNum>
  <w:abstractNum w:abstractNumId="67">
    <w:nsid w:val="1A27709E"/>
    <w:multiLevelType w:val="hybridMultilevel"/>
    <w:lvl w:ilvl="0">
      <w:lvlJc w:val="left"/>
      <w:lvlText w:val="%1."/>
      <w:numFmt w:val="decimal"/>
      <w:start w:val="1"/>
    </w:lvl>
  </w:abstractNum>
  <w:abstractNum w:abstractNumId="68">
    <w:nsid w:val="71EA1109"/>
    <w:multiLevelType w:val="hybridMultilevel"/>
    <w:lvl w:ilvl="0">
      <w:lvlJc w:val="left"/>
      <w:lvlText w:val="%1."/>
      <w:numFmt w:val="decimal"/>
      <w:start w:val="1"/>
    </w:lvl>
  </w:abstractNum>
  <w:abstractNum w:abstractNumId="69">
    <w:nsid w:val="100F59DC"/>
    <w:multiLevelType w:val="hybridMultilevel"/>
    <w:lvl w:ilvl="0">
      <w:lvlJc w:val="left"/>
      <w:lvlText w:val="%1."/>
      <w:numFmt w:val="decimal"/>
      <w:start w:val="1"/>
    </w:lvl>
  </w:abstractNum>
  <w:abstractNum w:abstractNumId="70">
    <w:nsid w:val="7FB7E0AA"/>
    <w:multiLevelType w:val="hybridMultilevel"/>
    <w:lvl w:ilvl="0">
      <w:lvlJc w:val="left"/>
      <w:lvlText w:val="%1."/>
      <w:numFmt w:val="decimal"/>
      <w:start w:val="1"/>
    </w:lvl>
  </w:abstractNum>
  <w:abstractNum w:abstractNumId="71">
    <w:nsid w:val="6EB5BD4"/>
    <w:multiLevelType w:val="hybridMultilevel"/>
    <w:lvl w:ilvl="0">
      <w:lvlJc w:val="left"/>
      <w:lvlText w:val="%1."/>
      <w:numFmt w:val="decimal"/>
      <w:start w:val="1"/>
    </w:lvl>
  </w:abstractNum>
  <w:abstractNum w:abstractNumId="72">
    <w:nsid w:val="6F6DD9AC"/>
    <w:multiLevelType w:val="hybridMultilevel"/>
    <w:lvl w:ilvl="0">
      <w:lvlJc w:val="left"/>
      <w:lvlText w:val="%1."/>
      <w:numFmt w:val="decimal"/>
      <w:start w:val="1"/>
    </w:lvl>
  </w:abstractNum>
  <w:abstractNum w:abstractNumId="73">
    <w:nsid w:val="94211F2"/>
    <w:multiLevelType w:val="hybridMultilevel"/>
    <w:lvl w:ilvl="0">
      <w:lvlJc w:val="left"/>
      <w:lvlText w:val="%1."/>
      <w:numFmt w:val="decimal"/>
      <w:start w:val="1"/>
    </w:lvl>
    <w:lvl w:ilvl="1">
      <w:lvlJc w:val="left"/>
      <w:lvlText w:val="%2"/>
      <w:numFmt w:val="decimal"/>
      <w:start w:val="1"/>
    </w:lvl>
  </w:abstractNum>
  <w:abstractNum w:abstractNumId="74">
    <w:nsid w:val="885E1B"/>
    <w:multiLevelType w:val="hybridMultilevel"/>
    <w:lvl w:ilvl="0">
      <w:lvlJc w:val="left"/>
      <w:lvlText w:val="%1."/>
      <w:numFmt w:val="decimal"/>
      <w:start w:val="1"/>
    </w:lvl>
    <w:lvl w:ilvl="1">
      <w:lvlJc w:val="left"/>
      <w:lvlText w:val="%2"/>
      <w:numFmt w:val="decimal"/>
      <w:start w:val="1"/>
    </w:lvl>
  </w:abstractNum>
  <w:abstractNum w:abstractNumId="75">
    <w:nsid w:val="76272110"/>
    <w:multiLevelType w:val="hybridMultilevel"/>
    <w:lvl w:ilvl="0">
      <w:lvlJc w:val="left"/>
      <w:lvlText w:val="%1."/>
      <w:numFmt w:val="decimal"/>
      <w:start w:val="2"/>
    </w:lvl>
  </w:abstractNum>
  <w:abstractNum w:abstractNumId="76">
    <w:nsid w:val="4C04A8AF"/>
    <w:multiLevelType w:val="hybridMultilevel"/>
    <w:lvl w:ilvl="0">
      <w:lvlJc w:val="left"/>
      <w:lvlText w:val="%1."/>
      <w:numFmt w:val="decimal"/>
      <w:start w:val="5"/>
    </w:lvl>
  </w:abstractNum>
  <w:abstractNum w:abstractNumId="77">
    <w:nsid w:val="1716703B"/>
    <w:multiLevelType w:val="hybridMultilevel"/>
    <w:lvl w:ilvl="0">
      <w:lvlJc w:val="left"/>
      <w:lvlText w:val="%1."/>
      <w:numFmt w:val="decimal"/>
      <w:start w:val="1"/>
    </w:lvl>
  </w:abstractNum>
  <w:abstractNum w:abstractNumId="78">
    <w:nsid w:val="14E17E33"/>
    <w:multiLevelType w:val="hybridMultilevel"/>
    <w:lvl w:ilvl="0">
      <w:lvlJc w:val="left"/>
      <w:lvlText w:val="%1)"/>
      <w:numFmt w:val="lowerLetter"/>
      <w:start w:val="1"/>
    </w:lvl>
  </w:abstractNum>
  <w:abstractNum w:abstractNumId="79">
    <w:nsid w:val="3222E7CD"/>
    <w:multiLevelType w:val="hybridMultilevel"/>
    <w:lvl w:ilvl="0">
      <w:lvlJc w:val="left"/>
      <w:lvlText w:val="%1."/>
      <w:numFmt w:val="decimal"/>
      <w:start w:val="2"/>
    </w:lvl>
  </w:abstractNum>
  <w:abstractNum w:abstractNumId="80">
    <w:nsid w:val="74DE0EE3"/>
    <w:multiLevelType w:val="hybridMultilevel"/>
    <w:lvl w:ilvl="0">
      <w:lvlJc w:val="left"/>
      <w:lvlText w:val="%1"/>
      <w:numFmt w:val="decimal"/>
      <w:start w:val="1"/>
    </w:lvl>
    <w:lvl w:ilvl="1">
      <w:lvlJc w:val="left"/>
      <w:lvlText w:val="%2)"/>
      <w:numFmt w:val="lowerLetter"/>
      <w:start w:val="1"/>
    </w:lvl>
  </w:abstractNum>
  <w:abstractNum w:abstractNumId="81">
    <w:nsid w:val="68EBC550"/>
    <w:multiLevelType w:val="hybridMultilevel"/>
    <w:lvl w:ilvl="0">
      <w:lvlJc w:val="left"/>
      <w:lvlText w:val="%1."/>
      <w:numFmt w:val="decimal"/>
      <w:start w:val="3"/>
    </w:lvl>
    <w:lvl w:ilvl="1">
      <w:lvlJc w:val="left"/>
      <w:lvlText w:val="%2"/>
      <w:numFmt w:val="lowerLetter"/>
      <w:start w:val="1"/>
    </w:lvl>
  </w:abstractNum>
  <w:abstractNum w:abstractNumId="82">
    <w:nsid w:val="2DF6D648"/>
    <w:multiLevelType w:val="hybridMultilevel"/>
    <w:lvl w:ilvl="0">
      <w:lvlJc w:val="left"/>
      <w:lvlText w:val="%1."/>
      <w:numFmt w:val="decimal"/>
      <w:start w:val="4"/>
    </w:lvl>
    <w:lvl w:ilvl="1">
      <w:lvlJc w:val="left"/>
      <w:lvlText w:val="%2)"/>
      <w:numFmt w:val="lowerLetter"/>
      <w:start w:val="1"/>
    </w:lvl>
  </w:abstractNum>
  <w:abstractNum w:abstractNumId="83">
    <w:nsid w:val="46B7D447"/>
    <w:multiLevelType w:val="hybridMultilevel"/>
    <w:lvl w:ilvl="0">
      <w:lvlJc w:val="left"/>
      <w:lvlText w:val="•"/>
      <w:numFmt w:val="bullet"/>
      <w:start w:val="1"/>
    </w:lvl>
  </w:abstractNum>
  <w:abstractNum w:abstractNumId="84">
    <w:nsid w:val="4A2AC315"/>
    <w:multiLevelType w:val="hybridMultilevel"/>
    <w:lvl w:ilvl="0">
      <w:lvlJc w:val="left"/>
      <w:lvlText w:val="%1"/>
      <w:numFmt w:val="decimal"/>
      <w:start w:val="1"/>
    </w:lvl>
    <w:lvl w:ilvl="1">
      <w:lvlJc w:val="left"/>
      <w:lvlText w:val="•"/>
      <w:numFmt w:val="bullet"/>
      <w:start w:val="1"/>
    </w:lvl>
    <w:lvl w:ilvl="2">
      <w:lvlJc w:val="left"/>
      <w:lvlText w:val="%3)"/>
      <w:numFmt w:val="lowerLetter"/>
      <w:start w:val="2"/>
    </w:lvl>
    <w:lvl w:ilvl="3">
      <w:lvlJc w:val="left"/>
      <w:lvlText w:val="%4)"/>
      <w:numFmt w:val="lowerLetter"/>
      <w:start w:val="3"/>
    </w:lvl>
  </w:abstractNum>
  <w:abstractNum w:abstractNumId="85">
    <w:nsid w:val="39EE015C"/>
    <w:multiLevelType w:val="hybridMultilevel"/>
    <w:lvl w:ilvl="0">
      <w:lvlJc w:val="left"/>
      <w:lvlText w:val="%1."/>
      <w:numFmt w:val="decimal"/>
      <w:start w:val="5"/>
    </w:lvl>
    <w:lvl w:ilvl="1">
      <w:lvlJc w:val="left"/>
      <w:lvlText w:val="•"/>
      <w:numFmt w:val="bullet"/>
      <w:start w:val="1"/>
    </w:lvl>
    <w:lvl w:ilvl="2">
      <w:lvlJc w:val="left"/>
      <w:lvlText w:val="%3"/>
      <w:numFmt w:val="lowerLetter"/>
      <w:start w:val="1"/>
    </w:lvl>
    <w:lvl w:ilvl="3">
      <w:lvlJc w:val="left"/>
      <w:lvlText w:val="%4"/>
      <w:numFmt w:val="lowerLetter"/>
      <w:start w:val="1"/>
    </w:lvl>
  </w:abstractNum>
  <w:abstractNum w:abstractNumId="86">
    <w:nsid w:val="57FC4FBB"/>
    <w:multiLevelType w:val="hybridMultilevel"/>
    <w:lvl w:ilvl="0">
      <w:lvlJc w:val="left"/>
      <w:lvlText w:val="%1)"/>
      <w:numFmt w:val="lowerLetter"/>
      <w:start w:val="2"/>
    </w:lvl>
  </w:abstractNum>
  <w:abstractNum w:abstractNumId="87">
    <w:nsid w:val="CC1016F"/>
    <w:multiLevelType w:val="hybridMultilevel"/>
    <w:lvl w:ilvl="0">
      <w:lvlJc w:val="left"/>
      <w:lvlText w:val="%1"/>
      <w:numFmt w:val="decimal"/>
      <w:start w:val="1"/>
    </w:lvl>
    <w:lvl w:ilvl="1">
      <w:lvlJc w:val="left"/>
      <w:lvlText w:val="%2)"/>
      <w:numFmt w:val="lowerLetter"/>
      <w:start w:val="1"/>
    </w:lvl>
  </w:abstractNum>
  <w:abstractNum w:abstractNumId="88">
    <w:nsid w:val="43F18422"/>
    <w:multiLevelType w:val="hybridMultilevel"/>
    <w:lvl w:ilvl="0">
      <w:lvlJc w:val="left"/>
      <w:lvlText w:val="%1."/>
      <w:numFmt w:val="decimal"/>
      <w:start w:val="2"/>
    </w:lvl>
    <w:lvl w:ilvl="1">
      <w:lvlJc w:val="left"/>
      <w:lvlText w:val="%2"/>
      <w:numFmt w:val="lowerLetter"/>
      <w:start w:val="1"/>
    </w:lvl>
  </w:abstractNum>
  <w:abstractNum w:abstractNumId="89">
    <w:nsid w:val="60EF0119"/>
    <w:multiLevelType w:val="hybridMultilevel"/>
    <w:lvl w:ilvl="0">
      <w:lvlJc w:val="left"/>
      <w:lvlText w:val="%1."/>
      <w:numFmt w:val="decimal"/>
      <w:start w:val="3"/>
    </w:lvl>
  </w:abstractNum>
  <w:abstractNum w:abstractNumId="90">
    <w:nsid w:val="26F324BA"/>
    <w:multiLevelType w:val="hybridMultilevel"/>
    <w:lvl w:ilvl="0">
      <w:lvlJc w:val="left"/>
      <w:lvlText w:val="%1)"/>
      <w:numFmt w:val="lowerLetter"/>
      <w:start w:val="2"/>
    </w:lvl>
  </w:abstractNum>
  <w:abstractNum w:abstractNumId="91">
    <w:nsid w:val="7F01579B"/>
    <w:multiLevelType w:val="hybridMultilevel"/>
    <w:lvl w:ilvl="0">
      <w:lvlJc w:val="left"/>
      <w:lvlText w:val="%1"/>
      <w:numFmt w:val="decimal"/>
      <w:start w:val="1"/>
    </w:lvl>
    <w:lvl w:ilvl="1">
      <w:lvlJc w:val="left"/>
      <w:lvlText w:val="%2)"/>
      <w:numFmt w:val="lowerLetter"/>
      <w:start w:val="4"/>
    </w:lvl>
  </w:abstractNum>
  <w:abstractNum w:abstractNumId="92">
    <w:nsid w:val="49DA307D"/>
    <w:multiLevelType w:val="hybridMultilevel"/>
    <w:lvl w:ilvl="0">
      <w:lvlJc w:val="left"/>
      <w:lvlText w:val="%1."/>
      <w:numFmt w:val="decimal"/>
      <w:start w:val="4"/>
    </w:lvl>
    <w:lvl w:ilvl="1">
      <w:lvlJc w:val="left"/>
      <w:lvlText w:val="%2"/>
      <w:numFmt w:val="lowerLetter"/>
      <w:start w:val="1"/>
    </w:lvl>
  </w:abstractNum>
  <w:abstractNum w:abstractNumId="93">
    <w:nsid w:val="7055A5F5"/>
    <w:multiLevelType w:val="hybridMultilevel"/>
    <w:lvl w:ilvl="0">
      <w:lvlJc w:val="left"/>
      <w:lvlText w:val="%1."/>
      <w:numFmt w:val="decimal"/>
      <w:start w:val="1"/>
    </w:lvl>
  </w:abstractNum>
  <w:abstractNum w:abstractNumId="94">
    <w:nsid w:val="5FB8370B"/>
    <w:multiLevelType w:val="hybridMultilevel"/>
    <w:lvl w:ilvl="0">
      <w:lvlJc w:val="left"/>
      <w:lvlText w:val="%1."/>
      <w:numFmt w:val="decimal"/>
      <w:start w:val="1"/>
    </w:lvl>
    <w:lvl w:ilvl="1">
      <w:lvlJc w:val="left"/>
      <w:lvlText w:val="%2."/>
      <w:numFmt w:val="lowerLetter"/>
      <w:start w:val="1"/>
    </w:lvl>
  </w:abstractNum>
  <w:abstractNum w:abstractNumId="95">
    <w:nsid w:val="50801EE1"/>
    <w:multiLevelType w:val="hybridMultilevel"/>
    <w:lvl w:ilvl="0">
      <w:lvlJc w:val="left"/>
      <w:lvlText w:val="%1."/>
      <w:numFmt w:val="decimal"/>
      <w:start w:val="1"/>
    </w:lvl>
    <w:lvl w:ilvl="1">
      <w:lvlJc w:val="left"/>
      <w:lvlText w:val="%2."/>
      <w:numFmt w:val="lowerLetter"/>
      <w:start w:val="1"/>
    </w:lvl>
  </w:abstractNum>
  <w:abstractNum w:abstractNumId="96">
    <w:nsid w:val="488AC1A"/>
    <w:multiLevelType w:val="hybridMultilevel"/>
    <w:lvl w:ilvl="0">
      <w:lvlJc w:val="left"/>
      <w:lvlText w:val="%1."/>
      <w:numFmt w:val="decimal"/>
      <w:start w:val="1"/>
    </w:lvl>
  </w:abstractNum>
  <w:abstractNum w:abstractNumId="97">
    <w:nsid w:val="5FB8011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67" Type="http://schemas.openxmlformats.org/officeDocument/2006/relationships/image" Target="media/image125.png"/><Relationship Id="rId168" Type="http://schemas.openxmlformats.org/officeDocument/2006/relationships/image" Target="media/image126.png"/><Relationship Id="rId170" Type="http://schemas.openxmlformats.org/officeDocument/2006/relationships/image" Target="media/image127.png"/><Relationship Id="rId171" Type="http://schemas.openxmlformats.org/officeDocument/2006/relationships/image" Target="media/image128.png"/><Relationship Id="rId172" Type="http://schemas.openxmlformats.org/officeDocument/2006/relationships/image" Target="media/image129.png"/><Relationship Id="rId130" Type="http://schemas.openxmlformats.org/officeDocument/2006/relationships/hyperlink" Target="http://www.sec.gov/Archives/edgar/data/1125345/000119312513402831/d613759dex31.htm" TargetMode="External"/><Relationship Id="rId131" Type="http://schemas.openxmlformats.org/officeDocument/2006/relationships/hyperlink" Target="http://www.sec.gov/Archives/edgar/data/1125345/000119312513402831/d613759dex33.htm" TargetMode="External"/><Relationship Id="rId132" Type="http://schemas.openxmlformats.org/officeDocument/2006/relationships/hyperlink" Target="https://www.sec.gov/Archives/edgar/data/0001125345/000112534521000052/a8-k_bylawxamendmentxexx3x1.htm" TargetMode="External"/><Relationship Id="rId133" Type="http://schemas.openxmlformats.org/officeDocument/2006/relationships/hyperlink" Target="http://www.sec.gov/Archives/edgar/data/1125345/000119312513394786/d575431dex42.htm" TargetMode="External"/><Relationship Id="rId134" Type="http://schemas.openxmlformats.org/officeDocument/2006/relationships/hyperlink" Target="https://www.sec.gov/Archives/edgar/data/1125345/000112534521000035/mgnxexhibit4-2202010xk.htm" TargetMode="External"/><Relationship Id="rId135" Type="http://schemas.openxmlformats.org/officeDocument/2006/relationships/hyperlink" Target="http://www.sec.gov/Archives/edgar/data/1125345/000119312513386872/d575431dex1014.htm" TargetMode="External"/><Relationship Id="rId136" Type="http://schemas.openxmlformats.org/officeDocument/2006/relationships/hyperlink" Target="http://www.sec.gov/Archives/edgar/data/1125345/000112534518000022/exhibit10-3201710xkfinal.htm" TargetMode="External"/><Relationship Id="rId137" Type="http://schemas.openxmlformats.org/officeDocument/2006/relationships/hyperlink" Target="http://www.sec.gov/Archives/edgar/data/1125345/000119312513386872/d575431dex105.htm" TargetMode="External"/><Relationship Id="rId138" Type="http://schemas.openxmlformats.org/officeDocument/2006/relationships/hyperlink" Target="http://www.sec.gov/Archives/edgar/data/1125345/000119312513386872/d575431dex106.htm" TargetMode="External"/><Relationship Id="rId139" Type="http://schemas.openxmlformats.org/officeDocument/2006/relationships/hyperlink" Target="http://www.sec.gov/Archives/edgar/data/1125345/000119312513386872/d575431dex107.htm" TargetMode="External"/><Relationship Id="rId140" Type="http://schemas.openxmlformats.org/officeDocument/2006/relationships/hyperlink" Target="http://www.sec.gov/Archives/edgar/data/1125345/000112534515000013/exhibit10-2.htm" TargetMode="External"/><Relationship Id="rId141" Type="http://schemas.openxmlformats.org/officeDocument/2006/relationships/hyperlink" Target="https://www.sec.gov/Archives/edgar/data/1125345/000112534523000102/form_s-8x2023eipxex991.htm" TargetMode="External"/><Relationship Id="rId142" Type="http://schemas.openxmlformats.org/officeDocument/2006/relationships/hyperlink" Target="https://www.sec.gov/Archives/edgar/data/1125345/000112534524000060/exhibit108employeestockopt.htm" TargetMode="External"/><Relationship Id="rId143" Type="http://schemas.openxmlformats.org/officeDocument/2006/relationships/hyperlink" Target="http://www.sec.gov/Archives/edgar/data/1125345/000112534516000046/exhibit1014.htm" TargetMode="External"/><Relationship Id="rId144" Type="http://schemas.openxmlformats.org/officeDocument/2006/relationships/hyperlink" Target="https://www.sec.gov/Archives/edgar/data/1125345/000112534524000060/exhibit1011bodrsuawardgran.htm" TargetMode="External"/><Relationship Id="rId145" Type="http://schemas.openxmlformats.org/officeDocument/2006/relationships/hyperlink" Target="http://www.sec.gov/Archives/edgar/data/1125345/000155278116002035/e00576_ex4-1.htm" TargetMode="External"/><Relationship Id="rId146" Type="http://schemas.openxmlformats.org/officeDocument/2006/relationships/hyperlink" Target="http://www.sec.gov/Archives/edgar/data/1125345/000112534516000046/exhibit1015.htm" TargetMode="External"/><Relationship Id="rId147" Type="http://schemas.openxmlformats.org/officeDocument/2006/relationships/hyperlink" Target="https://www.sec.gov/Archives/edgar/data/0001125345/000112534521000060/exhibit101stepheneckemploy.htm" TargetMode="External"/><Relationship Id="rId148" Type="http://schemas.openxmlformats.org/officeDocument/2006/relationships/hyperlink" Target="http://www.sec.gov/Archives/edgar/data/1125345/000112534518000058/exhibit101incyteamendment.htm" TargetMode="External"/><Relationship Id="rId151" Type="http://schemas.openxmlformats.org/officeDocument/2006/relationships/hyperlink" Target="https://www.sec.gov/Archives/edgar/data/1125345/000112534522000090/exhibit101-incyte2ndamend.htm" TargetMode="External"/><Relationship Id="rId152" Type="http://schemas.openxmlformats.org/officeDocument/2006/relationships/hyperlink" Target="https://www.sec.gov/Archives/edgar/data/1125345/000112534522000104/exhibit101-incyte3rdamend.htm" TargetMode="External"/><Relationship Id="rId153" Type="http://schemas.openxmlformats.org/officeDocument/2006/relationships/hyperlink" Target="https://www.sec.gov/Archives/edgar/data/1125345/000112534524000160/exhibit101fourthamendmentt.htm" TargetMode="External"/><Relationship Id="rId154" Type="http://schemas.openxmlformats.org/officeDocument/2006/relationships/hyperlink" Target="https://www.sec.gov/Archives/edgar/data/0001125345/000112534521000035/exhibit1016incytecommercia.htm" TargetMode="External"/><Relationship Id="rId155" Type="http://schemas.openxmlformats.org/officeDocument/2006/relationships/hyperlink" Target="https://www.sec.gov/Archives/edgar/data/1125345/000112534523000059/a1022_gileadcollab.htm" TargetMode="External"/><Relationship Id="rId156" Type="http://schemas.openxmlformats.org/officeDocument/2006/relationships/hyperlink" Target="https://www.sec.gov/Archives/edgar/data/1125345/000112534524000088/mgnxexhibit10-1.htm" TargetMode="External"/><Relationship Id="rId157" Type="http://schemas.openxmlformats.org/officeDocument/2006/relationships/hyperlink" Target="https://www.sec.gov/Archives/edgar/data/1125345/000112534524000160/exhibit102secondletteragre.htm" TargetMode="External"/><Relationship Id="rId158" Type="http://schemas.openxmlformats.org/officeDocument/2006/relationships/hyperlink" Target="https://www.sec.gov/Archives/edgar/data/1125345/000112534523000059/a1023_proventionapa.htm" TargetMode="External"/><Relationship Id="rId159" Type="http://schemas.openxmlformats.org/officeDocument/2006/relationships/hyperlink" Target="https://www.sec.gov/Archives/edgar/data/1125345/000112534523000059/a1024_proventionapaamendme.htm" TargetMode="External"/><Relationship Id="rId160" Type="http://schemas.openxmlformats.org/officeDocument/2006/relationships/hyperlink" Target="https://www.sec.gov/Archives/edgar/data/1125345/000112534523000124/exhibit101q32023.htm" TargetMode="External"/><Relationship Id="rId161" Type="http://schemas.openxmlformats.org/officeDocument/2006/relationships/hyperlink" Target="https://www.sec.gov/Archives/edgar/data/1125345/000112534523000059/a1025_hqlease.htm" TargetMode="External"/><Relationship Id="rId162" Type="http://schemas.openxmlformats.org/officeDocument/2006/relationships/hyperlink" Target="https://www.sec.gov/Archives/edgar/data/1125345/000112534523000059/a1026_firstamendmenttohqle.htm" TargetMode="External"/><Relationship Id="rId163" Type="http://schemas.openxmlformats.org/officeDocument/2006/relationships/hyperlink" Target="https://www.sec.gov/Archives/edgar/data/1125345/000112534523000059/a1027_secondamendmenttohql.htm" TargetMode="External"/><Relationship Id="rId164" Type="http://schemas.openxmlformats.org/officeDocument/2006/relationships/hyperlink" Target="https://www.sec.gov/Archives/edgar/data/1125345/000112534523000059/a1028_thirdamendmenttohqle.htm" TargetMode="External"/><Relationship Id="rId165" Type="http://schemas.openxmlformats.org/officeDocument/2006/relationships/hyperlink" Target="https://www.sec.gov/Archives/edgar/data/1125345/000112534523000059/a1029_fourthamendmenttolea.htm" TargetMode="External"/><Relationship Id="rId166" Type="http://schemas.openxmlformats.org/officeDocument/2006/relationships/hyperlink" Target="https://www.sec.gov/Archives/edgar/data/1125345/000112534523000059/a1030_fifthamendmenttohqle.htm" TargetMode="External"/><Relationship Id="rId169" Type="http://schemas.openxmlformats.org/officeDocument/2006/relationships/hyperlink" Target="https://www.sec.gov/Archives/edgar/data/1125345/000112534524000060/mgnxex97-1clawbackpolicy.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2025-03-20T15:20:55Z</dcterms:created>
  <dcterms:modified xsi:type="dcterms:W3CDTF">2025-03-20T15:20:55Z</dcterms:modified>
</cp:coreProperties>
</file>