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20" w:after="12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20" w:after="12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Commission File Number: 001-36112</w:t>
      </w:r>
    </w:p>
    <w:p>
      <w:pPr>
        <w:pStyle w:val="TextBody"/>
        <w:bidi w:val="0"/>
        <w:spacing w:lineRule="auto" w:line="288" w:before="120" w:after="120"/>
        <w:jc w:val="center"/>
        <w:rPr>
          <w:rFonts w:ascii="Times New Roman;sans-serif" w:hAnsi="Times New Roman;sans-serif"/>
          <w:b/>
          <w:color w:val="000000"/>
          <w:sz w:val="48"/>
        </w:rPr>
      </w:pPr>
      <w:r>
        <w:rPr>
          <w:rFonts w:ascii="Times New Roman;sans-serif" w:hAnsi="Times New Roman;sans-serif"/>
          <w:b/>
          <w:color w:val="000000"/>
          <w:sz w:val="48"/>
        </w:rPr>
        <w:t>MACROGENICS, INC.</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5053" w:type="dxa"/>
        <w:jc w:val="center"/>
        <w:tblInd w:w="0" w:type="dxa"/>
        <w:tblLayout w:type="fixed"/>
        <w:tblCellMar>
          <w:top w:w="28" w:type="dxa"/>
          <w:left w:w="28" w:type="dxa"/>
          <w:bottom w:w="28" w:type="dxa"/>
          <w:right w:w="28" w:type="dxa"/>
        </w:tblCellMar>
      </w:tblPr>
      <w:tblGrid>
        <w:gridCol w:w="1220"/>
        <w:gridCol w:w="1072"/>
        <w:gridCol w:w="1082"/>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06-1591613</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(I.R.S. Employer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Identification No.)</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9704 Medical Center Drive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Rockville, Maryland</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20850</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301-251-5172</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MGNX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ind w:left="0" w:right="0" w:firstLine="720"/>
        <w:jc w:val="left"/>
        <w:rPr/>
      </w:pPr>
      <w:r>
        <w:rPr/>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   No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tbl>
      <w:tblPr>
        <w:tblW w:w="5335"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4, 2023, 61,949,474 shares of the registrant's common stock, par value $0.01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320"/>
        <w:gridCol w:w="281"/>
        <w:gridCol w:w="285"/>
        <w:gridCol w:w="2726"/>
        <w:gridCol w:w="2726"/>
        <w:gridCol w:w="386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13">
              <w:r>
                <w:rPr>
                  <w:rStyle w:val="InternetLink"/>
                  <w:rFonts w:ascii="Times New Roman;sans-serif" w:hAnsi="Times New Roman;sans-serif"/>
                  <w:b/>
                  <w:color w:val="0000FF"/>
                  <w:sz w:val="20"/>
                  <w:u w:val="single"/>
                </w:rPr>
                <w:t>FINANCIAL INFORMATION</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16">
              <w:r>
                <w:rPr>
                  <w:rStyle w:val="InternetLink"/>
                  <w:rFonts w:ascii="Times New Roman;sans-serif" w:hAnsi="Times New Roman;sans-serif"/>
                  <w:b w:val="false"/>
                  <w:color w:val="0000FF"/>
                  <w:sz w:val="20"/>
                  <w:u w:val="single"/>
                </w:rPr>
                <w:t>Financial Statements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19">
              <w:r>
                <w:rPr>
                  <w:rStyle w:val="InternetLink"/>
                  <w:rFonts w:ascii="Times New Roman;sans-serif" w:hAnsi="Times New Roman;sans-serif"/>
                  <w:b w:val="false"/>
                  <w:color w:val="000080"/>
                  <w:sz w:val="20"/>
                  <w:u w:val="single"/>
                </w:rPr>
                <w:t xml:space="preserve">Consolidated Balance Sheets at </w:t>
              </w:r>
            </w:hyperlink>
            <w:hyperlink w:anchor="id4a5aebf0c8344e389e3d6cbd3099995_19">
              <w:r>
                <w:rPr>
                  <w:rStyle w:val="InternetLink"/>
                  <w:rFonts w:ascii="Times New Roman;sans-serif" w:hAnsi="Times New Roman;sans-serif"/>
                  <w:b w:val="false"/>
                  <w:color w:val="000080"/>
                  <w:sz w:val="20"/>
                  <w:u w:val="single"/>
                </w:rPr>
                <w:t xml:space="preserve">June </w:t>
              </w:r>
            </w:hyperlink>
            <w:hyperlink w:anchor="id4a5aebf0c8344e389e3d6cbd3099995_19">
              <w:r>
                <w:rPr>
                  <w:rStyle w:val="InternetLink"/>
                  <w:rFonts w:ascii="Times New Roman;sans-serif" w:hAnsi="Times New Roman;sans-serif"/>
                  <w:b w:val="false"/>
                  <w:color w:val="000080"/>
                  <w:sz w:val="20"/>
                  <w:u w:val="single"/>
                </w:rPr>
                <w:t> 3</w:t>
              </w:r>
            </w:hyperlink>
            <w:hyperlink w:anchor="id4a5aebf0c8344e389e3d6cbd3099995_19">
              <w:r>
                <w:rPr>
                  <w:rStyle w:val="InternetLink"/>
                  <w:rFonts w:ascii="Times New Roman;sans-serif" w:hAnsi="Times New Roman;sans-serif"/>
                  <w:b w:val="false"/>
                  <w:color w:val="000080"/>
                  <w:sz w:val="20"/>
                  <w:u w:val="single"/>
                </w:rPr>
                <w:t>0</w:t>
              </w:r>
            </w:hyperlink>
            <w:hyperlink w:anchor="id4a5aebf0c8344e389e3d6cbd3099995_19">
              <w:r>
                <w:rPr>
                  <w:rStyle w:val="InternetLink"/>
                  <w:rFonts w:ascii="Times New Roman;sans-serif" w:hAnsi="Times New Roman;sans-serif"/>
                  <w:b w:val="false"/>
                  <w:color w:val="000080"/>
                  <w:sz w:val="20"/>
                  <w:u w:val="single"/>
                </w:rPr>
                <w:t xml:space="preserve">, 2023 (unaudited) and December 31, 2022 </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22">
              <w:r>
                <w:rPr>
                  <w:rStyle w:val="InternetLink"/>
                  <w:rFonts w:ascii="Times New Roman;sans-serif" w:hAnsi="Times New Roman;sans-serif"/>
                  <w:b w:val="false"/>
                  <w:color w:val="000080"/>
                  <w:sz w:val="20"/>
                  <w:u w:val="single"/>
                </w:rPr>
                <w:t xml:space="preserve">Consolidated Statements of Operations and Comprehensive </w:t>
              </w:r>
            </w:hyperlink>
            <w:hyperlink w:anchor="id4a5aebf0c8344e389e3d6cbd3099995_22">
              <w:r>
                <w:rPr>
                  <w:rStyle w:val="InternetLink"/>
                  <w:rFonts w:ascii="Times New Roman;sans-serif" w:hAnsi="Times New Roman;sans-serif"/>
                  <w:b w:val="false"/>
                  <w:color w:val="000080"/>
                  <w:sz w:val="20"/>
                  <w:u w:val="single"/>
                </w:rPr>
                <w:t>Income (</w:t>
              </w:r>
            </w:hyperlink>
            <w:hyperlink w:anchor="id4a5aebf0c8344e389e3d6cbd3099995_22">
              <w:r>
                <w:rPr>
                  <w:rStyle w:val="InternetLink"/>
                  <w:rFonts w:ascii="Times New Roman;sans-serif" w:hAnsi="Times New Roman;sans-serif"/>
                  <w:b w:val="false"/>
                  <w:color w:val="000080"/>
                  <w:sz w:val="20"/>
                  <w:u w:val="single"/>
                </w:rPr>
                <w:t>Loss</w:t>
              </w:r>
            </w:hyperlink>
            <w:hyperlink w:anchor="id4a5aebf0c8344e389e3d6cbd3099995_22">
              <w:r>
                <w:rPr>
                  <w:rStyle w:val="InternetLink"/>
                  <w:rFonts w:ascii="Times New Roman;sans-serif" w:hAnsi="Times New Roman;sans-serif"/>
                  <w:b w:val="false"/>
                  <w:color w:val="000080"/>
                  <w:sz w:val="20"/>
                  <w:u w:val="single"/>
                </w:rPr>
                <w:t>)</w:t>
              </w:r>
            </w:hyperlink>
            <w:hyperlink w:anchor="id4a5aebf0c8344e389e3d6cbd3099995_22">
              <w:r>
                <w:rPr>
                  <w:rStyle w:val="InternetLink"/>
                  <w:rFonts w:ascii="Times New Roman;sans-serif" w:hAnsi="Times New Roman;sans-serif"/>
                  <w:b w:val="false"/>
                  <w:color w:val="000080"/>
                  <w:sz w:val="20"/>
                  <w:u w:val="single"/>
                </w:rPr>
                <w:t xml:space="preserve"> for the three </w:t>
              </w:r>
            </w:hyperlink>
            <w:hyperlink w:anchor="id4a5aebf0c8344e389e3d6cbd3099995_22">
              <w:r>
                <w:rPr>
                  <w:rStyle w:val="InternetLink"/>
                  <w:rFonts w:ascii="Times New Roman;sans-serif" w:hAnsi="Times New Roman;sans-serif"/>
                  <w:b w:val="false"/>
                  <w:color w:val="000080"/>
                  <w:sz w:val="20"/>
                  <w:u w:val="single"/>
                </w:rPr>
                <w:t xml:space="preserve">and six </w:t>
              </w:r>
            </w:hyperlink>
            <w:hyperlink w:anchor="id4a5aebf0c8344e389e3d6cbd3099995_22">
              <w:r>
                <w:rPr>
                  <w:rStyle w:val="InternetLink"/>
                  <w:rFonts w:ascii="Times New Roman;sans-serif" w:hAnsi="Times New Roman;sans-serif"/>
                  <w:b w:val="false"/>
                  <w:color w:val="000080"/>
                  <w:sz w:val="20"/>
                  <w:u w:val="single"/>
                </w:rPr>
                <w:t xml:space="preserve">months ended </w:t>
              </w:r>
            </w:hyperlink>
            <w:hyperlink w:anchor="id4a5aebf0c8344e389e3d6cbd3099995_22">
              <w:r>
                <w:rPr>
                  <w:rStyle w:val="InternetLink"/>
                  <w:rFonts w:ascii="Times New Roman;sans-serif" w:hAnsi="Times New Roman;sans-serif"/>
                  <w:b w:val="false"/>
                  <w:color w:val="000080"/>
                  <w:sz w:val="20"/>
                  <w:u w:val="single"/>
                </w:rPr>
                <w:t>June 30</w:t>
              </w:r>
            </w:hyperlink>
            <w:hyperlink w:anchor="id4a5aebf0c8344e389e3d6cbd3099995_22">
              <w:r>
                <w:rPr>
                  <w:rStyle w:val="InternetLink"/>
                  <w:rFonts w:ascii="Times New Roman;sans-serif" w:hAnsi="Times New Roman;sans-serif"/>
                  <w:b w:val="false"/>
                  <w:color w:val="000080"/>
                  <w:sz w:val="20"/>
                  <w:u w:val="single"/>
                </w:rPr>
                <w:t xml:space="preserve">, 2023 and </w:t>
              </w:r>
            </w:hyperlink>
            <w:hyperlink w:anchor="id4a5aebf0c8344e389e3d6cbd3099995_22">
              <w:r>
                <w:rPr>
                  <w:rStyle w:val="InternetLink"/>
                  <w:rFonts w:ascii="Times New Roman;sans-serif" w:hAnsi="Times New Roman;sans-serif"/>
                  <w:b w:val="false"/>
                  <w:color w:val="000080"/>
                  <w:sz w:val="20"/>
                  <w:u w:val="single"/>
                </w:rPr>
                <w:t>June 30</w:t>
              </w:r>
            </w:hyperlink>
            <w:hyperlink w:anchor="id4a5aebf0c8344e389e3d6cbd3099995_22">
              <w:r>
                <w:rPr>
                  <w:rStyle w:val="InternetLink"/>
                  <w:rFonts w:ascii="Times New Roman;sans-serif" w:hAnsi="Times New Roman;sans-serif"/>
                  <w:b w:val="false"/>
                  <w:color w:val="000080"/>
                  <w:sz w:val="20"/>
                  <w:u w:val="single"/>
                </w:rPr>
                <w:t>, 2022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25">
              <w:r>
                <w:rPr>
                  <w:rStyle w:val="InternetLink"/>
                  <w:rFonts w:ascii="Times New Roman;sans-serif" w:hAnsi="Times New Roman;sans-serif"/>
                  <w:b w:val="false"/>
                  <w:color w:val="000080"/>
                  <w:sz w:val="20"/>
                  <w:u w:val="single"/>
                </w:rPr>
                <w:t>Consolidated Statements of Stockholders' Equity for the</w:t>
              </w:r>
            </w:hyperlink>
            <w:hyperlink w:anchor="id4a5aebf0c8344e389e3d6cbd3099995_25">
              <w:r>
                <w:rPr>
                  <w:rStyle w:val="InternetLink"/>
                  <w:rFonts w:ascii="Times New Roman;sans-serif" w:hAnsi="Times New Roman;sans-serif"/>
                  <w:b w:val="false"/>
                  <w:color w:val="000080"/>
                  <w:sz w:val="20"/>
                  <w:u w:val="single"/>
                </w:rPr>
                <w:t xml:space="preserve"> three and</w:t>
              </w:r>
            </w:hyperlink>
            <w:hyperlink w:anchor="id4a5aebf0c8344e389e3d6cbd3099995_25">
              <w:r>
                <w:rPr>
                  <w:rStyle w:val="InternetLink"/>
                  <w:rFonts w:ascii="Times New Roman;sans-serif" w:hAnsi="Times New Roman;sans-serif"/>
                  <w:b w:val="false"/>
                  <w:color w:val="000080"/>
                  <w:sz w:val="20"/>
                  <w:u w:val="single"/>
                </w:rPr>
                <w:t xml:space="preserve"> </w:t>
              </w:r>
            </w:hyperlink>
            <w:hyperlink w:anchor="id4a5aebf0c8344e389e3d6cbd3099995_25">
              <w:r>
                <w:rPr>
                  <w:rStyle w:val="InternetLink"/>
                  <w:rFonts w:ascii="Times New Roman;sans-serif" w:hAnsi="Times New Roman;sans-serif"/>
                  <w:b w:val="false"/>
                  <w:color w:val="000080"/>
                  <w:sz w:val="20"/>
                  <w:u w:val="single"/>
                </w:rPr>
                <w:t>six</w:t>
              </w:r>
            </w:hyperlink>
            <w:hyperlink w:anchor="id4a5aebf0c8344e389e3d6cbd3099995_25">
              <w:r>
                <w:rPr>
                  <w:rStyle w:val="InternetLink"/>
                  <w:rFonts w:ascii="Times New Roman;sans-serif" w:hAnsi="Times New Roman;sans-serif"/>
                  <w:b w:val="false"/>
                  <w:color w:val="000080"/>
                  <w:sz w:val="20"/>
                  <w:u w:val="single"/>
                </w:rPr>
                <w:t xml:space="preserve"> months ended </w:t>
              </w:r>
            </w:hyperlink>
            <w:hyperlink w:anchor="id4a5aebf0c8344e389e3d6cbd3099995_25">
              <w:r>
                <w:rPr>
                  <w:rStyle w:val="InternetLink"/>
                  <w:rFonts w:ascii="Times New Roman;sans-serif" w:hAnsi="Times New Roman;sans-serif"/>
                  <w:b w:val="false"/>
                  <w:color w:val="000080"/>
                  <w:sz w:val="20"/>
                  <w:u w:val="single"/>
                </w:rPr>
                <w:t>June 30</w:t>
              </w:r>
            </w:hyperlink>
            <w:hyperlink w:anchor="id4a5aebf0c8344e389e3d6cbd3099995_25">
              <w:r>
                <w:rPr>
                  <w:rStyle w:val="InternetLink"/>
                  <w:rFonts w:ascii="Times New Roman;sans-serif" w:hAnsi="Times New Roman;sans-serif"/>
                  <w:b w:val="false"/>
                  <w:color w:val="000080"/>
                  <w:sz w:val="20"/>
                  <w:u w:val="single"/>
                </w:rPr>
                <w:t xml:space="preserve">, 2023 and </w:t>
              </w:r>
            </w:hyperlink>
            <w:hyperlink w:anchor="id4a5aebf0c8344e389e3d6cbd3099995_25">
              <w:r>
                <w:rPr>
                  <w:rStyle w:val="InternetLink"/>
                  <w:rFonts w:ascii="Times New Roman;sans-serif" w:hAnsi="Times New Roman;sans-serif"/>
                  <w:b w:val="false"/>
                  <w:color w:val="000080"/>
                  <w:sz w:val="20"/>
                  <w:u w:val="single"/>
                </w:rPr>
                <w:t>June 30</w:t>
              </w:r>
            </w:hyperlink>
            <w:hyperlink w:anchor="id4a5aebf0c8344e389e3d6cbd3099995_25">
              <w:r>
                <w:rPr>
                  <w:rStyle w:val="InternetLink"/>
                  <w:rFonts w:ascii="Times New Roman;sans-serif" w:hAnsi="Times New Roman;sans-serif"/>
                  <w:b w:val="false"/>
                  <w:color w:val="000080"/>
                  <w:sz w:val="20"/>
                  <w:u w:val="single"/>
                </w:rPr>
                <w:t>, 2022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28">
              <w:r>
                <w:rPr>
                  <w:rStyle w:val="InternetLink"/>
                  <w:rFonts w:ascii="Times New Roman;sans-serif" w:hAnsi="Times New Roman;sans-serif"/>
                  <w:b w:val="false"/>
                  <w:color w:val="000080"/>
                  <w:sz w:val="20"/>
                  <w:u w:val="single"/>
                </w:rPr>
                <w:t xml:space="preserve">Consolidated Statements of Cash Flows for the </w:t>
              </w:r>
            </w:hyperlink>
            <w:hyperlink w:anchor="id4a5aebf0c8344e389e3d6cbd3099995_28">
              <w:r>
                <w:rPr>
                  <w:rStyle w:val="InternetLink"/>
                  <w:rFonts w:ascii="Times New Roman;sans-serif" w:hAnsi="Times New Roman;sans-serif"/>
                  <w:b w:val="false"/>
                  <w:color w:val="000080"/>
                  <w:sz w:val="20"/>
                  <w:u w:val="single"/>
                </w:rPr>
                <w:t>six</w:t>
              </w:r>
            </w:hyperlink>
            <w:hyperlink w:anchor="id4a5aebf0c8344e389e3d6cbd3099995_28">
              <w:r>
                <w:rPr>
                  <w:rStyle w:val="InternetLink"/>
                  <w:rFonts w:ascii="Times New Roman;sans-serif" w:hAnsi="Times New Roman;sans-serif"/>
                  <w:b w:val="false"/>
                  <w:color w:val="000080"/>
                  <w:sz w:val="20"/>
                  <w:u w:val="single"/>
                </w:rPr>
                <w:t xml:space="preserve"> months ended </w:t>
              </w:r>
            </w:hyperlink>
            <w:hyperlink w:anchor="id4a5aebf0c8344e389e3d6cbd3099995_28">
              <w:r>
                <w:rPr>
                  <w:rStyle w:val="InternetLink"/>
                  <w:rFonts w:ascii="Times New Roman;sans-serif" w:hAnsi="Times New Roman;sans-serif"/>
                  <w:b w:val="false"/>
                  <w:color w:val="000080"/>
                  <w:sz w:val="20"/>
                  <w:u w:val="single"/>
                </w:rPr>
                <w:t>June 30</w:t>
              </w:r>
            </w:hyperlink>
            <w:hyperlink w:anchor="id4a5aebf0c8344e389e3d6cbd3099995_28">
              <w:r>
                <w:rPr>
                  <w:rStyle w:val="InternetLink"/>
                  <w:rFonts w:ascii="Times New Roman;sans-serif" w:hAnsi="Times New Roman;sans-serif"/>
                  <w:b w:val="false"/>
                  <w:color w:val="000080"/>
                  <w:sz w:val="20"/>
                  <w:u w:val="single"/>
                </w:rPr>
                <w:t xml:space="preserve">, 2023 and </w:t>
              </w:r>
            </w:hyperlink>
            <w:hyperlink w:anchor="id4a5aebf0c8344e389e3d6cbd3099995_28">
              <w:r>
                <w:rPr>
                  <w:rStyle w:val="InternetLink"/>
                  <w:rFonts w:ascii="Times New Roman;sans-serif" w:hAnsi="Times New Roman;sans-serif"/>
                  <w:b w:val="false"/>
                  <w:color w:val="000080"/>
                  <w:sz w:val="20"/>
                  <w:u w:val="single"/>
                </w:rPr>
                <w:t>June</w:t>
              </w:r>
            </w:hyperlink>
            <w:hyperlink w:anchor="id4a5aebf0c8344e389e3d6cbd3099995_28">
              <w:r>
                <w:rPr>
                  <w:rStyle w:val="InternetLink"/>
                  <w:rFonts w:ascii="Times New Roman;sans-serif" w:hAnsi="Times New Roman;sans-serif"/>
                  <w:b w:val="false"/>
                  <w:color w:val="000080"/>
                  <w:sz w:val="20"/>
                  <w:u w:val="single"/>
                </w:rPr>
                <w:t> 3</w:t>
              </w:r>
            </w:hyperlink>
            <w:hyperlink w:anchor="id4a5aebf0c8344e389e3d6cbd3099995_28">
              <w:r>
                <w:rPr>
                  <w:rStyle w:val="InternetLink"/>
                  <w:rFonts w:ascii="Times New Roman;sans-serif" w:hAnsi="Times New Roman;sans-serif"/>
                  <w:b w:val="false"/>
                  <w:color w:val="000080"/>
                  <w:sz w:val="20"/>
                  <w:u w:val="single"/>
                </w:rPr>
                <w:t>0</w:t>
              </w:r>
            </w:hyperlink>
            <w:hyperlink w:anchor="id4a5aebf0c8344e389e3d6cbd3099995_28">
              <w:r>
                <w:rPr>
                  <w:rStyle w:val="InternetLink"/>
                  <w:rFonts w:ascii="Times New Roman;sans-serif" w:hAnsi="Times New Roman;sans-serif"/>
                  <w:b w:val="false"/>
                  <w:color w:val="000080"/>
                  <w:sz w:val="20"/>
                  <w:u w:val="single"/>
                </w:rPr>
                <w:t xml:space="preserve">, 2022 (unaudited) </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31">
              <w:r>
                <w:rPr>
                  <w:rStyle w:val="InternetLink"/>
                  <w:rFonts w:ascii="Times New Roman;sans-serif" w:hAnsi="Times New Roman;sans-serif"/>
                  <w:b w:val="false"/>
                  <w:color w:val="0000FF"/>
                  <w:sz w:val="20"/>
                  <w:u w:val="single"/>
                </w:rPr>
                <w:t>Notes to Consolidated Financial Statements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70">
              <w:r>
                <w:rPr>
                  <w:rStyle w:val="InternetLink"/>
                  <w:rFonts w:ascii="Times New Roman;sans-serif" w:hAnsi="Times New Roman;sans-serif"/>
                  <w:b w:val="false"/>
                  <w:color w:val="0000FF"/>
                  <w:sz w:val="20"/>
                  <w:u w:val="single"/>
                </w:rPr>
                <w:t>Management's Discussion and Analysis of Financial Condition and Results of Operations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88">
              <w:r>
                <w:rPr>
                  <w:rStyle w:val="InternetLink"/>
                  <w:rFonts w:ascii="Times New Roman;sans-serif" w:hAnsi="Times New Roman;sans-serif"/>
                  <w:b w:val="false"/>
                  <w:color w:val="0000FF"/>
                  <w:sz w:val="20"/>
                  <w:u w:val="single"/>
                </w:rPr>
                <w:t>Quantitative and Qualitative Disclosures about Market Risk</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91">
              <w:r>
                <w:rPr>
                  <w:rStyle w:val="InternetLink"/>
                  <w:rFonts w:ascii="Times New Roman;sans-serif" w:hAnsi="Times New Roman;sans-serif"/>
                  <w:b w:val="false"/>
                  <w:color w:val="0000FF"/>
                  <w:sz w:val="20"/>
                  <w:u w:val="single"/>
                </w:rPr>
                <w:t>Controls and Procedures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94">
              <w:r>
                <w:rPr>
                  <w:rStyle w:val="InternetLink"/>
                  <w:rFonts w:ascii="Times New Roman;sans-serif" w:hAnsi="Times New Roman;sans-serif"/>
                  <w:b/>
                  <w:color w:val="0000FF"/>
                  <w:sz w:val="20"/>
                  <w:u w:val="single"/>
                </w:rPr>
                <w:t>OTHER INFORMATION</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97">
              <w:r>
                <w:rPr>
                  <w:rStyle w:val="InternetLink"/>
                  <w:rFonts w:ascii="Times New Roman;sans-serif" w:hAnsi="Times New Roman;sans-serif"/>
                  <w:b w:val="false"/>
                  <w:color w:val="0000FF"/>
                  <w:sz w:val="20"/>
                  <w:u w:val="single"/>
                </w:rPr>
                <w:t>Legal Proceedings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100">
              <w:r>
                <w:rPr>
                  <w:rStyle w:val="InternetLink"/>
                  <w:rFonts w:ascii="Times New Roman;sans-serif" w:hAnsi="Times New Roman;sans-serif"/>
                  <w:b w:val="false"/>
                  <w:color w:val="0000FF"/>
                  <w:sz w:val="20"/>
                  <w:u w:val="single"/>
                </w:rPr>
                <w:t>Risk Factors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319"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319"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103">
              <w:r>
                <w:rPr>
                  <w:rStyle w:val="InternetLink"/>
                  <w:rFonts w:ascii="Times New Roman;sans-serif" w:hAnsi="Times New Roman;sans-serif"/>
                  <w:b w:val="false"/>
                  <w:color w:val="0000FF"/>
                  <w:sz w:val="20"/>
                  <w:u w:val="single"/>
                </w:rPr>
                <w:t>Exhibits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5aebf0c8344e389e3d6cbd3099995_106">
              <w:r>
                <w:rPr>
                  <w:rStyle w:val="InternetLink"/>
                  <w:rFonts w:ascii="Times New Roman;sans-serif" w:hAnsi="Times New Roman;sans-serif"/>
                  <w:b w:val="false"/>
                  <w:color w:val="0000FF"/>
                  <w:sz w:val="20"/>
                  <w:u w:val="single"/>
                </w:rPr>
                <w:t>Signatures</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year ended December 31, 2022 and "Part II, Item 1A. Risk Factors" of this Quarterly Report on Form 10-Q), could affect future performance and cause actual results to differ materially from those matters expressed in or implied by forward-looking statements: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plans to develop and commercialize our product candidates;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the outcomes of our ongoing and planned clinical trials and the timing of those outcomes, including when clinical trials will be initiated or completed, enrollment of trials, and when data will be reported or regulatory filings will be made;</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the timing of and our ability to obtain and maintain regulatory approvals for our product candidates and the labeling for any approved products;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ability to raise additional capital through the capital markets or through one or more corporate partnerships, equity offerings, debt financings, collaborations, licensing arrangements or asset sales;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expectations regarding product candidates currently being developed by our collaborators;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ability to enter into new collaborations or to identify additional products or product candidates with significant commercial potential that are consistent with our commercial objectives;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 xml:space="preserve">the potential benefits and future operation of our existing collaborations; </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ability to recover the investment in our manufacturing capabilities;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our products;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commercialization, marketing and manufacturing capabilities and strategy;</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significant competition in our industry;</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costs of litigation and the failure to successfully defend lawsuits and other claims against us and our expectations regarding the outcome of any regulatory or legal proceedings;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economic, political and other risks associated with our international operations;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ability to receive research funding and achieve anticipated milestones under our collaborations;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ability to protect and enforce patents and other intellectual property;</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costs of compliance and our failure to comply with new and existing governmental regulations including, but not limited to, tax regulations;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loss or retirement of key members of management;</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failure to successfully execute our growth strategy, including any delays in our planned future growth;</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failure to maintain effective internal controls;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severity and duration of the impact of a global pandemic on our business, operations, clinical programs, manufacturing, financial results and other aspects of our business.</w:t>
      </w:r>
    </w:p>
    <w:p>
      <w:pPr>
        <w:pStyle w:val="TextBody"/>
        <w:bidi w:val="0"/>
        <w:spacing w:lineRule="auto" w:line="288" w:before="0" w:after="80"/>
        <w:jc w:val="left"/>
        <w:rPr>
          <w:rFonts w:ascii="Times New Roman;sans-serif" w:hAnsi="Times New Roman;sans-serif"/>
          <w:b w:val="false"/>
          <w:color w:val="000000"/>
          <w:sz w:val="20"/>
        </w:rPr>
      </w:pPr>
      <w:r>
        <w:rPr>
          <w:rFonts w:ascii="Times New Roman;sans-serif" w:hAnsi="Times New Roman;sans-serif"/>
          <w:b w:val="false"/>
          <w:color w:val="000000"/>
          <w:sz w:val="20"/>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738"/>
        <w:gridCol w:w="2254"/>
        <w:gridCol w:w="2214"/>
        <w:gridCol w:w="221"/>
        <w:gridCol w:w="870"/>
        <w:gridCol w:w="114"/>
        <w:gridCol w:w="109"/>
        <w:gridCol w:w="109"/>
        <w:gridCol w:w="109"/>
        <w:gridCol w:w="259"/>
        <w:gridCol w:w="1016"/>
        <w:gridCol w:w="192"/>
      </w:tblGrid>
      <w:tr>
        <w:trPr/>
        <w:tc>
          <w:tcPr>
            <w:tcW w:w="2738"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net </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254,675 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222,180 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assets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305,653 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 of current portion</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net of current portion</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liabilities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134,109 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-- 125,000,000 shares authorized, 61,938,493 and 61,701,467 shares outstanding at June 30, 2023 and December 31, 2022, respectively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1,235,095 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(1,074,234)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(1,093,694)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171,544 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305,653 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280,468 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before="0" w:after="0"/>
        <w:jc w:val="center"/>
        <w:rPr/>
      </w:pPr>
      <w:r>
        <w:rPr/>
      </w:r>
    </w:p>
    <w:tbl>
      <w:tblPr>
        <w:tblW w:w="9806" w:type="dxa"/>
        <w:jc w:val="center"/>
        <w:tblInd w:w="0" w:type="dxa"/>
        <w:tblLayout w:type="fixed"/>
        <w:tblCellMar>
          <w:top w:w="28" w:type="dxa"/>
          <w:left w:w="28" w:type="dxa"/>
          <w:bottom w:w="28" w:type="dxa"/>
          <w:right w:w="28" w:type="dxa"/>
        </w:tblCellMar>
      </w:tblPr>
      <w:tblGrid>
        <w:gridCol w:w="1433"/>
        <w:gridCol w:w="1255"/>
        <w:gridCol w:w="1271"/>
        <w:gridCol w:w="244"/>
        <w:gridCol w:w="837"/>
        <w:gridCol w:w="115"/>
        <w:gridCol w:w="115"/>
        <w:gridCol w:w="115"/>
        <w:gridCol w:w="115"/>
        <w:gridCol w:w="240"/>
        <w:gridCol w:w="841"/>
        <w:gridCol w:w="115"/>
        <w:gridCol w:w="109"/>
        <w:gridCol w:w="109"/>
        <w:gridCol w:w="109"/>
        <w:gridCol w:w="244"/>
        <w:gridCol w:w="837"/>
        <w:gridCol w:w="109"/>
        <w:gridCol w:w="109"/>
        <w:gridCol w:w="109"/>
        <w:gridCol w:w="109"/>
        <w:gridCol w:w="211"/>
        <w:gridCol w:w="901"/>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Collaborative and other agreements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manufacturing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agreements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services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royalty monetization arrangement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61,880,096 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61,384,943 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61,354,721 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62,261,646 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61,384,943 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62,030,710 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61,354,721 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bidi w:val="0"/>
        <w:spacing w:before="0" w:after="0"/>
        <w:jc w:val="center"/>
        <w:rPr/>
      </w:pPr>
      <w:r>
        <w:rPr/>
      </w:r>
    </w:p>
    <w:p>
      <w:pPr>
        <w:pStyle w:val="TextBody"/>
        <w:bidi w:val="0"/>
        <w:spacing w:before="0" w:after="0"/>
        <w:jc w:val="center"/>
        <w:rPr/>
      </w:pPr>
      <w:r>
        <w:rPr/>
      </w:r>
    </w:p>
    <w:tbl>
      <w:tblPr>
        <w:tblW w:w="11036" w:type="dxa"/>
        <w:jc w:val="center"/>
        <w:tblInd w:w="0" w:type="dxa"/>
        <w:tblLayout w:type="fixed"/>
        <w:tblCellMar>
          <w:top w:w="28" w:type="dxa"/>
          <w:left w:w="28" w:type="dxa"/>
          <w:bottom w:w="28" w:type="dxa"/>
          <w:right w:w="28" w:type="dxa"/>
        </w:tblCellMar>
      </w:tblPr>
      <w:tblGrid>
        <w:gridCol w:w="734"/>
        <w:gridCol w:w="263"/>
        <w:gridCol w:w="264"/>
        <w:gridCol w:w="540"/>
        <w:gridCol w:w="541"/>
        <w:gridCol w:w="196"/>
        <w:gridCol w:w="109"/>
        <w:gridCol w:w="109"/>
        <w:gridCol w:w="109"/>
        <w:gridCol w:w="211"/>
        <w:gridCol w:w="466"/>
        <w:gridCol w:w="109"/>
        <w:gridCol w:w="109"/>
        <w:gridCol w:w="109"/>
        <w:gridCol w:w="109"/>
        <w:gridCol w:w="109"/>
        <w:gridCol w:w="109"/>
        <w:gridCol w:w="871"/>
        <w:gridCol w:w="109"/>
        <w:gridCol w:w="211"/>
        <w:gridCol w:w="976"/>
        <w:gridCol w:w="109"/>
        <w:gridCol w:w="109"/>
        <w:gridCol w:w="109"/>
        <w:gridCol w:w="109"/>
        <w:gridCol w:w="211"/>
        <w:gridCol w:w="991"/>
        <w:gridCol w:w="109"/>
        <w:gridCol w:w="109"/>
        <w:gridCol w:w="109"/>
        <w:gridCol w:w="109"/>
        <w:gridCol w:w="327"/>
        <w:gridCol w:w="583"/>
        <w:gridCol w:w="171"/>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61,701,467 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offering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61,838,565 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61,938,493 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(1,074,234)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1036" w:type="dxa"/>
        <w:jc w:val="left"/>
        <w:tblInd w:w="0" w:type="dxa"/>
        <w:tblLayout w:type="fixed"/>
        <w:tblCellMar>
          <w:top w:w="28" w:type="dxa"/>
          <w:left w:w="28" w:type="dxa"/>
          <w:bottom w:w="28" w:type="dxa"/>
          <w:right w:w="28" w:type="dxa"/>
        </w:tblCellMar>
      </w:tblPr>
      <w:tblGrid>
        <w:gridCol w:w="734"/>
        <w:gridCol w:w="263"/>
        <w:gridCol w:w="264"/>
        <w:gridCol w:w="540"/>
        <w:gridCol w:w="541"/>
        <w:gridCol w:w="196"/>
        <w:gridCol w:w="109"/>
        <w:gridCol w:w="109"/>
        <w:gridCol w:w="109"/>
        <w:gridCol w:w="211"/>
        <w:gridCol w:w="466"/>
        <w:gridCol w:w="109"/>
        <w:gridCol w:w="109"/>
        <w:gridCol w:w="109"/>
        <w:gridCol w:w="109"/>
        <w:gridCol w:w="109"/>
        <w:gridCol w:w="109"/>
        <w:gridCol w:w="871"/>
        <w:gridCol w:w="109"/>
        <w:gridCol w:w="211"/>
        <w:gridCol w:w="976"/>
        <w:gridCol w:w="109"/>
        <w:gridCol w:w="109"/>
        <w:gridCol w:w="109"/>
        <w:gridCol w:w="109"/>
        <w:gridCol w:w="211"/>
        <w:gridCol w:w="991"/>
        <w:gridCol w:w="109"/>
        <w:gridCol w:w="109"/>
        <w:gridCol w:w="109"/>
        <w:gridCol w:w="109"/>
        <w:gridCol w:w="284"/>
        <w:gridCol w:w="649"/>
        <w:gridCol w:w="148"/>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61,307,428 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2022</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61,333,074 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(1,040,379)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2022</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61,458,790 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534" w:type="dxa"/>
        <w:jc w:val="center"/>
        <w:tblInd w:w="0" w:type="dxa"/>
        <w:tblLayout w:type="fixed"/>
        <w:tblCellMar>
          <w:top w:w="28" w:type="dxa"/>
          <w:left w:w="28" w:type="dxa"/>
          <w:bottom w:w="28" w:type="dxa"/>
          <w:right w:w="28" w:type="dxa"/>
        </w:tblCellMar>
      </w:tblPr>
      <w:tblGrid>
        <w:gridCol w:w="2456"/>
        <w:gridCol w:w="2162"/>
        <w:gridCol w:w="2177"/>
        <w:gridCol w:w="211"/>
        <w:gridCol w:w="826"/>
        <w:gridCol w:w="109"/>
        <w:gridCol w:w="109"/>
        <w:gridCol w:w="109"/>
        <w:gridCol w:w="109"/>
        <w:gridCol w:w="211"/>
        <w:gridCol w:w="901"/>
        <w:gridCol w:w="154"/>
      </w:tblGrid>
      <w:tr>
        <w:trPr/>
        <w:tc>
          <w:tcPr>
            <w:tcW w:w="2456"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and discounts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royalty monetization arrangement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and 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equipment and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net of offering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option exercises and ESPP 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royalty monetization arrangement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sale of future royalties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included in accounts payable or accruals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 Nature of Operations</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MacroGenics, Inc. (the Company) is incorporated in the state of Delaware. The Company is a biopharmaceutical company focused on developing, manufacturing and commercializing innovative antibody-based therapeutics designed to modulate the human immune response for the treatment of cancer. The Company has a pipeline of product candidates being evaluated in clinical trials sponsored by MacroGenics or its collaborators. These product candidates include multiple oncology programs, some of which were created primarily using the Company’s proprietary, antibody-based technology platforms. The Company believes our product candidates have the potential, if approved for marketing by regulatory authorities, to have a meaningful effect on treating patients' unmet medical needs as monotherapy or, in some cases, in combination with other therapeutic agents. In March 2021, the Company and its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w:t>
      </w:r>
    </w:p>
    <w:p>
      <w:pPr>
        <w:pStyle w:val="TextBody"/>
        <w:bidi w:val="0"/>
        <w:spacing w:lineRule="auto" w:line="288" w:before="100" w:after="18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multiple product candidates currently under development will require significant additional research and development efforts that include extensive preclinical studies and clinical testing, and regulatory approval prior to commercial use.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As a biotechnology company, the Company has primarily funded its operations with proceeds from the sale of its common stock in equity offerings, revenue from its multiple collaboration agreements, and contracts from the National Institute of Allergy and Infectious Diseases (NIAID).</w:t>
      </w:r>
      <w:r>
        <w:rPr>
          <w:color w:val="000000"/>
        </w:rPr>
        <w:t xml:space="preserve"> </w:t>
      </w:r>
      <w:r>
        <w:rPr>
          <w:rFonts w:ascii="Times New Roman;sans-serif" w:hAnsi="Times New Roman;sans-serif"/>
          <w:b w:val="false"/>
          <w:color w:val="000000"/>
          <w:sz w:val="20"/>
        </w:rPr>
        <w:t>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 other arrangements, product sales and royalties.</w:t>
      </w:r>
      <w:r>
        <w:rPr>
          <w:color w:val="000000"/>
        </w:rPr>
        <w:t xml:space="preserve"> </w:t>
      </w:r>
      <w:r>
        <w:rPr>
          <w:rFonts w:ascii="Times New Roman;sans-serif" w:hAnsi="Times New Roman;sans-serif"/>
          <w:b w:val="false"/>
          <w:color w:val="000000"/>
          <w:sz w:val="20"/>
        </w:rPr>
        <w:t>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for a minimum of twelve months from the date that this Quarterly Report on Form 10-Q was filed.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Similar to the other risk factors pertinent to the Company's business, geopolitical tensions, including the ongoing military conflict between Russia and Ukraine and the related sanctions imposed against Russia, and related global slowdown of economic activity, decades-high inflation, rising interest rates, adverse events involving financial institutions or the financial services industry and a potential recession in the United States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2022 Annual Report on Form 10-K filed with the Securities and Exchange Commission (SEC) on March 15,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 Company adopted the following significant accounting policies in addition to those disclosed in the Company’s Annual Report on Form 10-K for the year ended December 31, 2022.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Liability related to the sale of future royalties and related interest expense</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The Company assesses the relevant accounting criteria under Financial Accounting Standards Board (FASB) Accounting Standards Codification (ASC) 470,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(ASC 470) to determine whether the upfront payment received from the purchaser should be accounted for as debt or deferred income depending on the facts and circumstances. If the criteria in ASC 470 is met, the Company accounts for net proceeds from sales of its rights to receive future royalty payments as a liability that is amortized using the effective interest method over the term of the arrangement. The liability related to future royalties is presented net of unamortized issuance costs on the consolidated balance sheets. Interest expense on the liability related to future royalties is recognized using the effective interest rate method over the life of the arrangement. The Company calculates an effective interest rate which will amortize its related obligation to zero over the anticipated repayment period. The liability related to future royalties and the related interest expense are based on the Company’s current estimates of future royalties expected to be received over the life of the arrangement, which the Company determines by using internal sales projections and external information from market data sources, which are considered Level 3 inputs. The Company periodically assesses the expected payments and to the extent the Company’s estimates of future royalty payments are greater or less than previous estimates or the estimated timing of such payments is materially different than previous estimates, the Company will adjust the effective interest rate and recognize related non-cash interest expense on a prospective basis. Non-cash amortization is reflected as interest expense in the consolidated statements of operations and comprehensive income (loss).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changes in facts and circumstances, for example as a result of a modification to the existing agreements, the Company re-evaluates its rights and obligations and accounts for the change in accordance with the respective accounting guidance.</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pronouncements that were issued or became effective since the issuance of the Company’s 2022 Annual Report on Form 10-K that had, or are expected to have, a material impact on its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3. Fair Value of Financial Instruments</w:t>
      </w:r>
    </w:p>
    <w:p>
      <w:pPr>
        <w:pStyle w:val="TextBody"/>
        <w:bidi w:val="0"/>
        <w:spacing w:lineRule="auto" w:line="288" w:before="0" w:after="180"/>
        <w:ind w:left="0" w:right="0" w:firstLine="720"/>
        <w:jc w:val="left"/>
        <w:rPr/>
      </w:pPr>
      <w:r>
        <w:rPr>
          <w:rFonts w:ascii="Times New Roman;sans-serif" w:hAnsi="Times New Roman;sans-serif"/>
          <w:b w:val="false"/>
          <w:color w:val="252525"/>
          <w:sz w:val="20"/>
        </w:rPr>
        <w:t>The Company's financial instruments consist of cash and cash equivalents, marketable securities, accounts receivable, accounts payable and accrued expenses.</w:t>
      </w:r>
      <w:r>
        <w:rPr>
          <w:color w:val="000000"/>
        </w:rPr>
        <w:t xml:space="preserve"> </w:t>
      </w:r>
      <w:r>
        <w:rPr>
          <w:rFonts w:ascii="Times New Roman;sans-serif" w:hAnsi="Times New Roman;sans-serif"/>
          <w:b w:val="false"/>
          <w:color w:val="252525"/>
          <w:sz w:val="20"/>
        </w:rPr>
        <w:t>The carrying amount of accounts receivable, accounts payable and accrued expenses are generally considered to be representative of their respective fair values because of their short-term nature. </w:t>
      </w:r>
      <w:r>
        <w:rPr>
          <w:color w:val="000000"/>
        </w:rPr>
        <w:t xml:space="preserve"> </w:t>
      </w:r>
      <w:r>
        <w:rPr>
          <w:rFonts w:ascii="Times New Roman;sans-serif" w:hAnsi="Times New Roman;sans-serif"/>
          <w:b w:val="false"/>
          <w:color w:val="000000"/>
          <w:sz w:val="20"/>
        </w:rPr>
        <w:t xml:space="preserve">The Company accounts for recurring and non-recurring fair value measurements in accordance with ASC 820,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Level 1 - Fair value is determined by using unadjusted quoted prices that are available in active markets for identical assets and liabilities.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ind w:left="0" w:right="0" w:firstLine="720"/>
        <w:jc w:val="left"/>
        <w:rPr/>
      </w:pPr>
      <w:r>
        <w:rPr>
          <w:rFonts w:ascii="Times New Roman;sans-serif" w:hAnsi="Times New Roman;sans-serif"/>
          <w:b w:val="false"/>
          <w:color w:val="000000"/>
          <w:sz w:val="20"/>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sans-serif" w:hAnsi="Times New Roman;sans-serif"/>
          <w:b w:val="false"/>
          <w:color w:val="252525"/>
          <w:sz w:val="20"/>
        </w:rPr>
        <w:t xml:space="preserve">There were no transfers between levels during the periods presented. </w:t>
      </w:r>
    </w:p>
    <w:p>
      <w:pPr>
        <w:pStyle w:val="TextBody"/>
        <w:bidi w:val="0"/>
        <w:spacing w:lineRule="auto" w:line="288" w:before="300" w:after="3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measured at fair value on a recurring basis were as follows (in thousands):</w:t>
      </w:r>
    </w:p>
    <w:tbl>
      <w:tblPr>
        <w:tblW w:w="7062" w:type="dxa"/>
        <w:jc w:val="left"/>
        <w:tblInd w:w="0" w:type="dxa"/>
        <w:tblLayout w:type="fixed"/>
        <w:tblCellMar>
          <w:top w:w="28" w:type="dxa"/>
          <w:left w:w="28" w:type="dxa"/>
          <w:bottom w:w="28" w:type="dxa"/>
          <w:right w:w="28" w:type="dxa"/>
        </w:tblCellMar>
      </w:tblPr>
      <w:tblGrid>
        <w:gridCol w:w="1318"/>
        <w:gridCol w:w="850"/>
        <w:gridCol w:w="862"/>
        <w:gridCol w:w="211"/>
        <w:gridCol w:w="826"/>
        <w:gridCol w:w="109"/>
        <w:gridCol w:w="109"/>
        <w:gridCol w:w="109"/>
        <w:gridCol w:w="109"/>
        <w:gridCol w:w="211"/>
        <w:gridCol w:w="721"/>
        <w:gridCol w:w="109"/>
        <w:gridCol w:w="109"/>
        <w:gridCol w:w="109"/>
        <w:gridCol w:w="109"/>
        <w:gridCol w:w="211"/>
        <w:gridCol w:w="826"/>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at June 30, 2023</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assets measured at fair value</w:t>
            </w:r>
            <w:r>
              <w:rPr>
                <w:rFonts w:ascii="Times New Roman;sans-serif" w:hAnsi="Times New Roman;sans-serif"/>
                <w:b w:val="false"/>
                <w:color w:val="000000"/>
                <w:sz w:val="13"/>
              </w:rPr>
              <w:t>(a)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54" w:type="dxa"/>
        <w:jc w:val="left"/>
        <w:tblInd w:w="0" w:type="dxa"/>
        <w:tblLayout w:type="fixed"/>
        <w:tblCellMar>
          <w:top w:w="28" w:type="dxa"/>
          <w:left w:w="28" w:type="dxa"/>
          <w:bottom w:w="28" w:type="dxa"/>
          <w:right w:w="28" w:type="dxa"/>
        </w:tblCellMar>
      </w:tblPr>
      <w:tblGrid>
        <w:gridCol w:w="1099"/>
        <w:gridCol w:w="966"/>
        <w:gridCol w:w="979"/>
        <w:gridCol w:w="232"/>
        <w:gridCol w:w="795"/>
        <w:gridCol w:w="120"/>
        <w:gridCol w:w="120"/>
        <w:gridCol w:w="120"/>
        <w:gridCol w:w="120"/>
        <w:gridCol w:w="232"/>
        <w:gridCol w:w="795"/>
        <w:gridCol w:w="120"/>
        <w:gridCol w:w="120"/>
        <w:gridCol w:w="120"/>
        <w:gridCol w:w="120"/>
        <w:gridCol w:w="232"/>
        <w:gridCol w:w="795"/>
        <w:gridCol w:w="169"/>
      </w:tblGrid>
      <w:tr>
        <w:trPr/>
        <w:tc>
          <w:tcPr>
            <w:tcW w:w="109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at December 31, 2022</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assets measured at fair value</w:t>
            </w:r>
            <w:r>
              <w:rPr>
                <w:rFonts w:ascii="Times New Roman;sans-serif" w:hAnsi="Times New Roman;sans-serif"/>
                <w:b w:val="false"/>
                <w:color w:val="000000"/>
                <w:sz w:val="13"/>
              </w:rPr>
              <w:t>(b)</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 Total assets measured at fair value at June 30, 2023 includes approximately $103.5 million reported in cash and cash equivalents on the consolidated balance sheet.</w:t>
      </w:r>
    </w:p>
    <w:p>
      <w:pPr>
        <w:pStyle w:val="TextBody"/>
        <w:bidi w:val="0"/>
        <w:spacing w:lineRule="auto" w:line="288" w:before="24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 Total assets measured at fair value at December 31, 2022 includes approximately $46.5 million reported in cash and cash equivalents on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4. Marketable Securities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marketable debt securities (in thousands):</w:t>
      </w:r>
    </w:p>
    <w:tbl>
      <w:tblPr>
        <w:tblW w:w="9405" w:type="dxa"/>
        <w:jc w:val="left"/>
        <w:tblInd w:w="0" w:type="dxa"/>
        <w:tblLayout w:type="fixed"/>
        <w:tblCellMar>
          <w:top w:w="28" w:type="dxa"/>
          <w:left w:w="28" w:type="dxa"/>
          <w:bottom w:w="28" w:type="dxa"/>
          <w:right w:w="28" w:type="dxa"/>
        </w:tblCellMar>
      </w:tblPr>
      <w:tblGrid>
        <w:gridCol w:w="1059"/>
        <w:gridCol w:w="931"/>
        <w:gridCol w:w="935"/>
        <w:gridCol w:w="211"/>
        <w:gridCol w:w="826"/>
        <w:gridCol w:w="109"/>
        <w:gridCol w:w="109"/>
        <w:gridCol w:w="109"/>
        <w:gridCol w:w="109"/>
        <w:gridCol w:w="301"/>
        <w:gridCol w:w="579"/>
        <w:gridCol w:w="156"/>
        <w:gridCol w:w="109"/>
        <w:gridCol w:w="109"/>
        <w:gridCol w:w="109"/>
        <w:gridCol w:w="314"/>
        <w:gridCol w:w="559"/>
        <w:gridCol w:w="163"/>
        <w:gridCol w:w="109"/>
        <w:gridCol w:w="109"/>
        <w:gridCol w:w="109"/>
        <w:gridCol w:w="211"/>
        <w:gridCol w:w="826"/>
        <w:gridCol w:w="109"/>
        <w:gridCol w:w="109"/>
        <w:gridCol w:w="109"/>
        <w:gridCol w:w="109"/>
        <w:gridCol w:w="109"/>
        <w:gridCol w:w="109"/>
        <w:gridCol w:w="109"/>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105" w:type="dxa"/>
        <w:jc w:val="left"/>
        <w:tblInd w:w="0" w:type="dxa"/>
        <w:tblLayout w:type="fixed"/>
        <w:tblCellMar>
          <w:top w:w="28" w:type="dxa"/>
          <w:left w:w="28" w:type="dxa"/>
          <w:bottom w:w="28" w:type="dxa"/>
          <w:right w:w="28" w:type="dxa"/>
        </w:tblCellMar>
      </w:tblPr>
      <w:tblGrid>
        <w:gridCol w:w="1060"/>
        <w:gridCol w:w="931"/>
        <w:gridCol w:w="934"/>
        <w:gridCol w:w="211"/>
        <w:gridCol w:w="721"/>
        <w:gridCol w:w="109"/>
        <w:gridCol w:w="109"/>
        <w:gridCol w:w="109"/>
        <w:gridCol w:w="109"/>
        <w:gridCol w:w="379"/>
        <w:gridCol w:w="460"/>
        <w:gridCol w:w="197"/>
        <w:gridCol w:w="109"/>
        <w:gridCol w:w="109"/>
        <w:gridCol w:w="109"/>
        <w:gridCol w:w="314"/>
        <w:gridCol w:w="559"/>
        <w:gridCol w:w="163"/>
        <w:gridCol w:w="109"/>
        <w:gridCol w:w="109"/>
        <w:gridCol w:w="109"/>
        <w:gridCol w:w="211"/>
        <w:gridCol w:w="721"/>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available-for-sale marketable debt securities held as of June 30, 2023 and December 31, 2022 had contractual maturities of less than one year. All of the Company's available-for-sale marketable debt securities in an unrealized loss position as of June 30, 2023 and December 31, 2022 were in a loss position for less than twelve months. Unrealized losses on available-for-sale debt securities as of June 30, 2023 and December 31, 2022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any periods presented. The Company does not intend to sell these investments and it is not more likely than not that the Company will be required to sell the investments before recovery of their amortized cost bases, which may be at maturity.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5. Inventory, Net</w:t>
      </w:r>
    </w:p>
    <w:p>
      <w:pPr>
        <w:pStyle w:val="TextBody"/>
        <w:bidi w:val="0"/>
        <w:spacing w:lineRule="auto" w:line="288" w:before="18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inventory relates to the manufacturing of MARGENZA. The following table sets forth the Company's net inventory (in thousands):</w:t>
      </w:r>
    </w:p>
    <w:tbl>
      <w:tblPr>
        <w:tblW w:w="5109" w:type="dxa"/>
        <w:jc w:val="left"/>
        <w:tblInd w:w="0" w:type="dxa"/>
        <w:tblLayout w:type="fixed"/>
        <w:tblCellMar>
          <w:top w:w="28" w:type="dxa"/>
          <w:left w:w="28" w:type="dxa"/>
          <w:bottom w:w="28" w:type="dxa"/>
          <w:right w:w="28" w:type="dxa"/>
        </w:tblCellMar>
      </w:tblPr>
      <w:tblGrid>
        <w:gridCol w:w="630"/>
        <w:gridCol w:w="552"/>
        <w:gridCol w:w="557"/>
        <w:gridCol w:w="287"/>
        <w:gridCol w:w="839"/>
        <w:gridCol w:w="148"/>
        <w:gridCol w:w="109"/>
        <w:gridCol w:w="109"/>
        <w:gridCol w:w="109"/>
        <w:gridCol w:w="380"/>
        <w:gridCol w:w="1110"/>
        <w:gridCol w:w="279"/>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U.S. Food and Drug Administration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The inventory balance as of June 30, 2023 and December 31, 2022 is net of a reserve of $4.9 million for unsaleable inventory. These reserves are reflected in cost of product sales during the period they are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6. Royalty Monetization Arrangement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2023, the Company entered into a Purchase and Sale Agreement (Royalty Purchase Agreement) with DRI Healthcare Acquisitions LP (DRI), a wholly owned subsidiary of DRI Healthcare Trust, for the sale to DRI of the Company’s single-digit royalty interest on global net sales of TZIELD (teplizumab-mzwv) under the Company’s Asset Purchase Agreement dated May 7, 2018, as amended (the Provention APA), with Provention Bio, Inc. (Provention). The Company retained its other economic interests related to TZIELD under the Provention APA, including future potential development, regulatory, and commercial milestones.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Royalty Purchase Agreement, the Company received $100.0 million from DRI for its single-digit royalty interest on global net sales of TZIELD under the Provention APA (the Royalty Interest). Additionally, the Company has the right to receive a 50% share of the royalty on global net sales above a certain annual threshold (the Retained Interest). In addition, the Company is eligible to receive up to $50.0 million upon the occurrence of pre-specified events tied to the advancement of TZIELD for the treatment of newly diagnosed type 1 diabetes. The Company is also eligible to receive an additional $50.0 million milestone if TZIELD achieves a certain level of net sales.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$100.0 million proceeds received from DRI for the Royalty Interest were recorded as a liability related to future royalties, net of transaction costs of $0.3 million, which was to be amortized over the term of the arrangement using the effective interest rate method. The Company accounted for the Royalty Purchase Agreement as a financing arrangement because the Company had significant continuing involvement in the delivery of future royalty payments to DRI and other existing obligations under the Provention APA.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On April 27, 2023, the Company entered into an agreement (the Tripartite Agreement) with DRI and a subsidiary of Sanofi S.A. (Sanofi), whereby the Company consented to the sale of DRI’s Royalty Interest and related milestone payment obligations to Sanofi. The Tripartite Agreement eliminated the Company’s obligation to deliver payments to DRI related to the Royalty Interest and removed all of the Company’s other obligations under the Royalty Purchase Agreement. The Royalty Interest will be paid directly to Sanofi by Provention. As a result, the Company’s royalty rights are only for the Retained Interest. This change in rights and obligations resulted in a change in the terms of the liability related to future royalties which was evaluated by the Company in accordance with ASC 470-50, </w:t>
      </w:r>
      <w:r>
        <w:rPr>
          <w:rFonts w:ascii="Times New Roman;sans-serif" w:hAnsi="Times New Roman;sans-serif"/>
          <w:b w:val="false"/>
          <w:i/>
          <w:color w:val="000000"/>
          <w:sz w:val="20"/>
        </w:rPr>
        <w:t>Debt — Modifications and Extinguishments</w:t>
      </w:r>
      <w:r>
        <w:rPr>
          <w:rFonts w:ascii="Times New Roman;sans-serif" w:hAnsi="Times New Roman;sans-serif"/>
          <w:b w:val="false"/>
          <w:color w:val="000000"/>
          <w:sz w:val="20"/>
        </w:rPr>
        <w:t>. The Company concluded that the execution of the Tripartite Agreement resulted in a modification to the liability related to future royalties.</w:t>
      </w:r>
      <w:r>
        <w:rPr>
          <w:color w:val="000000"/>
        </w:rPr>
        <w:t xml:space="preserve"> </w:t>
      </w:r>
      <w:r>
        <w:rPr>
          <w:rFonts w:ascii="Times New Roman;sans-serif" w:hAnsi="Times New Roman;sans-serif"/>
          <w:b w:val="false"/>
          <w:color w:val="000000"/>
          <w:sz w:val="20"/>
        </w:rPr>
        <w:t xml:space="preserve">The Company determined that the terms of the new liability related to the single-digit future royalties and the original liability related to future royalties were substantially different as the Company no longer receives payments for the Royalty Interest and therefore has a significantly reduced liability to make payments in accordance with the Royalty Purchase Agreement. The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liability related to future royalties was determined to be de minimis.</w:t>
      </w:r>
      <w:r>
        <w:rPr>
          <w:color w:val="000000"/>
        </w:rPr>
        <w:t xml:space="preserve"> </w:t>
      </w:r>
      <w:r>
        <w:rPr>
          <w:rFonts w:ascii="Times New Roman;sans-serif" w:hAnsi="Times New Roman;sans-serif"/>
          <w:b w:val="false"/>
          <w:color w:val="000000"/>
          <w:sz w:val="20"/>
        </w:rPr>
        <w:t>As a result, the Company recorded $100.9 million within other income on the statement of operations and comprehensive income (loss) during the three months ended June 30, 2023. There was no modification to the Company's Retained Interest in the Tripartite Agreement.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the liability related to future royalties were as follows for the six months ended June 30, 2023 (in thousands):</w:t>
      </w:r>
    </w:p>
    <w:p>
      <w:pPr>
        <w:pStyle w:val="TextBody"/>
        <w:bidi w:val="0"/>
        <w:spacing w:before="0" w:after="0"/>
        <w:ind w:left="0" w:right="0" w:firstLine="720"/>
        <w:jc w:val="left"/>
        <w:rPr/>
      </w:pPr>
      <w:r>
        <w:rPr/>
      </w:r>
    </w:p>
    <w:tbl>
      <w:tblPr>
        <w:tblW w:w="5970" w:type="dxa"/>
        <w:jc w:val="left"/>
        <w:tblInd w:w="0" w:type="dxa"/>
        <w:tblLayout w:type="fixed"/>
        <w:tblCellMar>
          <w:top w:w="28" w:type="dxa"/>
          <w:left w:w="28" w:type="dxa"/>
          <w:bottom w:w="28" w:type="dxa"/>
          <w:right w:w="28" w:type="dxa"/>
        </w:tblCellMar>
      </w:tblPr>
      <w:tblGrid>
        <w:gridCol w:w="1662"/>
        <w:gridCol w:w="1459"/>
        <w:gridCol w:w="1468"/>
        <w:gridCol w:w="109"/>
        <w:gridCol w:w="109"/>
        <w:gridCol w:w="109"/>
        <w:gridCol w:w="307"/>
        <w:gridCol w:w="593"/>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future royalties - 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future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 payable to DRI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royalty monetization arrangement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future royalties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7. Stockholders' Equity</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 entered into a sales agreement (Sales Agreement) with an agent to sell, from time to time, shares of its common stock having an aggregate sales price of up to $100.0 million through an “at the market offering” (ATM Offering) as defined in Rule 415 under the Securities Act of 1933, as amended. The Company sold 3,622,186 shares of common stock resulting in net proceeds of approximately $98.2 million through December 31, 2021 under the Sales Agreement. In April 2021, the Company entered into Amendment No. 1 to the Sales Agreement which increased the amount of the Company’s common stock that can be sold by the Company through its agent under the ATM Offering, from an aggregate offering price of up to $100.0 million to an aggregate offering price of up to $300.0 million. In March 2023, the Company terminated the Sales Agreement and entered into a new sales agreement with an agent to sell, from time to time, shares of its common stock having an aggregate sales price of up to $100.0 million through an ATM Offering. During the six months ended June 30, 2023, the Company sold 95,000 shares of common stock at a weighted average price per share of $6.60, resulting in net proceeds of approximately $0.6 million, net of offering expenses.</w:t>
      </w:r>
    </w:p>
    <w:p>
      <w:pPr>
        <w:pStyle w:val="TextBody"/>
        <w:bidi w:val="0"/>
        <w:spacing w:before="18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8. Revenue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Collaborative and Other Agreements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Incyte Corporation</w:t>
      </w:r>
    </w:p>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Incyte License Agreement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2017, the Company entered into an exclusive global collaboration and license agreement with Incyte Corporation (Incyte), which was amended in March 2018, April 2022 and July 2022, for retifanlimab, an investigational monoclonal antibody that inhibits programmed cell death protein 1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MacroGenics will manufacture a portion of Incyte’s global commercial supply of retifanlimab. In March 2023, the FDA approved Incyte's Biologics License Application (BLA) for ZYNYZ (retifanlimab-dlwr) for the treatment of adults with metastatic or recurrent locally advanced Merkel cell carcinoma. Incyte has stated it is pursuing development of retifanlimab in potentially registration-enabling studies, including in patients with squamous cell carcinoma of the anal canal, MSI-high endometrial cancer and non-small cell lung cancer. Incyte is also pursuing development of retifanlimab in combination with multiple product candidates from its pipeline. </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rPr>
        <w:t xml:space="preserve">Under the terms of the Incyte License Agreement, as amended, Incyte will lead global development of retifanlimab. Assuming successful development and commercialization by Incyte in multiple indications, the Company could receive up to a total of $435.0 million in development and regulatory milestones and up to $330.0 million in commercial milestones. From the inception of the Incyte License Agreement through </w:t>
      </w:r>
      <w:r>
        <w:rPr>
          <w:rFonts w:ascii="Times New Roman;sans-serif" w:hAnsi="Times New Roman;sans-serif"/>
          <w:b w:val="false"/>
          <w:color w:val="252525"/>
          <w:sz w:val="20"/>
        </w:rPr>
        <w:t>June 30, 2023</w:t>
      </w:r>
      <w:r>
        <w:rPr>
          <w:rFonts w:ascii="Times New Roman;sans-serif" w:hAnsi="Times New Roman;sans-serif"/>
          <w:b w:val="false"/>
          <w:color w:val="000000"/>
          <w:sz w:val="20"/>
        </w:rPr>
        <w:t xml:space="preserve">, the Company has recognized $115.0 million in development milestones under the Incyte License Agreement, including $15.0 million received following the FDA approval of ZYNYZ. The Company is also eligible to receive tiered royalties of 15% to 24% on global net sales. The Company retains the right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evaluated the Incyte License Agreement under the provisions of Accounting Standards Codification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 xml:space="preserve">(ASC 606) 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From 2018 through </w:t>
      </w:r>
      <w:r>
        <w:rPr>
          <w:rFonts w:ascii="Times New Roman;sans-serif" w:hAnsi="Times New Roman;sans-serif"/>
          <w:b w:val="false"/>
          <w:color w:val="252525"/>
          <w:sz w:val="20"/>
        </w:rPr>
        <w:t>June 30, 2023</w:t>
      </w:r>
      <w:r>
        <w:rPr>
          <w:rFonts w:ascii="Times New Roman;sans-serif" w:hAnsi="Times New Roman;sans-serif"/>
          <w:b w:val="false"/>
          <w:color w:val="000000"/>
          <w:sz w:val="20"/>
        </w:rPr>
        <w:t xml:space="preserve">, it became probable that a significant reversal of cumulative revenue would not occur for development milestones totaling $115.0 million related to </w:t>
      </w:r>
      <w:r>
        <w:rPr>
          <w:rFonts w:ascii="Times New Roman;sans-serif" w:hAnsi="Times New Roman;sans-serif"/>
          <w:b w:val="false"/>
          <w:color w:val="252525"/>
          <w:sz w:val="20"/>
        </w:rPr>
        <w:t>clinical and regulatory activities related to the further advancement of retifanlimab</w:t>
      </w:r>
      <w:r>
        <w:rPr>
          <w:rFonts w:ascii="Times New Roman;sans-serif" w:hAnsi="Times New Roman;sans-serif"/>
          <w:b w:val="false"/>
          <w:color w:val="000000"/>
          <w:sz w:val="20"/>
        </w:rPr>
        <w:t>. Therefore, the associated consideration was added to the estimated transaction price and was recognized as revenue</w:t>
      </w:r>
      <w:r>
        <w:rPr>
          <w:rFonts w:ascii="Times New Roman;sans-serif" w:hAnsi="Times New Roman;sans-serif"/>
          <w:b w:val="false"/>
          <w:color w:val="252525"/>
          <w:sz w:val="24"/>
        </w:rPr>
        <w:t xml:space="preserve">. </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the $150.0 million allocated to the license when it satisfied its performance obligation and transferred the license to Incyte in 2017. The $4.0 million allocated to the clinical activities was recognized ratably as services were performed during 2017 and 2018. The Company recognized the $15.0 million ZYNYZ approval milestone as revenue under the Incyte License Agreement during the six months ended June 30, 2023. No revenue was recognized under the Incyte License Agreement during the three and six months ended June 30, 2022.</w:t>
      </w:r>
    </w:p>
    <w:p>
      <w:pPr>
        <w:pStyle w:val="TextBody"/>
        <w:bidi w:val="0"/>
        <w:spacing w:lineRule="auto" w:line="288" w:before="180" w:after="180"/>
        <w:ind w:left="0" w:right="0" w:firstLine="840"/>
        <w:jc w:val="left"/>
        <w:rPr>
          <w:rFonts w:ascii="Times New Roman;sans-serif" w:hAnsi="Times New Roman;sans-serif"/>
          <w:b w:val="false"/>
          <w:i/>
          <w:color w:val="000000"/>
          <w:sz w:val="20"/>
        </w:rPr>
      </w:pPr>
      <w:r>
        <w:rPr>
          <w:rFonts w:ascii="Times New Roman;sans-serif" w:hAnsi="Times New Roman;sans-serif"/>
          <w:b w:val="false"/>
          <w:i/>
          <w:color w:val="000000"/>
          <w:sz w:val="20"/>
        </w:rPr>
        <w:t>Incyte Clinical Supply Agreement</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the Company entered into an agreement with Incyte, under which the Company is to perform development and manufacturing services for Incyte’s clinical needs of retifanlimab (Incyte Clinical Supply Agreement). The Company evaluated the Incyte Clinical Supply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services. During the three months ended June 30, 2023 and 2022, the Company recognized revenue of $0.1 million and $0.2 million, respectively, for services performed under the Incyte Clinical Supply Agreement. During the six months ended June 30, 2023 and 2022, the Company recognized revenue of $1.4 million and $0.5 million, respectively, for services performed under the Incyte Clinical Supply Agreement. </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Gilead Sciences, Inc </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In October 2022, the Company and Gilead Sciences, Inc. (Gilead) entered into an exclusive option and collaboration agreement (Gilead Agreement) to develop and commercialize MGD024, an investigational, bispecific antibody that binds CD123 and CD3, and create bispecific cancer antibodies using the Company’s DART platform and undertake their early development under a maximum of two separate bispecific cancer target research programs. Under the agreement, the Company will continue the ongoing phase 1 trial for MGD024 accordi</w:t>
      </w:r>
      <w:r>
        <w:rPr>
          <w:rFonts w:ascii="Times New Roman;sans-serif" w:hAnsi="Times New Roman;sans-serif"/>
          <w:b w:val="false"/>
          <w:color w:val="000000"/>
          <w:sz w:val="20"/>
        </w:rPr>
        <w:t>ng to a development plan</w:t>
      </w:r>
      <w:r>
        <w:rPr>
          <w:rFonts w:ascii="Times New Roman;sans-serif" w:hAnsi="Times New Roman;sans-serif"/>
          <w:b w:val="false"/>
          <w:color w:val="000000"/>
          <w:sz w:val="20"/>
          <w:shd w:fill="FFFFFF" w:val="clear"/>
        </w:rPr>
        <w:t>, during which Gilead will have the right to exercise an option granted to Gilead to obtain an exclusive license under the Company’s intellectual property to develop and commercialize MGD024 and other bispecific antibodies of MacroGenics that bind CD123 and CD3</w:t>
      </w:r>
      <w:r>
        <w:rPr>
          <w:color w:val="000000"/>
        </w:rPr>
        <w:t xml:space="preserve"> </w:t>
      </w:r>
      <w:r>
        <w:rPr>
          <w:rFonts w:ascii="Times New Roman;sans-serif" w:hAnsi="Times New Roman;sans-serif"/>
          <w:b w:val="false"/>
          <w:color w:val="000000"/>
          <w:sz w:val="20"/>
        </w:rPr>
        <w:t xml:space="preserve">(CD123 Option).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 also grants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w:t>
      </w:r>
    </w:p>
    <w:p>
      <w:pPr>
        <w:pStyle w:val="TextBody"/>
        <w:bidi w:val="0"/>
        <w:spacing w:lineRule="auto" w:line="288" w:before="180" w:after="283"/>
        <w:ind w:left="0" w:right="0" w:firstLine="720"/>
        <w:jc w:val="left"/>
        <w:rPr/>
      </w:pPr>
      <w:r>
        <w:rPr>
          <w:rFonts w:ascii="Times New Roman;sans-serif" w:hAnsi="Times New Roman;sans-serif"/>
          <w:b w:val="false"/>
          <w:color w:val="000000"/>
          <w:sz w:val="20"/>
          <w:shd w:fill="FFFFFF" w:val="clear"/>
        </w:rPr>
        <w:t>Under the terms of the Gilead Agreement, in October 2022 Gilead paid the Company an upfront payment of $60.0 million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$1.7 billion</w:t>
      </w:r>
      <w:r>
        <w:rPr>
          <w:color w:val="000000"/>
        </w:rPr>
        <w:t xml:space="preserve"> </w:t>
      </w:r>
      <w:r>
        <w:rPr>
          <w:rFonts w:ascii="Times New Roman;sans-serif" w:hAnsi="Times New Roman;sans-serif"/>
          <w:b w:val="false"/>
          <w:color w:val="000000"/>
          <w:sz w:val="20"/>
          <w:shd w:fill="FFFFFF" w:val="clear"/>
        </w:rPr>
        <w:t xml:space="preserve">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w:t>
      </w:r>
      <w:r>
        <w:rPr>
          <w:rFonts w:ascii="Times New Roman;sans-serif" w:hAnsi="Times New Roman;sans-serif"/>
          <w:b w:val="false"/>
          <w:color w:val="000000"/>
          <w:sz w:val="20"/>
        </w:rPr>
        <w:t>Research Program Option,</w:t>
      </w:r>
      <w:r>
        <w:rPr>
          <w:color w:val="000000"/>
          <w:shd w:fill="FFFFFF" w:val="clear"/>
        </w:rPr>
        <w:t xml:space="preserve"> </w:t>
      </w:r>
      <w:r>
        <w:rPr>
          <w:rFonts w:ascii="Times New Roman;sans-serif" w:hAnsi="Times New Roman;sans-serif"/>
          <w:b w:val="false"/>
          <w:color w:val="000000"/>
          <w:sz w:val="20"/>
          <w:shd w:fill="FFFFFF" w:val="clear"/>
        </w:rPr>
        <w:t>a flat royalty on worldwide net sales of any products resulting from the two research programs.</w:t>
      </w:r>
      <w:r>
        <w:rPr>
          <w:color w:val="000000"/>
        </w:rPr>
        <w:t xml:space="preserve"> </w:t>
      </w:r>
    </w:p>
    <w:p>
      <w:pPr>
        <w:pStyle w:val="TextBody"/>
        <w:bidi w:val="0"/>
        <w:spacing w:lineRule="auto" w:line="288" w:before="180" w:after="283"/>
        <w:ind w:left="0" w:right="0" w:firstLine="720"/>
        <w:jc w:val="left"/>
        <w:rPr/>
      </w:pPr>
      <w:r>
        <w:rPr>
          <w:rFonts w:ascii="Times New Roman;sans-serif" w:hAnsi="Times New Roman;sans-serif"/>
          <w:b w:val="false"/>
          <w:color w:val="000000"/>
          <w:sz w:val="20"/>
          <w:shd w:fill="FFFFFF" w:val="clear"/>
        </w:rPr>
        <w:t xml:space="preserve">The Company evaluated the Gilead Agreement under the provisions of ASC 606 and identified the following material promises under the agreement: (i) a license to perform any activities allocated to Gilead under the MGD024 </w:t>
      </w:r>
      <w:r>
        <w:rPr>
          <w:rFonts w:ascii="Times New Roman;sans-serif" w:hAnsi="Times New Roman;sans-serif"/>
          <w:b w:val="false"/>
          <w:color w:val="000000"/>
          <w:sz w:val="20"/>
        </w:rPr>
        <w:t>development plan</w:t>
      </w:r>
      <w:r>
        <w:rPr>
          <w:rFonts w:ascii="Times New Roman;sans-serif" w:hAnsi="Times New Roman;sans-serif"/>
          <w:b w:val="false"/>
          <w:color w:val="000000"/>
          <w:sz w:val="20"/>
          <w:shd w:fill="FFFFFF" w:val="clear"/>
        </w:rPr>
        <w:t xml:space="preserve">; (ii) development activities regarding MGD024, including manufacturing, research and early clinical development activities, necessary to deliver an informational package of development and clinical data, information and materials specified in the Gilead Agreement during the period </w:t>
      </w:r>
      <w:r>
        <w:rPr>
          <w:rFonts w:ascii="Times New Roman;sans-serif" w:hAnsi="Times New Roman;sans-serif"/>
          <w:b w:val="false"/>
          <w:color w:val="000000"/>
          <w:sz w:val="20"/>
        </w:rPr>
        <w:t>in</w:t>
      </w:r>
      <w:r>
        <w:rPr>
          <w:color w:val="000000"/>
          <w:shd w:fill="FFFFFF" w:val="clear"/>
        </w:rPr>
        <w:t xml:space="preserve"> </w:t>
      </w:r>
      <w:r>
        <w:rPr>
          <w:rFonts w:ascii="Times New Roman;sans-serif" w:hAnsi="Times New Roman;sans-serif"/>
          <w:b w:val="false"/>
          <w:color w:val="000000"/>
          <w:sz w:val="20"/>
          <w:shd w:fill="FFFFFF" w:val="clear"/>
        </w:rPr>
        <w:t xml:space="preserve">which Gilead can exercise the CD123 Option; (iii) the CD123 Option and (iv) the </w:t>
      </w:r>
      <w:r>
        <w:rPr>
          <w:rFonts w:ascii="Times New Roman;sans-serif" w:hAnsi="Times New Roman;sans-serif"/>
          <w:b w:val="false"/>
          <w:color w:val="000000"/>
          <w:sz w:val="20"/>
        </w:rPr>
        <w:t>Research Program Option</w:t>
      </w:r>
      <w:r>
        <w:rPr>
          <w:rFonts w:ascii="Times New Roman;sans-serif" w:hAnsi="Times New Roman;sans-serif"/>
          <w:b w:val="false"/>
          <w:color w:val="000000"/>
          <w:sz w:val="20"/>
          <w:shd w:fill="FFFFFF" w:val="clear"/>
        </w:rPr>
        <w:t>.</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shd w:fill="FFFFFF" w:val="clear"/>
        </w:rPr>
        <w:t>The Company concluded that the license under the MGD024 developme</w:t>
      </w:r>
      <w:r>
        <w:rPr>
          <w:rFonts w:ascii="Times New Roman;sans-serif" w:hAnsi="Times New Roman;sans-serif"/>
          <w:b w:val="false"/>
          <w:color w:val="000000"/>
          <w:sz w:val="20"/>
        </w:rPr>
        <w:t>nt plan</w:t>
      </w:r>
      <w:r>
        <w:rPr>
          <w:color w:val="000000"/>
          <w:shd w:fill="FFFFFF" w:val="clear"/>
        </w:rPr>
        <w:t xml:space="preserve"> </w:t>
      </w:r>
      <w:r>
        <w:rPr>
          <w:rFonts w:ascii="Times New Roman;sans-serif" w:hAnsi="Times New Roman;sans-serif"/>
          <w:b w:val="false"/>
          <w:color w:val="000000"/>
          <w:sz w:val="20"/>
          <w:shd w:fill="FFFFFF" w:val="clear"/>
        </w:rPr>
        <w:t>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In accordance with ASC 606, the Company determined that the initial transaction price under the Gilead Agreement was $60.0 million,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 Research Program Option exercise.</w:t>
      </w:r>
      <w:r>
        <w:rPr>
          <w:color w:val="000000"/>
        </w:rPr>
        <w:t xml:space="preserve"> </w:t>
      </w:r>
      <w:r>
        <w:rPr>
          <w:rFonts w:ascii="Times New Roman;sans-serif" w:hAnsi="Times New Roman;sans-serif"/>
          <w:b w:val="false"/>
          <w:color w:val="000000"/>
          <w:sz w:val="20"/>
        </w:rPr>
        <w:t>The Company will reassess the amount of variable consideration included in the transaction price every reporting period.</w:t>
      </w:r>
      <w:r>
        <w:rPr>
          <w:color w:val="000000"/>
          <w:shd w:fill="FFFFFF" w:val="clear"/>
        </w:rPr>
        <w:t xml:space="preserve"> </w:t>
      </w:r>
      <w:r>
        <w:rPr>
          <w:rFonts w:ascii="Times New Roman;sans-serif" w:hAnsi="Times New Roman;sans-serif"/>
          <w:b w:val="false"/>
          <w:color w:val="000000"/>
          <w:sz w:val="20"/>
          <w:shd w:fill="FFFFFF" w:val="clear"/>
        </w:rPr>
        <w:t xml:space="preserve">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w:t>
      </w:r>
      <w:r>
        <w:rPr>
          <w:rFonts w:ascii="Times New Roman;sans-serif" w:hAnsi="Times New Roman;sans-serif"/>
          <w:b w:val="false"/>
          <w:color w:val="000000"/>
          <w:sz w:val="20"/>
        </w:rPr>
        <w:t>for the pre-option development timeline.</w:t>
      </w:r>
      <w:r>
        <w:rPr>
          <w:color w:val="000000"/>
        </w:rPr>
        <w:t xml:space="preserve"> </w:t>
      </w:r>
      <w:r>
        <w:rPr>
          <w:rFonts w:ascii="Times New Roman;sans-serif" w:hAnsi="Times New Roman;sans-serif"/>
          <w:b w:val="false"/>
          <w:color w:val="000000"/>
          <w:sz w:val="20"/>
        </w:rPr>
        <w:t>For the standalone selling price of the CD123 Option, the Company utilized an income-based approach which included the following key assumptions:</w:t>
      </w:r>
      <w:r>
        <w:rPr>
          <w:color w:val="000000"/>
        </w:rPr>
        <w:t xml:space="preserve"> </w:t>
      </w:r>
      <w:r>
        <w:rPr>
          <w:rFonts w:ascii="Times New Roman;sans-serif" w:hAnsi="Times New Roman;sans-serif"/>
          <w:b w:val="false"/>
          <w:color w:val="000000"/>
          <w:sz w:val="20"/>
        </w:rPr>
        <w:t xml:space="preserve">post-option development timeline and costs, forecasted revenues, discount rates and probabilities of technical and regulatory success. </w:t>
      </w:r>
    </w:p>
    <w:p>
      <w:pPr>
        <w:pStyle w:val="TextBody"/>
        <w:bidi w:val="0"/>
        <w:spacing w:lineRule="auto" w:line="288" w:before="18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will defer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shd w:fill="FFFFFF" w:val="clear"/>
        </w:rPr>
        <w:t xml:space="preserve">During the three and six months ended June 30, 2023, the Company recorded revenue of </w:t>
      </w:r>
      <w:r>
        <w:rPr>
          <w:rFonts w:ascii="Times New Roman;sans-serif" w:hAnsi="Times New Roman;sans-serif"/>
          <w:b w:val="false"/>
          <w:color w:val="000000"/>
          <w:sz w:val="20"/>
        </w:rPr>
        <w:t xml:space="preserve">$0.2 million and $0.6 million, respectively, </w:t>
      </w:r>
      <w:r>
        <w:rPr>
          <w:rFonts w:ascii="Times New Roman;sans-serif" w:hAnsi="Times New Roman;sans-serif"/>
          <w:b w:val="false"/>
          <w:color w:val="000000"/>
          <w:sz w:val="20"/>
          <w:shd w:fill="FFFFFF" w:val="clear"/>
        </w:rPr>
        <w:t xml:space="preserve">related to the Gilead Agreement. As of June 30, 2023, </w:t>
      </w:r>
      <w:r>
        <w:rPr>
          <w:rFonts w:ascii="Times New Roman;sans-serif" w:hAnsi="Times New Roman;sans-serif"/>
          <w:b w:val="false"/>
          <w:color w:val="000000"/>
          <w:sz w:val="20"/>
        </w:rPr>
        <w:t>$59.2 million</w:t>
      </w:r>
      <w:r>
        <w:rPr>
          <w:color w:val="000000"/>
          <w:shd w:fill="FFFFFF" w:val="clear"/>
        </w:rPr>
        <w:t xml:space="preserve"> </w:t>
      </w:r>
      <w:r>
        <w:rPr>
          <w:rFonts w:ascii="Times New Roman;sans-serif" w:hAnsi="Times New Roman;sans-serif"/>
          <w:b w:val="false"/>
          <w:color w:val="000000"/>
          <w:sz w:val="20"/>
          <w:shd w:fill="FFFFFF" w:val="clear"/>
        </w:rPr>
        <w:t xml:space="preserve">in revenue was deferred under this agreement, </w:t>
      </w:r>
      <w:r>
        <w:rPr>
          <w:rFonts w:ascii="Times New Roman;sans-serif" w:hAnsi="Times New Roman;sans-serif"/>
          <w:b w:val="false"/>
          <w:color w:val="000000"/>
          <w:sz w:val="20"/>
        </w:rPr>
        <w:t>$2.2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current and </w:t>
      </w:r>
      <w:r>
        <w:rPr>
          <w:rFonts w:ascii="Times New Roman;sans-serif" w:hAnsi="Times New Roman;sans-serif"/>
          <w:b w:val="false"/>
          <w:color w:val="000000"/>
          <w:sz w:val="20"/>
        </w:rPr>
        <w:t>$57.0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non-current. As of December 31, 2022, $59.8 million in revenue was deferred under this agreement, </w:t>
      </w:r>
      <w:r>
        <w:rPr>
          <w:rFonts w:ascii="Times New Roman;sans-serif" w:hAnsi="Times New Roman;sans-serif"/>
          <w:b w:val="false"/>
          <w:color w:val="000000"/>
          <w:sz w:val="20"/>
        </w:rPr>
        <w:t>$1.8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current and </w:t>
      </w:r>
      <w:r>
        <w:rPr>
          <w:rFonts w:ascii="Times New Roman;sans-serif" w:hAnsi="Times New Roman;sans-serif"/>
          <w:b w:val="false"/>
          <w:color w:val="000000"/>
          <w:sz w:val="20"/>
        </w:rPr>
        <w:t>$58.0 million</w:t>
      </w:r>
      <w:r>
        <w:rPr>
          <w:color w:val="000000"/>
          <w:shd w:fill="FFFFFF" w:val="clear"/>
        </w:rPr>
        <w:t xml:space="preserve"> </w:t>
      </w:r>
      <w:r>
        <w:rPr>
          <w:rFonts w:ascii="Times New Roman;sans-serif" w:hAnsi="Times New Roman;sans-serif"/>
          <w:b w:val="false"/>
          <w:color w:val="000000"/>
          <w:sz w:val="20"/>
          <w:shd w:fill="FFFFFF" w:val="clear"/>
        </w:rPr>
        <w:t>of which was non-current.</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Zai Lab Limited</w:t>
      </w:r>
    </w:p>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2018 Zai Lab Agreement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the Company entered into a collaboration and license agreement with Zai Lab Limited (Zai Lab) under which Zai Lab obtained regional development and commercialization rights in mainland China, Hong Kong, Macau and Taiwan (Zai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of these molecules in its territory. Zai Lab has informed the Company that they have decided to discontinue development of tebotelimab for indications they were enrolling in their territory and is evaluating future development plans in other indications.</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2018 Zai Lab Agreement, Zai Lab paid the Company an upfront payment of $25.0 million ($22.5 million after netting value-added tax withholdings of $2.5 million). Assuming successful development and commercialization of margetuximab, tebotelimab and the TRIDENT molecule, the Company could receive up to $140.0 million in development and regulatory milestones, of which the Company has earned $9.0 million through June 30, 2023. In addition, Zai Lab would pay the Company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 </w:t>
      </w:r>
    </w:p>
    <w:p>
      <w:pPr>
        <w:pStyle w:val="TextBody"/>
        <w:bidi w:val="0"/>
        <w:spacing w:lineRule="auto" w:line="288" w:before="10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the 2018 Zai Lab Agreement under the provisions of ASC 606 and identified the following material promises under the arrangement for each of the two product candidates, margetuximab and tebotelimab: (i) an exclusive license to develop and commercialize the product candidate in Zai Lab’s territory and (ii) certain research and development activities. The Company determined that each license and the related research and development activities were not distinct from one another, as the license has limited value without the performance of the research and development activities. As such, the Company determined that these promises should be combined into a single performance obligation for each product candidate. Activities related to margetuximab and tebotelimab are separate performance obligations from each other because they are capable of being distinct, and are distinct in the context of the contract. The Company evaluated the promises related to the TRIDENT molecule and determined they were immaterial in context of the contract, therefore there is no performance obligation related to that molecule. The Company determined that the net $22.5 million upfront payment from Zai Lab constituted the entirety of the consideration to be included in the transaction price as of the outset of the arrangement, and the transaction price was allocated to the two performance obligations based on their relative standalone selling price. The standalone selling price of the performance obligations was determined using the adjusted market assessment approach considering similar collaboration and license agreements.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w:t>
      </w:r>
    </w:p>
    <w:p>
      <w:pPr>
        <w:pStyle w:val="TextBody"/>
        <w:bidi w:val="0"/>
        <w:spacing w:lineRule="auto" w:line="288" w:before="100" w:after="180"/>
        <w:ind w:left="0" w:right="0" w:firstLine="720"/>
        <w:jc w:val="left"/>
        <w:rPr/>
      </w:pPr>
      <w:r>
        <w:rPr>
          <w:rFonts w:ascii="Times New Roman;sans-serif" w:hAnsi="Times New Roman;sans-serif"/>
          <w:b w:val="false"/>
          <w:color w:val="000000"/>
          <w:sz w:val="20"/>
        </w:rPr>
        <w:t xml:space="preserve">The Company re-assesses the transaction price in each reporting period and when events whose outcomes are resolved or other changes in circumstances occur. From 2020 through </w:t>
      </w:r>
      <w:r>
        <w:rPr>
          <w:rFonts w:ascii="Times New Roman;sans-serif" w:hAnsi="Times New Roman;sans-serif"/>
          <w:b w:val="false"/>
          <w:color w:val="252525"/>
          <w:sz w:val="20"/>
        </w:rPr>
        <w:t>June 30, 2023</w:t>
      </w:r>
      <w:r>
        <w:rPr>
          <w:rFonts w:ascii="Times New Roman;sans-serif" w:hAnsi="Times New Roman;sans-serif"/>
          <w:b w:val="false"/>
          <w:color w:val="000000"/>
          <w:sz w:val="20"/>
        </w:rPr>
        <w:t>, it became probable that a significant reversal of cumulative revenue would not occur for development and regulatory milestones totaling $9.0 million. Therefore, the associated consideration, $8.1 million net of value-added tax withholdings, was added to the estimated transaction price and was recognized as revenue</w:t>
      </w:r>
      <w:r>
        <w:rPr>
          <w:rFonts w:ascii="Times New Roman;sans-serif" w:hAnsi="Times New Roman;sans-serif"/>
          <w:b w:val="false"/>
          <w:color w:val="252525"/>
          <w:sz w:val="20"/>
        </w:rPr>
        <w:t>. D</w:t>
      </w:r>
      <w:r>
        <w:rPr>
          <w:rFonts w:ascii="Times New Roman;sans-serif" w:hAnsi="Times New Roman;sans-serif"/>
          <w:b w:val="false"/>
          <w:color w:val="000000"/>
          <w:sz w:val="20"/>
        </w:rPr>
        <w:t>uring the three and six months ended June 30, 2023, no revenue was recognized under the 2018 Zai Lab Agreement. During the three and six months ended June 30, 2022, the Company recognized revenue of $0.4 million and $5.4 million, respectively, under the 2018 Zai Lab Agreement.</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2021 Zai Lab Agreement</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the Company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the Company’s DART platform and binds CD3 and an undisclosed target that is expressed in multiple solid tumors (Lead Program). The second program covers a target to be designated by the Company. For these programs, Zai Lab receives commercial rights in Greater China, Japan, and Korea while the Company receives commercial rights in all other territories. Zai Lab also obtained exclusive, global licenses from the Company to develop, manufacture and commercialize two additional molecules. Zai Lab granted the Company a worldwide, royalty-free, co-exclusive license to conduct the development activities allocated to the Company. In August 2022, the Company and Zai Lab agreed to discontinue research and development of the Lead Program.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2021 Zai Lab Agreement, the Lead Program included joint research and development services by both the Company and Zai Lab. For the other programs, Zai Lab can separately negotiate and agree with the Company to perform research and development services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2021 Zai Lab Agreement, Zai Lab paid the Company an upfront payment of $25.0 million. Additionally, as part of the consideration for the rights granted to Zai Lab under the 2021 Zai Lab Agreement, the Company and Zai Lab entered into a stock purchase agreement whereby Zai Lab paid the Company approximately $30.0 million to purchase shares of the Company’s common stock, par value $0.01, at a fixed price of $31.30 which represented a $10.4 million premium over the share price on the stock purchase agreement date.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Assuming successful development and commercialization of the remaining Programs, the Company could receive up to approximately $680.0 million in development and regulatory milestones and $600.0 million in commercial milestones. In addition, Zai Lab would pay the Company tiered royalties at percentage rates of mid-single digits to low double digit teens on annual net sales of products in Zai Lab’s territory, which may be subject to specified royalty reduction pursuant to the 2021 Zai Lab Agreement. Per the terms of the 2021 Zai Lab Agreement, the Company may also receive reimbursements from Zai Lab for certain research and development costs incurred by the Company.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2021 Zai Lab Agreement under the provisions of ASC 606 and identified the following material promises: (i) exclusive licenses to develop, manufacture and commercialize the products in Zai Lab’s territory for each Program and (ii) certain research and development activities for the Lead Program. The Company determined that for the Lead Program, the license is not distinct from the related research and development activities, considering the early stage of development of the molecule and the Company’s significant expertise in this area and as such, the research and development services are expected to significantly modify and customize the license. Therefore, for the Lead Program, the license and the services were combined into a single performance obligation. Since the other programs each represent distinct intellectual property and there are no other services included in the 2021 Zai Lab Agreement related to these licenses, each license is considered to be a distinct performance obligation. As such, there are four performance obligations included in the 2021 Zai Lab Agreement.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concluded that the estimated transaction price is $40.4 million, consisting of the $25.0 million upfront payment, the $10.4 million premium related to the purchase of the Company’s common stock, and the $5.0 million estimated reimbursement by Zai Lab for research and development activities for the Lead Program. The potential milestone payments were deemed to be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will re-assess the transaction price in each reporting period and when events whose outcomes are resolved or other changes in circumstances occur.</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of $40.4 million was then allocated to the four performance obligations based on their relative standalone selling price. The standalone selling price of the performance obligations was not directly observable; therefore, the Company estimated the standalone selling price using an adjusted market assessment approach, representing the amount that the Company believes a market participant is willing to pay for the product or service. The estimate was based on consideration of observable inputs, such as values of other preclinical collaboration arrangements adjusted for the Company’s estimate of the probability of success for each Program.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related to the Lead Program license and related research and development services performance obligation was recognized over time as the research and development activities were performed. The Company utilized a cost-based input method according to costs incurred to date compared to estimated total costs. The transfer of control occurs over this time period and, in management’s judgment, is the best measure of progress towards satisfying the performance obligations. The Company recognized revenue allocated to the other programs at a point in time upon transfer of the licenses to Zai Lab in 2021. During the three and six months ended June 30, 2023, no revenue was recognized under the 2021 Zai Lab Agreement. During the three and six months ended June 30, 2022, the Company recognized revenue of $14.7 million and $15.0 million, respectively, under the 2021 Zai Lab Agreement.</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Provention Bio, Inc.</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the Company entered into a license agreement with Provention pursuant to which the Company granted Provention exclusive global rights for the purpose of developing and commercializing MGD010 (renamed PRV-3279), a CD32B x CD79B DART molecule being developed for the treatment of autoimmune indications (Provention License Agreement). As partial consideration for the Provention License Agreement, Provention granted the Company a warrant to purchase shares of Provention’s common stock at an exercise price of $2.50 per share. If Provention successfully develops, obtains regulatory approval for, and commercializes PRV-3279, the Company will be eligible to receive up to $65.0 million in development and regulatory milestones and up to $225.0 million in commercial milestones. As of June 30, 2023, the Company has not recognized any milestone revenue under this agreement. If commercialized, the Company would be eligible to receive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single-digit royalties on net sales of the product. The license agreement may be terminated by either party upon a material breach or bankruptcy of the other party, by Provention without cause upon prior notice to the Company, and by the Company in the event that Provention challenges the validity of any licensed patent under the agreement, but only with respect to the challenged patent.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Also, in 2018, the Company entered into the Provention APA pursuant to which Provention acquired the Company’s interest in teplizumab (renamed PRV-031), a monoclonal antibody being developed for the treatment of type 1 diabetes. As partial consideration for the Provention APA, Provention granted the Company a warrant to purchase shares of Provention’s common stock at an exercise price of $2.50 per share. Under the Provention APA, Provention is obligated to pay the Company contingent milestone payments totaling $170.0 million upon the achievement of certain regulatory milestones. In addition, Provention is obligated to make contingent milestone payments to the Company totaling $225.0 million upon the achievement of certain commercial milestones as well as single-digit royalties on net sales of the product. In March 2023, the Company entered into a Royalty Purchase Agreement with DRI; see Note 6, Royalty Monetization Arrangement, for additional information. The FDA approved the BLA for TZIELD in November 2022, and the Company recognized $60.0 million in revenue related to this regulatory milestone during the year ended December 31, 2022. In November 2022, the Company and Provention amended the Provention APA. Under this amendment, the milestone for first approval was split into four equal payments, all of which were received prior to June 30, 2023. Provention has also agreed to pay third-party obligations, including low single-digit royalties of which a portion is creditable against royalties payable to the Company, aggregate milestone payments of up to approximately $1.3 million and other consideration, for certain third-party intellectual property under agreements Provention assumed pursuant to the Provention APA. Further, Provention is required to pay the Company a low double-digit percentage of certain consideration to the extent it is received in connection with a future grant of rights to PRV-031 by Provention to a third party.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The Company evaluated the Provention License Agreement and Provention APA under the provisions of ASC 606 and determined that they should be accounted for as a single contract and identified two performance obligations within that contract: (i) the license of MGD010 and (ii) the title to teplizumab. The Company determined that the transaction price of the Provention agreements was $6.1 million, based on the Black-Scholes valuation of the warrants to purchase a total of 2,432,688 shares of Provention's common stock. The transaction price was allocated to each performance obligation based on the number of shares of common stock the Company is entitled to purchase under each warrant.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were excluded from the initial transaction price. Any consideration related to sales-based milestones and royalties will be recognized when the related sales occur, therefore they have also been excluded from the transaction price. The Company re-assesses the transaction price in each reporting period and when events whose outcomes are resolved or other changes in circumstances occur. The Company recognized revenue of $6.1 million when it satisfied its performance obligations under the agreements and transferred the MGD010 license and teplizumab assets to Provention in 2018. In 2019, the Company exercised the warrants on a cashless basis, and subsequently sold all the shares of Provention common stock acquired through the exercise. No shares of Provention stock were held subsequent to the sale of stock in 2019. During the year ended December 31, 2022, </w:t>
      </w:r>
      <w:r>
        <w:rPr>
          <w:rFonts w:ascii="Times New Roman;sans-serif" w:hAnsi="Times New Roman;sans-serif"/>
          <w:b w:val="false"/>
          <w:color w:val="252525"/>
          <w:sz w:val="20"/>
        </w:rPr>
        <w:t xml:space="preserve">it became probable that a significant reversal of cumulative revenue would not occur for a regulatory milestone of </w:t>
      </w:r>
      <w:r>
        <w:rPr>
          <w:rFonts w:ascii="Times New Roman;sans-serif" w:hAnsi="Times New Roman;sans-serif"/>
          <w:b w:val="false"/>
          <w:color w:val="000000"/>
          <w:sz w:val="20"/>
        </w:rPr>
        <w:t>$60.0 million</w:t>
      </w:r>
      <w:r>
        <w:rPr>
          <w:rFonts w:ascii="Times New Roman;sans-serif" w:hAnsi="Times New Roman;sans-serif"/>
          <w:b w:val="false"/>
          <w:color w:val="252525"/>
          <w:sz w:val="20"/>
        </w:rPr>
        <w:t>, t</w:t>
      </w:r>
      <w:r>
        <w:rPr>
          <w:rFonts w:ascii="Times New Roman;sans-serif" w:hAnsi="Times New Roman;sans-serif"/>
          <w:b w:val="false"/>
          <w:color w:val="000000"/>
          <w:sz w:val="20"/>
        </w:rPr>
        <w:t>herefore</w:t>
      </w:r>
      <w:r>
        <w:rPr>
          <w:color w:val="252525"/>
        </w:rPr>
        <w:t xml:space="preserve"> </w:t>
      </w:r>
      <w:r>
        <w:rPr>
          <w:rFonts w:ascii="Times New Roman;sans-serif" w:hAnsi="Times New Roman;sans-serif"/>
          <w:b w:val="false"/>
          <w:color w:val="252525"/>
          <w:sz w:val="20"/>
        </w:rPr>
        <w:t xml:space="preserve">the associated consideration was added to the estimated transaction price and was recognized as revenue.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On April 27, 2023, Sanofi completed its acquisition of Provention, which had been announced on March 12, 2023.</w:t>
      </w:r>
      <w:r>
        <w:rPr>
          <w:color w:val="000000"/>
        </w:rPr>
        <w:t xml:space="preserve"> </w:t>
      </w:r>
      <w:r>
        <w:rPr>
          <w:rFonts w:ascii="Times New Roman;sans-serif" w:hAnsi="Times New Roman;sans-serif"/>
          <w:b w:val="false"/>
          <w:color w:val="000000"/>
          <w:sz w:val="20"/>
        </w:rPr>
        <w:t xml:space="preserve">Concurrently on April 27, 2023, the Company entered into a Tripartite Agreement, as discussed in Note 6, Royalty Monetization Arrangement. Also on April 27, 2023, the Company and a subsidiary of Sanofi entered into a Side Letter Agreement which specified certain post-closing covenants and also accelerated certain payments due to the Company under the Provention APA upon the closing of the merger between Sanofi and Provention. The Company evaluated the Side Letter Agreement as a contract modification under the provisions of ASC 606. As a result, </w:t>
      </w:r>
      <w:r>
        <w:rPr>
          <w:rFonts w:ascii="Times New Roman;sans-serif" w:hAnsi="Times New Roman;sans-serif"/>
          <w:b w:val="false"/>
          <w:color w:val="252525"/>
          <w:sz w:val="20"/>
        </w:rPr>
        <w:t xml:space="preserve">during the three and six months ended June 30, 2023, the Company recognized $5.5 million related to other consideration under the </w:t>
      </w:r>
      <w:r>
        <w:rPr>
          <w:rFonts w:ascii="Times New Roman;sans-serif" w:hAnsi="Times New Roman;sans-serif"/>
          <w:b w:val="false"/>
          <w:color w:val="000000"/>
          <w:sz w:val="20"/>
        </w:rPr>
        <w:t>Provention APA</w:t>
      </w:r>
      <w:r>
        <w:rPr>
          <w:color w:val="252525"/>
        </w:rPr>
        <w:t xml:space="preserve"> </w:t>
      </w:r>
      <w:r>
        <w:rPr>
          <w:rFonts w:ascii="Times New Roman;sans-serif" w:hAnsi="Times New Roman;sans-serif"/>
          <w:b w:val="false"/>
          <w:color w:val="252525"/>
          <w:sz w:val="20"/>
        </w:rPr>
        <w:t xml:space="preserve">and Side Letter Agreement. </w:t>
      </w:r>
      <w:r>
        <w:rPr>
          <w:rFonts w:ascii="Times New Roman;sans-serif" w:hAnsi="Times New Roman;sans-serif"/>
          <w:b w:val="false"/>
          <w:color w:val="000000"/>
          <w:sz w:val="20"/>
        </w:rPr>
        <w:t xml:space="preserve">During the six months ended June 30, 2023, the Company recognized $0.3 million in royalty revenue under the Provention APA based on sales of TZIELD. </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I-Mab Biopharma</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I-Mab License Agreement</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the Company entered into a collaboration and license agreement with I-Mab Biopharma (I-Mab) to develop and commercialize enoblituzumab, an immune-optimized, anti-B7-H3 monoclonal antibody that incorporates the Company's proprietary Fc Optimization technology platform (I-Mab License Agreement). I-Mab obtained regional development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commercialization rights in mainland China, Hong Kong, Macau and Taiwan (I-Mab's territory), will lead clinical development of enoblituzumab in its territories, and will participate in global studies conducted by the Company. In August 2022, I-Mab notified the Company of its intention to terminate the I-Mab License Agreement effective February 25, 2023.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Under the terms of the I-Mab License Agreement, I-Mab paid the Company an upfront payment of $15.0 million, and $5.0 million of milestone revenue has been earned from the inception of the I-Mab License Agreement through </w:t>
      </w:r>
      <w:r>
        <w:rPr>
          <w:rFonts w:ascii="Times New Roman;sans-serif" w:hAnsi="Times New Roman;sans-serif"/>
          <w:b w:val="false"/>
          <w:color w:val="252525"/>
          <w:sz w:val="20"/>
        </w:rPr>
        <w:t xml:space="preserve">June 30, 2023.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I-Mab License Agreement under the provisions of ASC 606 and identified the following material promises under the arrangement: (i) an exclusive license to develop and commercialize enoblituzumab in I-Mab’s territories, (ii) perform certain research and development activities and (iii) conduct a chronic toxicology study. The Company determined that the license and the related research and development activities were not distinct from one another, as the license has limited value without the performance of the research and development activities. As such, the Company determined that the license and related research and development activities should be combined into a single performance obligation. The Company determined that the $15.0 million upfront payment from I-Mab constituted the entirety of the consideration to be included in the transaction price as of the outset of the arrangement for the license and related research and development activities. The Company has also determined that the chronic toxicology study is distinct from the other promises and has estimated the variable consideration of that performance obligation to be approximately $1.0 million. I-Mab paid the Company for the cost of this study as the costs were incurred and I-Mab received a one-time credit of eighty percent of the total amount of such costs against the milestone achieved during 2021. The Company reassessed the transaction price as it became probable that a significant reversal of cumulative revenue would not occur for a $5.0 million milestone ($4.5 million after netting a one-time credit as described above) related to development progress of enoblituzumab, therefore the associated consideration was added to the estimated transaction price and was recognized as revenue during 2021.</w:t>
      </w:r>
    </w:p>
    <w:p>
      <w:pPr>
        <w:pStyle w:val="TextBody"/>
        <w:bidi w:val="0"/>
        <w:spacing w:lineRule="auto" w:line="288" w:before="0" w:after="180"/>
        <w:jc w:val="left"/>
        <w:rPr/>
      </w:pPr>
      <w:r>
        <w:rPr>
          <w:color w:val="000000"/>
        </w:rPr>
        <w:t>    </w:t>
      </w:r>
      <w:r>
        <w:rPr>
          <w:rFonts w:ascii="Times New Roman;sans-serif" w:hAnsi="Times New Roman;sans-serif"/>
          <w:b w:val="false"/>
          <w:color w:val="000000"/>
          <w:sz w:val="20"/>
        </w:rPr>
        <w:t>Revenue under the I-Mab License Agreement was recognized using a cost-based input method according to costs incurred to date compared to estimated total costs. The transfer of control occurs over this time period and, in management’s judgment, was the best measure of progress towards satisfying the performance obligations. During the three and six months ended June 30, 2023,</w:t>
      </w:r>
      <w:r>
        <w:rPr>
          <w:color w:val="000000"/>
        </w:rPr>
        <w:t xml:space="preserve"> </w:t>
      </w:r>
      <w:r>
        <w:rPr>
          <w:rFonts w:ascii="Times New Roman;sans-serif" w:hAnsi="Times New Roman;sans-serif"/>
          <w:b w:val="false"/>
          <w:color w:val="000000"/>
          <w:sz w:val="20"/>
        </w:rPr>
        <w:t>the Company recognized no revenue under the I-Mab License Agreement. During the three and six months ended June 30, 2022, the Company recognized revenue of $0.6 million and $0.7 million, respectively, under the I-Mab License Agreement.</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I-Mab Clinical Supply Agreement</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the Company entered into an agreement under which the Company is to perform development and manufacturing services for I-Mab’s clinical needs of enoblituzumab (I-Mab Clinical Supply Agreement). The Company evaluated this agreement under ASC 606 and identified one performance obligation under the agreement: to perform services related to the development and manufacturing of the clinical supply of enoblituzumab.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hours expended) related to the manufacturing services. During the three and six months ended June 30, 2023, the Company recognized no revenue under the I-Mab Clinical Supply Agreement. During the three and six months ended June 30, 2022, the Company recognized revenue of $0.3 million and $1.1 million, respectively, for research and development activities performed under the I-Mab Clinical Supply Agreement.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Manufacturing Services Agreement</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Incyte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the Company entered into a Manufacturing and Clinical Supply Agreement with Incyte (Incyte Manufacturing and Clinical Supply Agreement) to provide manufacturing services to produce certain Incyte bulk drug substance over a three-year period at one of the Company’s manufacturing facilities. Under the terms of the Incyte Manufacturing and Clinical Supply Agreement, the Company received an upfront payment of $10.0 million and is eligible to receive annual fixed payments paid quarterly over the term of the contract totaling $14.4 million. The Company will also be reimbursed for materials used to manufacture product as well as other costs incurred to provide manufacturing services. In July 2022, the Company and Incyte executed an amendment to the Incyte Manufacturing and Clinical Supply Agreement which extended the term for one year and provided for an additional annual fixed payment of $5.1 million (July 2022 Incyte Amendment).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the Incyte Manufacturing and Clinical Supply Agreement and the July 2022 Incyte Amendment under the provisions of ASC 606 and identified one performance obligation to provide manufacturing runs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Incyte, as and when requested by Incyte, over the term of the contract that is part of a series of goods and services. The Company determined that the transaction price consists of the upfront payment received of $10.0 million and the annual fixed payments totaling $19.5 million. The Company will recognize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costs to fulfill a contract and will be capitalized and expensed as the materials are used to provide the manufacturing services.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During the three months ended June 30, 2023 and 2022</w:t>
      </w:r>
      <w:r>
        <w:rPr>
          <w:rFonts w:ascii="Times New Roman;sans-serif" w:hAnsi="Times New Roman;sans-serif"/>
          <w:b w:val="false"/>
          <w:color w:val="252525"/>
          <w:sz w:val="20"/>
        </w:rPr>
        <w:t xml:space="preserve">, the Company recognized revenue of </w:t>
      </w:r>
      <w:r>
        <w:rPr>
          <w:rFonts w:ascii="Times New Roman;sans-serif" w:hAnsi="Times New Roman;sans-serif"/>
          <w:b w:val="false"/>
          <w:color w:val="000000"/>
          <w:sz w:val="20"/>
        </w:rPr>
        <w:t>$1.6 million</w:t>
      </w:r>
      <w:r>
        <w:rPr>
          <w:color w:val="252525"/>
        </w:rPr>
        <w:t xml:space="preserve"> </w:t>
      </w:r>
      <w:r>
        <w:rPr>
          <w:rFonts w:ascii="Times New Roman;sans-serif" w:hAnsi="Times New Roman;sans-serif"/>
          <w:b w:val="false"/>
          <w:color w:val="252525"/>
          <w:sz w:val="20"/>
        </w:rPr>
        <w:t xml:space="preserve">and </w:t>
      </w:r>
      <w:r>
        <w:rPr>
          <w:rFonts w:ascii="Times New Roman;sans-serif" w:hAnsi="Times New Roman;sans-serif"/>
          <w:b w:val="false"/>
          <w:color w:val="000000"/>
          <w:sz w:val="20"/>
        </w:rPr>
        <w:t>$4.0 million, respectively, under the Incyte Manufacturing and Clinical Supply Agreement. During the six months ended June 30, 2023 and 2022 the Company recognized revenue of $5.2 million</w:t>
      </w:r>
      <w:r>
        <w:rPr>
          <w:color w:val="252525"/>
        </w:rPr>
        <w:t xml:space="preserve"> </w:t>
      </w:r>
      <w:r>
        <w:rPr>
          <w:rFonts w:ascii="Times New Roman;sans-serif" w:hAnsi="Times New Roman;sans-serif"/>
          <w:b w:val="false"/>
          <w:color w:val="252525"/>
          <w:sz w:val="20"/>
        </w:rPr>
        <w:t xml:space="preserve">and </w:t>
      </w:r>
      <w:r>
        <w:rPr>
          <w:rFonts w:ascii="Times New Roman;sans-serif" w:hAnsi="Times New Roman;sans-serif"/>
          <w:b w:val="false"/>
          <w:color w:val="000000"/>
          <w:sz w:val="20"/>
        </w:rPr>
        <w:t xml:space="preserve">$4.0 million, respectively, under the Incyte Manufacturing and Clinical Supply Agreement. As of June 30, 2023, $9.0 million in revenue was deferred under this agreement, $7.5 million of which was current and $1.5 million of which was non-current. </w:t>
      </w:r>
    </w:p>
    <w:p>
      <w:pPr>
        <w:pStyle w:val="TextBody"/>
        <w:bidi w:val="0"/>
        <w:spacing w:lineRule="auto" w:line="288" w:before="0" w:after="120"/>
        <w:jc w:val="left"/>
        <w:rPr>
          <w:rFonts w:ascii="Times New Roman;sans-serif" w:hAnsi="Times New Roman;sans-serif"/>
          <w:b/>
          <w:color w:val="252525"/>
          <w:sz w:val="20"/>
        </w:rPr>
      </w:pPr>
      <w:r>
        <w:rPr>
          <w:rFonts w:ascii="Times New Roman;sans-serif" w:hAnsi="Times New Roman;sans-serif"/>
          <w:b/>
          <w:color w:val="252525"/>
          <w:sz w:val="20"/>
        </w:rPr>
        <w:t>Government Agreement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NIAID Contract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contract with NIAID, effective as of September 15, 2015, to perform product development and to advance up to two DART molecules, MGD014 and MGD020 (NIAID Contract). Under the NIAID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the inception of the NIAID Contract, NIAID has exercised the two options contemplated in the original contract and executed modifications such that the total funded contract value as of June 30, 2023 is $25.1 million. In addition, the most recent modification changed the period of performance under the NIAID Contract to end in September 2024. During each of the three months ended June 30, 2023 and 2022, the Company recognized revenue under the NIAID Contract of $0.5 million. During the six months ended June 30, 2023 and 2022, the Company recognized revenue under the NIAID Contract of $0.7 million and $0.9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9. Stock-Based Compensation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2017, the Company’s stockholders approved the 2016 Employee Stock Purchase Plan (the 2016 ESPP). The 2016 ESPP is structured as a qualified employee stock purchase plan under Section 423 of the Internal Revenue Code of 1986, as amended (IRC),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six months ended June 30, 2023, 48,280 shares of common stock were purchased under the 2016 ESPP.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Incentive Plans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February 2003, the Company implemented the 2003 Equity Incentive Plan (2003 Plan), and it was amended and approved by the Company's stockholders in 2005. Stock options granted under the 2003 Plan may be either incentive stock options as defined by the IRC, or non-qualified stock options. In 2013, the 2003 Plan was terminated, and no further awards may be issued under the plan. Any shares of common stock subject to awards under the 2003 Plan that expire, terminate, or are otherwise surrendered, canceled, forfeited or repurchased without having been fully exercised, or resulting in any common stock being issued, will become available for issuance under the 2013 Equity Incentive Plan (2013 Plan), up to a specified number of shares.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2013, the Company implemented the 2013 Plan. The 2013 Plan provides for the grant of stock options and other stock-based awards, as well as cash-based performance awards. In May 2023, the 2013 Plan was terminated, and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 awards may be issued under the plan. If an option granted under the 2013 Plan expires or terminates for any reason without having been fully exercised, if any shares of restricted stock are forfeited, or if any award terminates, expires or is settled without all or a portion of the shares of common stock covered by the award being issued, such shares will become available for issuance under the 2023 Equity Incentive Plan (2023 Plan).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Plan was effective as of stockholder approval in May 2023. The 2023 Plan provides for grants of stock options and other stock-based awards, as well as cash-based performance awards. Initially, the maximum number of shares of the Company’s common stock that may be issued under the 2023 Plan will not exceed 4,850,000 shares.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stock-based compensation expense was recognized for the periods indicated (in thousands):</w:t>
      </w:r>
    </w:p>
    <w:tbl>
      <w:tblPr>
        <w:tblW w:w="8824" w:type="dxa"/>
        <w:jc w:val="left"/>
        <w:tblInd w:w="0" w:type="dxa"/>
        <w:tblLayout w:type="fixed"/>
        <w:tblCellMar>
          <w:top w:w="28" w:type="dxa"/>
          <w:left w:w="28" w:type="dxa"/>
          <w:bottom w:w="28" w:type="dxa"/>
          <w:right w:w="28" w:type="dxa"/>
        </w:tblCellMar>
      </w:tblPr>
      <w:tblGrid>
        <w:gridCol w:w="1251"/>
        <w:gridCol w:w="1096"/>
        <w:gridCol w:w="1102"/>
        <w:gridCol w:w="251"/>
        <w:gridCol w:w="735"/>
        <w:gridCol w:w="130"/>
        <w:gridCol w:w="130"/>
        <w:gridCol w:w="130"/>
        <w:gridCol w:w="130"/>
        <w:gridCol w:w="251"/>
        <w:gridCol w:w="735"/>
        <w:gridCol w:w="130"/>
        <w:gridCol w:w="109"/>
        <w:gridCol w:w="109"/>
        <w:gridCol w:w="109"/>
        <w:gridCol w:w="218"/>
        <w:gridCol w:w="637"/>
        <w:gridCol w:w="112"/>
        <w:gridCol w:w="112"/>
        <w:gridCol w:w="112"/>
        <w:gridCol w:w="112"/>
        <w:gridCol w:w="218"/>
        <w:gridCol w:w="746"/>
        <w:gridCol w:w="159"/>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options</w:t>
      </w:r>
    </w:p>
    <w:p>
      <w:pPr>
        <w:pStyle w:val="TextBody"/>
        <w:bidi w:val="0"/>
        <w:spacing w:lineRule="auto" w:line="288" w:before="30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award is estimated on the date of grant using the Black-Scholes option-pricing model using the assumptions in the following table for options issued during the period indicated:</w:t>
      </w:r>
    </w:p>
    <w:tbl>
      <w:tblPr>
        <w:tblW w:w="5514" w:type="dxa"/>
        <w:jc w:val="left"/>
        <w:tblInd w:w="0" w:type="dxa"/>
        <w:tblLayout w:type="fixed"/>
        <w:tblCellMar>
          <w:top w:w="28" w:type="dxa"/>
          <w:left w:w="28" w:type="dxa"/>
          <w:bottom w:w="28" w:type="dxa"/>
          <w:right w:w="28" w:type="dxa"/>
        </w:tblCellMar>
      </w:tblPr>
      <w:tblGrid>
        <w:gridCol w:w="772"/>
        <w:gridCol w:w="678"/>
        <w:gridCol w:w="680"/>
        <w:gridCol w:w="420"/>
        <w:gridCol w:w="420"/>
        <w:gridCol w:w="420"/>
        <w:gridCol w:w="258"/>
        <w:gridCol w:w="258"/>
        <w:gridCol w:w="258"/>
        <w:gridCol w:w="396"/>
        <w:gridCol w:w="396"/>
        <w:gridCol w:w="558"/>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94.4% -94.9%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87.8% - 89.7%</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- 3.9%</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 - 3.6%</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5.88 years</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5.95 years</w:t>
            </w:r>
          </w:p>
        </w:tc>
      </w:tr>
    </w:tbl>
    <w:p>
      <w:pPr>
        <w:pStyle w:val="TextBody"/>
        <w:bidi w:val="0"/>
        <w:spacing w:lineRule="auto" w:line="288" w:before="12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during the six months ended June 30, 2023:</w:t>
      </w:r>
    </w:p>
    <w:tbl>
      <w:tblPr>
        <w:tblW w:w="9474" w:type="dxa"/>
        <w:jc w:val="left"/>
        <w:tblInd w:w="0" w:type="dxa"/>
        <w:tblLayout w:type="fixed"/>
        <w:tblCellMar>
          <w:top w:w="28" w:type="dxa"/>
          <w:left w:w="28" w:type="dxa"/>
          <w:bottom w:w="28" w:type="dxa"/>
          <w:right w:w="28" w:type="dxa"/>
        </w:tblCellMar>
      </w:tblPr>
      <w:tblGrid>
        <w:gridCol w:w="1010"/>
        <w:gridCol w:w="889"/>
        <w:gridCol w:w="891"/>
        <w:gridCol w:w="540"/>
        <w:gridCol w:w="541"/>
        <w:gridCol w:w="226"/>
        <w:gridCol w:w="109"/>
        <w:gridCol w:w="109"/>
        <w:gridCol w:w="109"/>
        <w:gridCol w:w="301"/>
        <w:gridCol w:w="878"/>
        <w:gridCol w:w="156"/>
        <w:gridCol w:w="109"/>
        <w:gridCol w:w="109"/>
        <w:gridCol w:w="109"/>
        <w:gridCol w:w="565"/>
        <w:gridCol w:w="565"/>
        <w:gridCol w:w="566"/>
        <w:gridCol w:w="109"/>
        <w:gridCol w:w="109"/>
        <w:gridCol w:w="109"/>
        <w:gridCol w:w="292"/>
        <w:gridCol w:w="857"/>
        <w:gridCol w:w="21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br/>
              <w:t> (in thousands)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10,098,929 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3,177,827 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(202,720)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June 30,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12,860,611 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w:t>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7,295,883 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11,839,534 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grant-date fair value of options granted during the six months ended June 30, 2023 and 2022 was $3.78 and $6.96, respectively. The total intrinsic value of options exercised during the six months ended June 30, 2023 was de minimis and the total intrinsic value of options exercised during the six months ended June 30, 2022 was approximately $0.5 million. The total cash received for options exercised during the six months ended June 30, 2023 was de minimis and the total cash received for options exercised during the six months ended June 30, 2022 was $0.3 million. The total fair value of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vested in the six months ended June 30, 2023 and 2022 was approximately $3.5 million and $9.4 million, respectively. As of June 30, 2023, the total unrecognized compensation expense related to unvested stock options, net of related forfeiture estimates, was approximately $26.2 million, which the Company expects to recognize over a weighted-average period of approximately 1.4 years.</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The Company awards restricted stock units (RSUs) to employees. RSUs are valued based on the closing price of the Company’s common stock on the date of the grant. The fair value of RSUs is recognized and amortized on a straight-line basis over the requisite service period of the award</w:t>
      </w:r>
      <w:r>
        <w:rPr>
          <w:rFonts w:ascii="Calibri;sans-serif" w:hAnsi="Calibri;sans-serif"/>
          <w:b w:val="false"/>
          <w:color w:val="252525"/>
          <w:sz w:val="20"/>
        </w:rPr>
        <w:t>.</w:t>
      </w:r>
      <w:r>
        <w:rPr>
          <w:color w:val="000000"/>
        </w:rPr>
        <w:t xml:space="preserve">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 during the six months ended June 30, 2023:</w:t>
      </w:r>
    </w:p>
    <w:tbl>
      <w:tblPr>
        <w:tblW w:w="6223" w:type="dxa"/>
        <w:jc w:val="left"/>
        <w:tblInd w:w="0" w:type="dxa"/>
        <w:tblLayout w:type="fixed"/>
        <w:tblCellMar>
          <w:top w:w="28" w:type="dxa"/>
          <w:left w:w="28" w:type="dxa"/>
          <w:bottom w:w="28" w:type="dxa"/>
          <w:right w:w="28" w:type="dxa"/>
        </w:tblCellMar>
      </w:tblPr>
      <w:tblGrid>
        <w:gridCol w:w="1010"/>
        <w:gridCol w:w="889"/>
        <w:gridCol w:w="891"/>
        <w:gridCol w:w="413"/>
        <w:gridCol w:w="413"/>
        <w:gridCol w:w="226"/>
        <w:gridCol w:w="109"/>
        <w:gridCol w:w="109"/>
        <w:gridCol w:w="109"/>
        <w:gridCol w:w="494"/>
        <w:gridCol w:w="1198"/>
        <w:gridCol w:w="362"/>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Grant Date Fair 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415,084 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June 30,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998,082 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there was $3.4 million of total unrecognized compensation cost related to unvested RSUs, which the Company expects to recognize over a remaining weighted-average period of approximately 1.4 years.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10. In-licensing arrangement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the Company entered into a non-exclusive license agreement with Synaffix B.V.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Finally, pursuant to the terms of this license agreement, as amended, upon commencement of commercial sales of any products developed from these targets, the Company would be required to pay Synaffix tiered royalties in the low</w:t>
        <w:noBreakHyphen/>
        <w:t>single digit percentages on net sales of the respective products. The Company may terminate this agreement at any time with 30 days’ notice to Synaffix. Amounts paid to Synaffix under this agreement are recorded as research and development expense in the consolidated statement of operations. No expense was incurred under this agreement during the three months ended June 30, 2023 or 2022. The Company incurred $1.7 million and $1.0 million in expense under this agreement during the six months ended June 30, 2023 and 2022, respectively.</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11 . Net Income (Loss) Per Share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income (loss) per common share is determined by dividing income (loss) attributable to common stockholders by the weighted-average number of common shares outstanding during the period, without consideration of common stock equivalents. Diluted income (loss) per share is computed by dividing the income (loss) attributable to common stockholders by the weighted-average number of common stock equivalents outstanding for the period. The treasury stock method is used to determine the dilutive effect of the Company's stock option grants and RSUs. 12,561,277 and 12,236,505 stock options and RSUs (common stock equivalents) were excluded from the calculation of diluted income per share for the three and six months ended June 30, 2023, respectively, because their inclusion would have been anti-dilutive.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income (loss) per common share is computed as follows (in thousands except share and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7"/>
        <w:gridCol w:w="1382"/>
        <w:gridCol w:w="1390"/>
        <w:gridCol w:w="244"/>
        <w:gridCol w:w="837"/>
        <w:gridCol w:w="113"/>
        <w:gridCol w:w="113"/>
        <w:gridCol w:w="113"/>
        <w:gridCol w:w="113"/>
        <w:gridCol w:w="240"/>
        <w:gridCol w:w="841"/>
        <w:gridCol w:w="113"/>
        <w:gridCol w:w="109"/>
        <w:gridCol w:w="109"/>
        <w:gridCol w:w="109"/>
        <w:gridCol w:w="244"/>
        <w:gridCol w:w="837"/>
        <w:gridCol w:w="109"/>
        <w:gridCol w:w="109"/>
        <w:gridCol w:w="109"/>
        <w:gridCol w:w="109"/>
        <w:gridCol w:w="211"/>
        <w:gridCol w:w="894"/>
        <w:gridCol w:w="160"/>
      </w:tblGrid>
      <w:tr>
        <w:trPr/>
        <w:tc>
          <w:tcPr>
            <w:tcW w:w="159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used for calculation of basic and diluted EPS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(107,747)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61,880,096 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61,384,943 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61,354,721 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62,261,646 </w:t>
            </w:r>
          </w:p>
        </w:tc>
        <w:tc>
          <w:tcPr>
            <w:tcW w:w="1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61,384,943 </w:t>
            </w:r>
          </w:p>
        </w:tc>
        <w:tc>
          <w:tcPr>
            <w:tcW w:w="1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62,030,710 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61,354,721 </w:t>
            </w:r>
          </w:p>
        </w:tc>
        <w:tc>
          <w:tcPr>
            <w:tcW w:w="1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diluted</w:t>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12. Subsequent Event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28, 2023, Sanofi reported that the PROTECT placebo-controlled study investigating TZIELD in patients with newly diagnosed stage 3 Type 1 diabetes met its primary endpoint, having demonstrated preservation of beta cell function. This positive study outcome triggered payment of a $50.0 million milestone to the Company by Sanofi, pursuant to a March 2023 agreement originally between the Company and DRI, the royalty interest and milestone payment obligations of which were sold to a subsidiary of Sanofi in April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8"/>
        <w:gridCol w:w="261"/>
        <w:gridCol w:w="264"/>
        <w:gridCol w:w="2743"/>
        <w:gridCol w:w="2743"/>
        <w:gridCol w:w="3896"/>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9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tc>
      </w:tr>
    </w:tbl>
    <w:p>
      <w:pPr>
        <w:pStyle w:val="TextBody"/>
        <w:bidi w:val="0"/>
        <w:spacing w:lineRule="auto" w:line="288" w:before="0" w:after="180"/>
        <w:ind w:left="0" w:right="0" w:firstLine="900"/>
        <w:jc w:val="left"/>
        <w:rPr/>
      </w:pPr>
      <w:r>
        <w:rPr>
          <w:rFonts w:ascii="Times New Roman;sans-serif" w:hAnsi="Times New Roman;sans-serif"/>
          <w:b w:val="false"/>
          <w:i/>
          <w:color w:val="000000"/>
          <w:sz w:val="20"/>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year ended December 31, 2022.</w:t>
      </w:r>
      <w:r>
        <w:rPr>
          <w:color w:val="000000"/>
        </w:rPr>
        <w:t> </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biopharmaceutical company focused on developing, manufacturing and commercializing innovative antibody-based therapeutics for the treatment of cancer. We have a pipeline of product candidates being evaluated in clinical trials sponsored by us or our collaborators in addition to several molecules in preclinical development. Our clinical product candidates include multiple oncology programs, many of which were created using our proprietary, antibody-based technology platforms. We believe our product candidates have the potential, if approved for marketing by regulatory authorities, to have a meaningful effect on treating patients' unmet medical needs as monotherapy or, in some cases, in combination with other therapeutic agents. To date, three products originating from our pipeline of proprietary or partnered product candidates have received U,S. Food and Drug Administration (FDA) approval. In March 2021, we and our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In November 2022, the FDA approved TZIELD™ (teplizumab-mzwv) to delay the onset of Stage 3 Type 1 Diabetes (T1D) in adult and pediatric patients aged 8 years and older with Stage 2 T1D. Teplizumab was acquired from us by Provention Bio, Inc. (Provention) in 2018, pursuant to an asset purchase agreement. In March 2023, the FDA approved ZYNYZ™ (retifanlimab-dlwr), a humanized monoclonal antibody targeting programmed death receptor-1 (PD-1). Retifanlimab was previously developed by us and licensed to Incyte Corporation (Incyte) pursuant to an exclusive global collaboration and license agreement in October 2017.</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to date have concentrated on developing our technology platforms, identifying potential product candidates, undertaking preclinical studies, conducting clinical trials, developing collaborations, operating manufacturing facilities, business planning and raising capital. We only began generating revenues from the sale of products in 2021. We have financed our operations primarily through the public and private offerings of our securities, collaborations with other biopharmaceutical companies, and government grants and contracts. Although it is difficult to predict our funding requirements, we anticipate that our cash, cash equivalents and marketable securities as of June 30, 2023, combined with anticipated and potential collaboration payments, product revenue, contract manufacturing revenue, and royalties, should enable us to fund our operations into 2026. Our expected funding requirements reflect anticipated expenditures related to the Phase 2 TAMARACK clinical trial of vobramitamab duocarmazine (vobra duo) in metastatic castration-resistant prostate cancer (mCRPC), our Phase 2 study of lorigerlimab in mCRPC as well as our other clinical and preclinical studies currently ongoing.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June 30, 2023, we had an accumulated deficit of $1.1 billion. We expect that over the next several years this deficit will increase as we continue to incur research and development expense in connection with our ongoing activities and several clinical studies.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Macroeconomic Conditions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economy, credit markets and financial markets have and may continue to experience significant volatility as a result of significant worldwide events, including adverse events involving financial institutions or the financial services industry, inflation and rising interest rates and geopolitical upheaval, such as Russia’s incursion into Ukraine (collectively, the Macroeconomic Conditions). These Macroeconomic Conditions have and may continue to create supply chain disruptions, inventory disruptions, and fluctuations in economic growth, including fluctuations in employment rates, inflation, energy prices and 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Collaborations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i/>
          <w:color w:val="000000"/>
          <w:sz w:val="20"/>
        </w:rPr>
        <w:t xml:space="preserve">Incyte. </w:t>
      </w:r>
      <w:r>
        <w:rPr>
          <w:rFonts w:ascii="Times New Roman;sans-serif" w:hAnsi="Times New Roman;sans-serif"/>
          <w:b w:val="false"/>
          <w:color w:val="000000"/>
          <w:sz w:val="20"/>
        </w:rPr>
        <w:t xml:space="preserve">We have an exclusive global collaboration and license agreement with Incyte for retifanlimab, an investigational monoclonal antibody that inhibits PD-1 (Incyte License Agreement).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$115.0 million from Incyte through June 30, 2023, including $15.0 million upon the FDA approval of ZYNYZ (retifanlimab-dlwr) in March 2023. We are eligible to receive an additional $320.0 million in development and regulatory milestones and $330.0 million in commercial milestones. We are also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Gilead</w:t>
      </w:r>
      <w:r>
        <w:rPr>
          <w:rFonts w:ascii="Times New Roman;sans-serif" w:hAnsi="Times New Roman;sans-serif"/>
          <w:b w:val="false"/>
          <w:color w:val="000000"/>
          <w:sz w:val="20"/>
        </w:rPr>
        <w:t xml:space="preserve">. In October 2022, we and Gilead Sciences, Inc. (Gilead) entered into an exclusive option and collaboration agreement (Gilead Agreement) to develop and commercialize MGD024 </w:t>
      </w:r>
      <w:r>
        <w:rPr>
          <w:rFonts w:ascii="Times New Roman;sans-serif" w:hAnsi="Times New Roman;sans-serif"/>
          <w:b w:val="false"/>
          <w:color w:val="000000"/>
          <w:sz w:val="20"/>
          <w:shd w:fill="FFFFFF" w:val="clear"/>
        </w:rPr>
        <w:t>and create bispecific cancer antibodies using our DART platform and undertake their early development under a maximum of two separate bispecific cancer target research programs. Under t</w:t>
      </w:r>
      <w:r>
        <w:rPr>
          <w:rFonts w:ascii="Times New Roman;sans-serif" w:hAnsi="Times New Roman;sans-serif"/>
          <w:b w:val="false"/>
          <w:color w:val="000000"/>
          <w:sz w:val="20"/>
        </w:rPr>
        <w:t xml:space="preserve">he Gilead Agreement, we </w:t>
      </w:r>
      <w:r>
        <w:rPr>
          <w:rFonts w:ascii="Times New Roman;sans-serif" w:hAnsi="Times New Roman;sans-serif"/>
          <w:b w:val="false"/>
          <w:color w:val="000000"/>
          <w:sz w:val="20"/>
          <w:shd w:fill="FFFFFF" w:val="clear"/>
        </w:rPr>
        <w:t>will continue the ongoing phase 1 trial for MGD024 accordi</w:t>
      </w:r>
      <w:r>
        <w:rPr>
          <w:rFonts w:ascii="Times New Roman;sans-serif" w:hAnsi="Times New Roman;sans-serif"/>
          <w:b w:val="false"/>
          <w:color w:val="000000"/>
          <w:sz w:val="20"/>
        </w:rPr>
        <w:t>ng to a development plan</w:t>
      </w:r>
      <w:r>
        <w:rPr>
          <w:rFonts w:ascii="Times New Roman;sans-serif" w:hAnsi="Times New Roman;sans-serif"/>
          <w:b w:val="false"/>
          <w:color w:val="000000"/>
          <w:sz w:val="20"/>
          <w:shd w:fill="FFFFFF" w:val="clear"/>
        </w:rPr>
        <w:t>, during which Gilead will have the right to exercise an option granted to Gilead to obtain an exclusive license to develop and commercialize MGD024 and other bispecific antibodies of ours that bind CD123 and CD3</w:t>
      </w:r>
      <w:r>
        <w:rPr>
          <w:color w:val="000000"/>
        </w:rPr>
        <w:t xml:space="preserve"> </w:t>
      </w:r>
      <w:r>
        <w:rPr>
          <w:rFonts w:ascii="Times New Roman;sans-serif" w:hAnsi="Times New Roman;sans-serif"/>
          <w:b w:val="false"/>
          <w:color w:val="000000"/>
          <w:sz w:val="20"/>
        </w:rPr>
        <w:t xml:space="preserve">(CD123 Option). The agreement also grants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Option,successfully develops and commercializes MGD024 or other CD123 products developed under the agreement, </w:t>
      </w:r>
      <w:r>
        <w:rPr>
          <w:rFonts w:ascii="Times New Roman;sans-serif" w:hAnsi="Times New Roman;sans-serif"/>
          <w:b w:val="false"/>
          <w:color w:val="000000"/>
          <w:sz w:val="20"/>
          <w:shd w:fill="FFFFFF" w:val="clear"/>
        </w:rPr>
        <w:t>and products result from the two additional research programs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Assuming exercise of the CD123 Option, w</w:t>
      </w:r>
      <w:r>
        <w:rPr>
          <w:rFonts w:ascii="Times New Roman;sans-serif" w:hAnsi="Times New Roman;sans-serif"/>
          <w:b w:val="false"/>
          <w:color w:val="000000"/>
          <w:sz w:val="20"/>
        </w:rPr>
        <w:t xml:space="preserve">e will also be eligible to receive tiered, low double-digit royalties on worldwide net sales of MGD024 </w:t>
      </w:r>
      <w:r>
        <w:rPr>
          <w:rFonts w:ascii="Times New Roman;sans-serif" w:hAnsi="Times New Roman;sans-serif"/>
          <w:b w:val="false"/>
          <w:color w:val="000000"/>
          <w:sz w:val="20"/>
          <w:shd w:fill="FFFFFF" w:val="clear"/>
        </w:rPr>
        <w:t xml:space="preserve">(or other CD123 products developed under the agreement)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 xml:space="preserve">assuming exercise of the </w:t>
      </w:r>
      <w:r>
        <w:rPr>
          <w:rFonts w:ascii="Times New Roman;sans-serif" w:hAnsi="Times New Roman;sans-serif"/>
          <w:b w:val="false"/>
          <w:color w:val="000000"/>
          <w:sz w:val="20"/>
        </w:rPr>
        <w:t>Research Program Option, a flat royalty on worldwide net sales of any products resulting from the two research programs.</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i/>
          <w:color w:val="000000"/>
          <w:sz w:val="20"/>
        </w:rPr>
        <w:t>Zai Lab</w:t>
      </w:r>
      <w:r>
        <w:rPr>
          <w:rFonts w:ascii="Times New Roman;sans-serif" w:hAnsi="Times New Roman;sans-serif"/>
          <w:b w:val="false"/>
          <w:color w:val="000000"/>
          <w:sz w:val="20"/>
        </w:rPr>
        <w:t>. In 2018, we entered into a collaboration and license agreement with Zai Lab Limited (Zai Lab) under which Zai Lab obtained 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in its territory. Zai Lab has informed us that they have decided to discontinue development of tebotelimab for indications they were enrolling in their territory and is evaluating future development plans in other indications.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2018 Zai Lab Agreement, Zai Lab paid us an upfront payment of $25.0 million less foreign withholding tax of $2.5 million. Assuming successful development and commercialization of margetuximab, tebotelimab and the TRIDENT molecule, we could receive up to $140.0 million in development and regulatory milestones, of which we have earned $9.0 million through June 30, 2023. In addition, Zai Lab would pay us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our DART platform and binds CD3 and an undisclosed target that is expressed in multiple solid tumors (Lead Program). The second program covers a target to be designated by us. For these programs, Zai Lab receives commercial rights in Greater China, Japan, and Korea while we receive commercial rights in all other territories. Zai Lab also obtained exclusive, global licenses from us to develop, manufacture and commercialize two additional molecules (license-only programs). Zai Lab granted us a worldwide, royalty-free, co-exclusive license to conduct the development activities allocated to us. In August 2022, we and Zai Lab agreed to discontinue research and development of the Lead Program. </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2021 Zai Lab Agreement, the Lead Program included joint research and development services by both us and Zai Lab. For the other programs, Zai Lab can separately negotiate and agree with us to perform research and development services in the future.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2021 Zai Lab Agreement, Zai Lab paid us an upfront payment of $25.0 million. Additionally, as part of the consideration for the rights granted to Zai Lab under the 2021 Zai Lab Agreement, we and Zai Lab entered into a separate stock purchase agreement (Stock Purchase Agreement) whereby Zai Lab paid us approximately $30.0 million to purchase 958,467 newly issued shares of our common stock, par value $0.01, at a fixed price of $31.30 which represented a $10.4 million premium over the share price on the Stock Purchase Agreement date.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Assuming successful development and commercialization of the remaining Programs under the 2021 Zai Lab Agreement, we could receive up to $1.3 billion in development, regulatory and commercial milestones. In addition, Zai Lab would pay us tiered royalties at percentage rates of mid-single digits to low double digit teens on annual net sales of products in Zai Lab's territory, subject to specified royalty reduction pursuant to the 2021 Zai Lab Agreement. Per the terms of the 2021 Zai Lab Agreement, we may also receive reimbursements from Zai Lab for certain research and development costs incurred by us. </w:t>
      </w:r>
    </w:p>
    <w:p>
      <w:pPr>
        <w:pStyle w:val="TextBody"/>
        <w:bidi w:val="0"/>
        <w:spacing w:lineRule="auto" w:line="288" w:before="0" w:after="180"/>
        <w:ind w:left="0" w:right="0" w:hanging="360"/>
        <w:jc w:val="left"/>
        <w:rPr/>
      </w:pPr>
      <w:r>
        <w:rPr>
          <w:color w:val="252525"/>
        </w:rPr>
        <w:t>•</w:t>
      </w:r>
      <w:r>
        <w:rPr>
          <w:rFonts w:ascii="Times New Roman;sans-serif" w:hAnsi="Times New Roman;sans-serif"/>
          <w:b w:val="false"/>
          <w:i/>
          <w:color w:val="000000"/>
          <w:sz w:val="20"/>
        </w:rPr>
        <w:t>Provention</w:t>
      </w:r>
      <w:r>
        <w:rPr>
          <w:rFonts w:ascii="Times New Roman;sans-serif" w:hAnsi="Times New Roman;sans-serif"/>
          <w:b w:val="false"/>
          <w:color w:val="000000"/>
          <w:sz w:val="20"/>
        </w:rPr>
        <w:t xml:space="preserve">. In 2018, we entered into an asset purchase agreement (Provention APA) pursuant to which Provention acquired our interest in teplizumab. Under the Provention APA, if Provention successfully develops, obtains regulatory approval for, and commercializes teplizumab, we will be eligible to receive up to $170.0 million in regulatory milestones, and up to $225.0 million in commercial milestones. In November 2022, the FDA approved TZIELD (teplizumab-mzwv) to delay the onset of Stage 3 T1D in adult and pediatric patients aged 8 years and older with Stage 2 T1D, and we recognized $60.0 million in milestone revenue during the year ended December 31, 2022. In November 2022 we and Provention amended the Provention APA. Under the amended Provention APA, the $60.0 million milestone for a first approval was split into four $15 million payments, all of which were received prior to June 30, 2023. Under the Provention APA we are also eligible to receive single-digit royalties on net sales of TZIELD. Provention has also agreed to pay third-party obligations, including low single-digit royalties, a portion of which is creditable against royalties payable to us, aggregate milestone payments of up to approximately $1.3 million and other consideration, for certain third-party intellectual property under agreements Provention assumed pursuant to the Provention APA. Further, Provention is required to pay us a low double-digit percentage of certain consideration to the extent it is received in connection with a grant of rights by Provention to a third party.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we sold our single-digit royalty interest in TZIELD (Royalty Interest) to a wholly-owned subsidiary of DRI Healthcare Trust (DRI) and received a $100.0 million payment from DRI. We retain our other economic interests related to TZIELD, including future potential regulatory and commercial milestones. We retain the right to receive a 50% share of the royalty on global net sales above a certain annual threshold (Retained Interest). In addition, we are eligible to receive up to $50.0 million upon the occurrence of pre-specified events tied to the advancement of TZIELD for the treatment of newly diagnosed T1D and are also eligible to receive an additional $50.0 million if TZIELD achieves a certain level of net sales. In April 2023, we entered into an agreement (the Tripartite Agreement) with DRI and a subsidiary of Sanofi S.A. (Sanofi), whereby we consented to the sale of DRI’s Royalty Interest and the related milestone payment obligations to Sanofi. The Royalty Interest will be paid directly to Sanofi by Provention, therefore we no longer have any obligation to pay DRI. There was no modification to our Retained Interest in the Tripartite Agreement. </w:t>
      </w:r>
    </w:p>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critical accounting estimates are policies which require the most significant judgments and estimates in the preparation of our consolidated financial statements. A summary of our critical accounting estimates is presented in Part II, Item 7, "Management's Discussion and Analysis of Financial Condition and Results of Operations" of our Annual Report on Form 10-K for the year ended December 31, 2022. The following accounting policies and estimates were deemed critical during the six months ended June 30, 2023: </w:t>
      </w:r>
    </w:p>
    <w:p>
      <w:pPr>
        <w:pStyle w:val="TextBody"/>
        <w:bidi w:val="0"/>
        <w:spacing w:before="0" w:after="0"/>
        <w:ind w:left="0" w:right="0" w:firstLine="7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Liability related to the sale of future royalties and related interest expense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liability related to future royalties is presented net of unamortized issuance costs on our consolidated balance sheets. Interest expense on the liability related to future royalties is recognized using the effective interest rate method over the life of the arrangement. We calculate an effective interest rate which will amortize our related obligation to zero over the anticipated repayment period. The liability related to future royalties and the related interest expense are based on our current estimates of future royalties expected to be received over the life of the arrangement, which we determine by using internal sales projections and external information from market data sources, which are considered Level 3 inputs. We periodically assess the expected payments and to the extent our estimates of future royalty payments are greater or less than previous estimates or the estimated timing of such payments is materially different than previous estimates, we will adjust the effective interest rate and recognize related non-cash interest expense on a prospective basis. </w:t>
      </w:r>
    </w:p>
    <w:p>
      <w:pPr>
        <w:pStyle w:val="TextBody"/>
        <w:bidi w:val="0"/>
        <w:spacing w:lineRule="auto" w:line="26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changes in facts and circumstances, for example as a result of a modification to the existing agreements, we re-evaluate our rights and obligations and account for the change in accordance with the respective accounting guidance.</w:t>
      </w:r>
    </w:p>
    <w:p>
      <w:pPr>
        <w:pStyle w:val="TextBody"/>
        <w:bidi w:val="0"/>
        <w:spacing w:before="180" w:after="180"/>
        <w:ind w:left="0" w:right="0" w:firstLine="7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comparison of our revenue for the three and six months ended June 30, 2023 and 2022 (dollars in millions):</w:t>
      </w:r>
    </w:p>
    <w:tbl>
      <w:tblPr>
        <w:tblW w:w="10205" w:type="dxa"/>
        <w:jc w:val="left"/>
        <w:tblInd w:w="0" w:type="dxa"/>
        <w:tblLayout w:type="fixed"/>
        <w:tblCellMar>
          <w:top w:w="28" w:type="dxa"/>
          <w:left w:w="28" w:type="dxa"/>
          <w:bottom w:w="28" w:type="dxa"/>
          <w:right w:w="28" w:type="dxa"/>
        </w:tblCellMar>
      </w:tblPr>
      <w:tblGrid>
        <w:gridCol w:w="723"/>
        <w:gridCol w:w="605"/>
        <w:gridCol w:w="609"/>
        <w:gridCol w:w="196"/>
        <w:gridCol w:w="466"/>
        <w:gridCol w:w="109"/>
        <w:gridCol w:w="109"/>
        <w:gridCol w:w="109"/>
        <w:gridCol w:w="109"/>
        <w:gridCol w:w="196"/>
        <w:gridCol w:w="466"/>
        <w:gridCol w:w="109"/>
        <w:gridCol w:w="109"/>
        <w:gridCol w:w="109"/>
        <w:gridCol w:w="109"/>
        <w:gridCol w:w="196"/>
        <w:gridCol w:w="513"/>
        <w:gridCol w:w="109"/>
        <w:gridCol w:w="109"/>
        <w:gridCol w:w="109"/>
        <w:gridCol w:w="109"/>
        <w:gridCol w:w="203"/>
        <w:gridCol w:w="203"/>
        <w:gridCol w:w="256"/>
        <w:gridCol w:w="109"/>
        <w:gridCol w:w="109"/>
        <w:gridCol w:w="109"/>
        <w:gridCol w:w="196"/>
        <w:gridCol w:w="466"/>
        <w:gridCol w:w="109"/>
        <w:gridCol w:w="109"/>
        <w:gridCol w:w="109"/>
        <w:gridCol w:w="109"/>
        <w:gridCol w:w="196"/>
        <w:gridCol w:w="466"/>
        <w:gridCol w:w="109"/>
        <w:gridCol w:w="109"/>
        <w:gridCol w:w="109"/>
        <w:gridCol w:w="109"/>
        <w:gridCol w:w="196"/>
        <w:gridCol w:w="428"/>
        <w:gridCol w:w="109"/>
        <w:gridCol w:w="109"/>
        <w:gridCol w:w="109"/>
        <w:gridCol w:w="109"/>
        <w:gridCol w:w="187"/>
        <w:gridCol w:w="190"/>
        <w:gridCol w:w="305"/>
      </w:tblGrid>
      <w:tr>
        <w:trPr/>
        <w:tc>
          <w:tcPr>
            <w:tcW w:w="7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Collaborative and other agreements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manufacturing </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revenue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 agreements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18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revenue of $12.9 million for the three months ended June 30, 2023 compared to the three months ended June 30, 2022 was primarily due to:</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252525"/>
          <w:sz w:val="20"/>
        </w:rPr>
        <w:t xml:space="preserve">a decrease of $14.7 million in revenue recognized under the 2021 Zai Lab Agreement; </w:t>
      </w:r>
      <w:r>
        <w:rPr>
          <w:rFonts w:ascii="Times New Roman;sans-serif" w:hAnsi="Times New Roman;sans-serif"/>
          <w:b w:val="false"/>
          <w:color w:val="000000"/>
          <w:sz w:val="20"/>
        </w:rPr>
        <w:t>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decrease of $2.4 million recognized under the Incyte Manufacturing and Clinical Supply Agreement.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These decreases were partially offset by an increase of $5.5 million in revenue recognized under the Provention APA.</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revenue of $0.5 million for the six months ended June 30, 2023 compared to the six months ended June 30, 2022 was primarily due to:</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252525"/>
          <w:sz w:val="20"/>
        </w:rPr>
        <w:t xml:space="preserve">recognition of $15.0 million in milestone payments under the </w:t>
      </w:r>
      <w:r>
        <w:rPr>
          <w:rFonts w:ascii="Times New Roman;sans-serif" w:hAnsi="Times New Roman;sans-serif"/>
          <w:b w:val="false"/>
          <w:color w:val="000000"/>
          <w:sz w:val="20"/>
        </w:rPr>
        <w:t xml:space="preserve">Incyte License Agreement during the six months ended June 30, 2023; </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000000"/>
          <w:sz w:val="20"/>
        </w:rPr>
        <w:t>an increase of $5.5 million in revenue recognized under the Provention APA;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increase of $1.2 million recognized under the Incyte Manufacturing and Clinical Supply Agreement.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These increases were partially offset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252525"/>
          <w:sz w:val="20"/>
        </w:rPr>
        <w:t>a decrease of $15.0 million in revenue recognized under the 2021 Zai Lab Agreement;</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252525"/>
          <w:sz w:val="20"/>
        </w:rPr>
        <w:t xml:space="preserve">a decrease of $5.4 million in revenue recognized under the </w:t>
      </w:r>
      <w:r>
        <w:rPr>
          <w:rFonts w:ascii="Times New Roman;sans-serif" w:hAnsi="Times New Roman;sans-serif"/>
          <w:b w:val="false"/>
          <w:color w:val="000000"/>
          <w:sz w:val="20"/>
        </w:rPr>
        <w:t>2018 Zai Lab Agreement; and</w:t>
      </w:r>
    </w:p>
    <w:p>
      <w:pPr>
        <w:pStyle w:val="TextBody"/>
        <w:bidi w:val="0"/>
        <w:spacing w:lineRule="auto" w:line="288" w:before="0" w:after="240"/>
        <w:ind w:left="0" w:right="0" w:hanging="360"/>
        <w:jc w:val="left"/>
        <w:rPr/>
      </w:pPr>
      <w:r>
        <w:rPr>
          <w:color w:val="252525"/>
        </w:rPr>
        <w:t>•</w:t>
      </w:r>
      <w:r>
        <w:rPr>
          <w:rFonts w:ascii="Times New Roman;sans-serif" w:hAnsi="Times New Roman;sans-serif"/>
          <w:b w:val="false"/>
          <w:color w:val="000000"/>
          <w:sz w:val="20"/>
        </w:rPr>
        <w:t>a decrease of $1.1 million in revenue recognized under the I-Mab Clinical Supply Agreement.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Product Sales</w:t>
      </w:r>
    </w:p>
    <w:p>
      <w:pPr>
        <w:pStyle w:val="TextBody"/>
        <w:bidi w:val="0"/>
        <w:spacing w:lineRule="auto" w:line="288" w:before="0" w:after="3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 for all periods presented consists primarily of product royalties and fill finish costs. Product sold during these periods consisted of drug product that was previously charged to research and development expense prior to FDA approval of MARGENZA, which favorably impacted our gross margin. We expect cost of product sales to continue to be positively impacted as we sell through this drug product.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Manufacturing Services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manufacturing services consists of the costs to provide manufacturing services to produce certain Incyte bulk drug substance under the Incyte Manufacturing and Clinical Supply Agreement. We expect cost of manufacturing services to vary from period to period based on the agreed-upon manufacturing schedule.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comparison of our research and development expense for the three and six months ended June 30, 2023 and 2022 (dollars in millions):</w:t>
      </w:r>
    </w:p>
    <w:tbl>
      <w:tblPr>
        <w:tblW w:w="10275" w:type="dxa"/>
        <w:jc w:val="center"/>
        <w:tblInd w:w="0" w:type="dxa"/>
        <w:tblLayout w:type="fixed"/>
        <w:tblCellMar>
          <w:top w:w="28" w:type="dxa"/>
          <w:left w:w="28" w:type="dxa"/>
          <w:bottom w:w="28" w:type="dxa"/>
          <w:right w:w="28" w:type="dxa"/>
        </w:tblCellMar>
      </w:tblPr>
      <w:tblGrid>
        <w:gridCol w:w="598"/>
        <w:gridCol w:w="421"/>
        <w:gridCol w:w="422"/>
        <w:gridCol w:w="211"/>
        <w:gridCol w:w="511"/>
        <w:gridCol w:w="109"/>
        <w:gridCol w:w="109"/>
        <w:gridCol w:w="109"/>
        <w:gridCol w:w="109"/>
        <w:gridCol w:w="211"/>
        <w:gridCol w:w="511"/>
        <w:gridCol w:w="109"/>
        <w:gridCol w:w="109"/>
        <w:gridCol w:w="109"/>
        <w:gridCol w:w="109"/>
        <w:gridCol w:w="211"/>
        <w:gridCol w:w="431"/>
        <w:gridCol w:w="109"/>
        <w:gridCol w:w="109"/>
        <w:gridCol w:w="109"/>
        <w:gridCol w:w="109"/>
        <w:gridCol w:w="232"/>
        <w:gridCol w:w="234"/>
        <w:gridCol w:w="271"/>
        <w:gridCol w:w="109"/>
        <w:gridCol w:w="109"/>
        <w:gridCol w:w="109"/>
        <w:gridCol w:w="211"/>
        <w:gridCol w:w="511"/>
        <w:gridCol w:w="109"/>
        <w:gridCol w:w="109"/>
        <w:gridCol w:w="109"/>
        <w:gridCol w:w="109"/>
        <w:gridCol w:w="211"/>
        <w:gridCol w:w="616"/>
        <w:gridCol w:w="109"/>
        <w:gridCol w:w="109"/>
        <w:gridCol w:w="109"/>
        <w:gridCol w:w="109"/>
        <w:gridCol w:w="211"/>
        <w:gridCol w:w="526"/>
        <w:gridCol w:w="109"/>
        <w:gridCol w:w="109"/>
        <w:gridCol w:w="109"/>
        <w:gridCol w:w="109"/>
        <w:gridCol w:w="233"/>
        <w:gridCol w:w="233"/>
        <w:gridCol w:w="316"/>
      </w:tblGrid>
      <w:tr>
        <w:trPr/>
        <w:tc>
          <w:tcPr>
            <w:tcW w:w="5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Vobramitamab duocarmazine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Antibody-drug conjugates (ADCs) (a)</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Lorigerlimab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Margetuximab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Next-generation T-cell engagers (a)</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Tebotelimab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MGD024</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IMGC936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Enoblituzumab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DART molecules under HIV government contract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Flotetuzumab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Retifanlimab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programs (a)</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 Includes research and discovery projects, as well as early preclinical molecules and molecules not advanced to clinical development.</w:t>
      </w:r>
    </w:p>
    <w:p>
      <w:pPr>
        <w:pStyle w:val="TextBody"/>
        <w:bidi w:val="0"/>
        <w:spacing w:lineRule="auto" w:line="288" w:before="18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 for the three months ended June 30, 2023 decreased by $8.5 million compared to the three months ended June 30, 2022 primarily due to:</w:t>
      </w:r>
    </w:p>
    <w:p>
      <w:pPr>
        <w:pStyle w:val="TextBody"/>
        <w:bidi w:val="0"/>
        <w:spacing w:lineRule="auto" w:line="288" w:before="180" w:after="120"/>
        <w:ind w:left="0" w:right="0" w:hanging="360"/>
        <w:jc w:val="left"/>
        <w:rPr/>
      </w:pPr>
      <w:r>
        <w:rPr>
          <w:color w:val="252525"/>
        </w:rPr>
        <w:t>•</w:t>
      </w:r>
      <w:r>
        <w:rPr>
          <w:rFonts w:ascii="Times New Roman;sans-serif" w:hAnsi="Times New Roman;sans-serif"/>
          <w:b w:val="false"/>
          <w:color w:val="000000"/>
          <w:sz w:val="20"/>
        </w:rPr>
        <w:t>decreased development and clinical trial costs related to flotetuzumab due to discontinued development of this molecule;</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 xml:space="preserve">decreased development and clinical trial costs related to margetuximab, including expenses under the 2018 Zai Lab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manufacturing and clinical trial costs related to enoblituzumab;</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costs related to other programs;</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clinical trial costs related to IMGC936; and</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manufacturing and clinical trial costs related to tebotelimab.</w:t>
      </w:r>
    </w:p>
    <w:p>
      <w:pPr>
        <w:pStyle w:val="TextBody"/>
        <w:bidi w:val="0"/>
        <w:spacing w:lineRule="auto" w:line="27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These decreases were partially offset by:</w:t>
      </w:r>
    </w:p>
    <w:p>
      <w:pPr>
        <w:pStyle w:val="TextBody"/>
        <w:bidi w:val="0"/>
        <w:spacing w:lineRule="auto" w:line="288" w:before="180" w:after="120"/>
        <w:ind w:left="0" w:right="0" w:hanging="360"/>
        <w:jc w:val="left"/>
        <w:rPr/>
      </w:pPr>
      <w:r>
        <w:rPr>
          <w:color w:val="252525"/>
        </w:rPr>
        <w:t>•</w:t>
      </w:r>
      <w:r>
        <w:rPr>
          <w:rFonts w:ascii="Times New Roman;sans-serif" w:hAnsi="Times New Roman;sans-serif"/>
          <w:b w:val="false"/>
          <w:color w:val="000000"/>
          <w:sz w:val="20"/>
        </w:rPr>
        <w:t>increased development of non-disclosed ADC Investigational New Drug candidates;</w:t>
      </w:r>
    </w:p>
    <w:p>
      <w:pPr>
        <w:pStyle w:val="TextBody"/>
        <w:bidi w:val="0"/>
        <w:spacing w:lineRule="auto" w:line="288" w:before="180" w:after="120"/>
        <w:ind w:left="0" w:right="0" w:hanging="360"/>
        <w:jc w:val="left"/>
        <w:rPr/>
      </w:pPr>
      <w:r>
        <w:rPr>
          <w:color w:val="252525"/>
        </w:rPr>
        <w:t>•</w:t>
      </w:r>
      <w:r>
        <w:rPr>
          <w:rFonts w:ascii="Times New Roman;sans-serif" w:hAnsi="Times New Roman;sans-serif"/>
          <w:b w:val="false"/>
          <w:color w:val="252525"/>
          <w:sz w:val="20"/>
        </w:rPr>
        <w:t>increased clinical trial costs related to lorigerlimab; and</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increased vobra duo clinical trial costs.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 for the six months ended June 30, 2023 decreased by $24.1 million compared to the six months ended June 30, 2022 primarily due to:</w:t>
      </w:r>
    </w:p>
    <w:p>
      <w:pPr>
        <w:pStyle w:val="TextBody"/>
        <w:bidi w:val="0"/>
        <w:spacing w:lineRule="auto" w:line="288" w:before="180" w:after="120"/>
        <w:ind w:left="0" w:right="0" w:hanging="360"/>
        <w:jc w:val="left"/>
        <w:rPr>
          <w:color w:val="000000"/>
        </w:rPr>
      </w:pPr>
      <w:r>
        <w:rPr>
          <w:color w:val="000000"/>
        </w:rPr>
        <w:t>•    </w:t>
      </w:r>
      <w:r>
        <w:rPr>
          <w:rFonts w:ascii="Times New Roman;sans-serif" w:hAnsi="Times New Roman;sans-serif"/>
          <w:b w:val="false"/>
          <w:color w:val="000000"/>
          <w:sz w:val="20"/>
        </w:rPr>
        <w:t>decreased development and clinical trial costs related to flotetuzumab due to discontinued development of this molecule;</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manufacturing and clinical trial costs related to enoblituzumab;</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 xml:space="preserve">decreased development and clinical trial costs related to margetuximab, including expenses under the 2018 Zai Lab Agreement; </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 xml:space="preserve">decreased manufacturing related costs for vobra duo; and </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costs related to other programs.</w:t>
      </w:r>
    </w:p>
    <w:p>
      <w:pPr>
        <w:pStyle w:val="TextBody"/>
        <w:bidi w:val="0"/>
        <w:spacing w:lineRule="auto" w:line="288" w:before="18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These decreases were partially offset by:</w:t>
      </w:r>
    </w:p>
    <w:p>
      <w:pPr>
        <w:pStyle w:val="TextBody"/>
        <w:bidi w:val="0"/>
        <w:spacing w:lineRule="auto" w:line="288" w:before="180" w:after="120"/>
        <w:ind w:left="0" w:right="0" w:hanging="360"/>
        <w:jc w:val="left"/>
        <w:rPr>
          <w:color w:val="000000"/>
        </w:rPr>
      </w:pPr>
      <w:r>
        <w:rPr>
          <w:color w:val="000000"/>
        </w:rPr>
        <w:t>•    </w:t>
      </w:r>
      <w:r>
        <w:rPr>
          <w:rFonts w:ascii="Times New Roman;sans-serif" w:hAnsi="Times New Roman;sans-serif"/>
          <w:b w:val="false"/>
          <w:color w:val="000000"/>
          <w:sz w:val="20"/>
        </w:rPr>
        <w:t xml:space="preserve">increased development of non-disclosed ADC Investigational New Drug candidates; and </w:t>
      </w:r>
    </w:p>
    <w:p>
      <w:pPr>
        <w:pStyle w:val="TextBody"/>
        <w:bidi w:val="0"/>
        <w:spacing w:lineRule="auto" w:line="288" w:before="180" w:after="120"/>
        <w:ind w:left="0" w:right="0" w:hanging="360"/>
        <w:jc w:val="left"/>
        <w:rPr/>
      </w:pPr>
      <w:r>
        <w:rPr>
          <w:color w:val="000000"/>
        </w:rPr>
        <w:t>•    </w:t>
      </w:r>
      <w:r>
        <w:rPr>
          <w:rFonts w:ascii="Times New Roman;sans-serif" w:hAnsi="Times New Roman;sans-serif"/>
          <w:b w:val="false"/>
          <w:color w:val="252525"/>
          <w:sz w:val="20"/>
        </w:rPr>
        <w:t>increased clinical trial costs related to lorigerlimab.</w:t>
      </w:r>
    </w:p>
    <w:p>
      <w:pPr>
        <w:pStyle w:val="TextBody"/>
        <w:bidi w:val="0"/>
        <w:spacing w:lineRule="auto" w:line="276"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uncertainties associated with our research and development expenses for future quarters which are impacted by multiple variables, including timing of wind down activities for recently closed studies and current and expected expenditures associated with our ongoing clinical studies.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were relatively unchanged for the three months ended June 30, 2023 compared to the three months ended June 30, 2022, and decreased by $2.7 million for the six months ended June 30, 2023 compared to the six months ended June 30, 2022 primarily due to decreased MARGENZA-related selling expenses.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Gain on Royalty Monetization Arrangement</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we entered into the Tripartite Agreement with DRI and Sanofi, whereby we consented to the sale of DRI’s Royalty Interest and the related milestone payment obligations to Sanofi. The execution of the Tripartite Agreement resulted in a modification to the liability related to future royalties, and we recognized a $100.9 million gain on royalty monetization arrangement.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summary of our cash flows for the six months ended June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5890" w:type="dxa"/>
        <w:jc w:val="left"/>
        <w:tblInd w:w="0" w:type="dxa"/>
        <w:tblLayout w:type="fixed"/>
        <w:tblCellMar>
          <w:top w:w="28" w:type="dxa"/>
          <w:left w:w="28" w:type="dxa"/>
          <w:bottom w:w="28" w:type="dxa"/>
          <w:right w:w="28" w:type="dxa"/>
        </w:tblCellMar>
      </w:tblPr>
      <w:tblGrid>
        <w:gridCol w:w="1255"/>
        <w:gridCol w:w="1103"/>
        <w:gridCol w:w="1106"/>
        <w:gridCol w:w="224"/>
        <w:gridCol w:w="622"/>
        <w:gridCol w:w="115"/>
        <w:gridCol w:w="115"/>
        <w:gridCol w:w="115"/>
        <w:gridCol w:w="115"/>
        <w:gridCol w:w="224"/>
        <w:gridCol w:w="733"/>
        <w:gridCol w:w="163"/>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millions)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(0.1)</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(102.0)</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consists of our net loss adjusted for non-cash items such as depreciation and amortization expense, stock-based compensation, gain on royalty monetization arrangement and changes in working capital. Net cash used in operating activities for the six months ended June 30, 2023 benefited from $15.0 million in milestones received from Incyte under the Incyte License Agreement and $50.5 million received from Provention under the Provention APA. Net cash used in operating activities for the six months ended June 30, 2022 benefited from the $12.3 million received from Incyte under the Incyte Manufacturing and Clinical Supply Agreement and a $5.0 million milestone received under the 2018 Zai Lab Agreement.</w:t>
      </w:r>
    </w:p>
    <w:p>
      <w:pPr>
        <w:pStyle w:val="TextBody"/>
        <w:bidi w:val="0"/>
        <w:spacing w:lineRule="auto" w:line="276"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during the six months ended June 30, 2023 is primarily due to purchases of marketable securities, partially offset by maturities of marketable securities. Net cash provided by investing activities during the six months ended June 30, 2022 is primarily due to maturities of marketable securities, partially offset by purchases of marketable securities.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six months ended June 30, 2023 includes net cash proceeds from our Royalty Purchase Agreement with DRI of $99.7 million.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As a biotechnology company, we have primarily funded our operations with proceeds from the sale of our common stock in equity offerings, revenue from our multiple collaboration agreements, and contracts and grants from the National Institute of Allergy and Infectious Diseases.</w:t>
      </w:r>
      <w:r>
        <w:rPr>
          <w:color w:val="000000"/>
        </w:rPr>
        <w:t xml:space="preserve"> </w:t>
      </w:r>
      <w:r>
        <w:rPr>
          <w:rFonts w:ascii="Times New Roman;sans-serif" w:hAnsi="Times New Roman;sans-serif"/>
          <w:b w:val="false"/>
          <w:color w:val="000000"/>
          <w:sz w:val="20"/>
        </w:rPr>
        <w:t>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Times New Roman;sans-serif" w:hAnsi="Times New Roman;sans-serif"/>
          <w:b w:val="false"/>
          <w:color w:val="EE2724"/>
          <w:sz w:val="20"/>
        </w:rPr>
        <w:t xml:space="preserve">. </w:t>
      </w:r>
      <w:r>
        <w:rPr>
          <w:rFonts w:ascii="Times New Roman;sans-serif" w:hAnsi="Times New Roman;sans-serif"/>
          <w:b w:val="false"/>
          <w:color w:val="000000"/>
          <w:sz w:val="20"/>
        </w:rPr>
        <w:t xml:space="preserve">Although it is difficult to predict our funding requirements, we anticipate that our cash, cash equivalents and marketable securities as of June 30, 2023 combined with anticipated and potential collaboration payments, product revenue, contract manufacturing revenue, and royalties, should enable us to fund our operations into 2026. Our expected funding requirements reflect anticipated expenditures related to the Phase 2 TAMARACK clinical trial of vobra duo in mCRPC, our Phase 2 study of lorigerlimab in mCRPC as well as our other clinical and preclinical studies currently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252525"/>
          <w:sz w:val="20"/>
        </w:rPr>
      </w:pPr>
      <w:r>
        <w:rPr>
          <w:rFonts w:ascii="Times New Roman;sans-serif" w:hAnsi="Times New Roman;sans-serif"/>
          <w:b/>
          <w:i/>
          <w:color w:val="252525"/>
          <w:sz w:val="20"/>
        </w:rPr>
        <w:t>Material Cash Requirements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there were no significant changes to our material cash requirements, including contractual and other obligations, as presented in Part II, Item 7, Management’s Discussion and Analysis of Financial Condition and Results of Operations included in our Annual Report on Form 10-K for the fiscal year ended December 31, 2022.</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33" w:type="dxa"/>
        <w:jc w:val="left"/>
        <w:tblInd w:w="0" w:type="dxa"/>
        <w:tblLayout w:type="fixed"/>
        <w:tblCellMar>
          <w:top w:w="28" w:type="dxa"/>
          <w:left w:w="28" w:type="dxa"/>
          <w:bottom w:w="28" w:type="dxa"/>
          <w:right w:w="28" w:type="dxa"/>
        </w:tblCellMar>
      </w:tblPr>
      <w:tblGrid>
        <w:gridCol w:w="304"/>
        <w:gridCol w:w="266"/>
        <w:gridCol w:w="269"/>
        <w:gridCol w:w="2078"/>
        <w:gridCol w:w="2078"/>
        <w:gridCol w:w="2938"/>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tc>
      </w:tr>
    </w:tbl>
    <w:p>
      <w:pPr>
        <w:pStyle w:val="TextBody"/>
        <w:bidi w:val="0"/>
        <w:spacing w:lineRule="auto" w:line="288" w:before="120" w:after="120"/>
        <w:ind w:left="0" w:right="0" w:firstLine="720"/>
        <w:jc w:val="left"/>
        <w:rPr>
          <w:color w:val="000000"/>
        </w:rPr>
      </w:pPr>
      <w:r>
        <w:rPr>
          <w:color w:val="000000"/>
        </w:rPr>
        <w:t> </w:t>
      </w:r>
      <w:r>
        <w:rPr>
          <w:rFonts w:ascii="Times New Roman;sans-serif" w:hAnsi="Times New Roman;sans-serif"/>
          <w:b w:val="false"/>
          <w:color w:val="000000"/>
          <w:sz w:val="20"/>
        </w:rPr>
        <w:t xml:space="preserve">Under SEC rules and regulations, because we are considered to be a “smaller reporting company," we are not required to provide the information required by this item in this Quarterly Report on Form 10-Q. </w:t>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84" w:type="dxa"/>
        <w:jc w:val="left"/>
        <w:tblInd w:w="0" w:type="dxa"/>
        <w:tblLayout w:type="fixed"/>
        <w:tblCellMar>
          <w:top w:w="28" w:type="dxa"/>
          <w:left w:w="28" w:type="dxa"/>
          <w:bottom w:w="28" w:type="dxa"/>
          <w:right w:w="28" w:type="dxa"/>
        </w:tblCellMar>
      </w:tblPr>
      <w:tblGrid>
        <w:gridCol w:w="304"/>
        <w:gridCol w:w="266"/>
        <w:gridCol w:w="269"/>
        <w:gridCol w:w="892"/>
        <w:gridCol w:w="892"/>
        <w:gridCol w:w="1261"/>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w:t>
            </w:r>
          </w:p>
        </w:tc>
      </w:tr>
    </w:tbl>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has evaluated the effectiveness of our disclosure controls and procedures as of June 30, 2023.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June 30, 2023, our principal executive officer and principal financial officer have concluded that our disclosure controls and procedures are effective at the reasonable assurance level.</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Changes in Internal Control</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three months ended June 30, 2023 that materially affected, or are reasonably likely to materially effect,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3" w:type="dxa"/>
        <w:jc w:val="left"/>
        <w:tblInd w:w="0" w:type="dxa"/>
        <w:tblLayout w:type="fixed"/>
        <w:tblCellMar>
          <w:top w:w="28" w:type="dxa"/>
          <w:left w:w="28" w:type="dxa"/>
          <w:bottom w:w="28" w:type="dxa"/>
          <w:right w:w="28" w:type="dxa"/>
        </w:tblCellMar>
      </w:tblPr>
      <w:tblGrid>
        <w:gridCol w:w="304"/>
        <w:gridCol w:w="266"/>
        <w:gridCol w:w="269"/>
        <w:gridCol w:w="355"/>
        <w:gridCol w:w="355"/>
        <w:gridCol w:w="50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Risk Factors</w:t>
            </w:r>
          </w:p>
        </w:tc>
      </w:tr>
    </w:tbl>
    <w:p>
      <w:pPr>
        <w:pStyle w:val="TextBody"/>
        <w:bidi w:val="0"/>
        <w:spacing w:lineRule="auto" w:line="288" w:before="12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risk factors described in “Item 1A. Risk Factors” of our Annual Report on Form 10-K for the year ended December 31, 2022.</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560" w:type="dxa"/>
        <w:jc w:val="left"/>
        <w:tblInd w:w="0" w:type="dxa"/>
        <w:tblLayout w:type="fixed"/>
        <w:tblCellMar>
          <w:top w:w="28" w:type="dxa"/>
          <w:left w:w="28" w:type="dxa"/>
          <w:bottom w:w="28" w:type="dxa"/>
          <w:right w:w="28" w:type="dxa"/>
        </w:tblCellMar>
      </w:tblPr>
      <w:tblGrid>
        <w:gridCol w:w="255"/>
        <w:gridCol w:w="223"/>
        <w:gridCol w:w="226"/>
        <w:gridCol w:w="250"/>
        <w:gridCol w:w="250"/>
        <w:gridCol w:w="35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Exhibits</w:t>
            </w:r>
          </w:p>
        </w:tc>
      </w:tr>
    </w:tbl>
    <w:tbl>
      <w:tblPr>
        <w:tblW w:w="9134" w:type="dxa"/>
        <w:jc w:val="left"/>
        <w:tblInd w:w="0" w:type="dxa"/>
        <w:tblLayout w:type="fixed"/>
        <w:tblCellMar>
          <w:top w:w="28" w:type="dxa"/>
          <w:left w:w="28" w:type="dxa"/>
          <w:bottom w:w="28" w:type="dxa"/>
          <w:right w:w="28" w:type="dxa"/>
        </w:tblCellMar>
      </w:tblPr>
      <w:tblGrid>
        <w:gridCol w:w="315"/>
        <w:gridCol w:w="276"/>
        <w:gridCol w:w="279"/>
        <w:gridCol w:w="2413"/>
        <w:gridCol w:w="2413"/>
        <w:gridCol w:w="3438"/>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3438"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31.1</w:t>
            </w:r>
            <w:r>
              <w:rPr>
                <w:rFonts w:ascii="Times New Roman;sans-serif" w:hAnsi="Times New Roman;sans-serif"/>
                <w:b w:val="false"/>
                <w:color w:val="000000"/>
                <w:sz w:val="13"/>
              </w:rPr>
              <w:t>*</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3.htm">
              <w:r>
                <w:rPr>
                  <w:rStyle w:val="InternetLink"/>
                  <w:rFonts w:ascii="Times New Roman;sans-serif" w:hAnsi="Times New Roman;sans-serif"/>
                  <w:b w:val="false"/>
                  <w:color w:val="0000FF"/>
                  <w:sz w:val="20"/>
                  <w:u w:val="single"/>
                </w:rPr>
                <w:t>Rule 13a-14(a) Certification of Principal Executive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31.2</w:t>
            </w:r>
            <w:r>
              <w:rPr>
                <w:rFonts w:ascii="Times New Roman;sans-serif" w:hAnsi="Times New Roman;sans-serif"/>
                <w:b w:val="false"/>
                <w:color w:val="000000"/>
                <w:sz w:val="13"/>
              </w:rPr>
              <w:t>*</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3.htm">
              <w:r>
                <w:rPr>
                  <w:rStyle w:val="InternetLink"/>
                  <w:rFonts w:ascii="Times New Roman;sans-serif" w:hAnsi="Times New Roman;sans-serif"/>
                  <w:b w:val="false"/>
                  <w:color w:val="0000FF"/>
                  <w:sz w:val="20"/>
                  <w:u w:val="single"/>
                </w:rPr>
                <w:t>Rule 13a-14(a) Certification of Principal Financial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32.1</w:t>
            </w:r>
            <w:r>
              <w:rPr>
                <w:rFonts w:ascii="Times New Roman;sans-serif" w:hAnsi="Times New Roman;sans-serif"/>
                <w:b w:val="false"/>
                <w:color w:val="000000"/>
                <w:sz w:val="13"/>
              </w:rPr>
              <w:t>**</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3.htm">
              <w:r>
                <w:rPr>
                  <w:rStyle w:val="InternetLink"/>
                  <w:rFonts w:ascii="Times New Roman;sans-serif" w:hAnsi="Times New Roman;sans-serif"/>
                  <w:b w:val="false"/>
                  <w:color w:val="0000FF"/>
                  <w:sz w:val="20"/>
                  <w:u w:val="single"/>
                </w:rPr>
                <w:t>Section 1350 Certification of Principal Executive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32.2</w:t>
            </w:r>
            <w:r>
              <w:rPr>
                <w:rFonts w:ascii="Times New Roman;sans-serif" w:hAnsi="Times New Roman;sans-serif"/>
                <w:b w:val="false"/>
                <w:color w:val="000000"/>
                <w:sz w:val="13"/>
              </w:rPr>
              <w:t>**</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22023.htm">
              <w:r>
                <w:rPr>
                  <w:rStyle w:val="InternetLink"/>
                  <w:rFonts w:ascii="Times New Roman;sans-serif" w:hAnsi="Times New Roman;sans-serif"/>
                  <w:b w:val="false"/>
                  <w:color w:val="0000FF"/>
                  <w:sz w:val="20"/>
                  <w:u w:val="single"/>
                </w:rPr>
                <w:t>Section 1350 Certification of Principal Financial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Schema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Labels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(formatted as Inline XBRL and contained in Exhibit 101 filed herewith)</w:t>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034" w:type="dxa"/>
        <w:jc w:val="left"/>
        <w:tblInd w:w="0" w:type="dxa"/>
        <w:tblLayout w:type="fixed"/>
        <w:tblCellMar>
          <w:top w:w="28" w:type="dxa"/>
          <w:left w:w="28" w:type="dxa"/>
          <w:bottom w:w="28" w:type="dxa"/>
          <w:right w:w="28" w:type="dxa"/>
        </w:tblCellMar>
      </w:tblPr>
      <w:tblGrid>
        <w:gridCol w:w="705"/>
        <w:gridCol w:w="619"/>
        <w:gridCol w:w="625"/>
        <w:gridCol w:w="315"/>
        <w:gridCol w:w="315"/>
        <w:gridCol w:w="315"/>
        <w:gridCol w:w="1210"/>
        <w:gridCol w:w="1210"/>
        <w:gridCol w:w="1720"/>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MACROGENICS,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Koenig</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Koenig, M.D., Ph.D.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Karrels</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Karrels</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9, 2023</w:t>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Scott Koenig, certify that:</w:t>
      </w:r>
    </w:p>
    <w:p>
      <w:pPr>
        <w:pStyle w:val="TextBody"/>
        <w:bidi w:val="0"/>
        <w:spacing w:before="0" w:after="0"/>
        <w:jc w:val="left"/>
        <w:rPr/>
      </w:pPr>
      <w:r>
        <w:rPr/>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June 30, 2023 of MacroGenics, Inc.;</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Scott Koenig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Scott Koenig, M.D., Ph.D.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August 9,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James Karrels, certify that:</w:t>
      </w:r>
    </w:p>
    <w:p>
      <w:pPr>
        <w:pStyle w:val="TextBody"/>
        <w:bidi w:val="0"/>
        <w:spacing w:before="0" w:after="0"/>
        <w:jc w:val="left"/>
        <w:rPr/>
      </w:pPr>
      <w:r>
        <w:rPr/>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June 30, 2023 of MacroGenics, Inc.;</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James Karrels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Karrels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August 9,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0"/>
        </w:rPr>
        <w:t>Certification of Principal Executive Officer</w:t>
      </w:r>
      <w:r>
        <w:rPr>
          <w:color w:val="000000"/>
        </w:rPr>
        <w:t xml:space="preserve"> </w:t>
      </w:r>
    </w:p>
    <w:p>
      <w:pPr>
        <w:pStyle w:val="TextBody"/>
        <w:bidi w:val="0"/>
        <w:spacing w:lineRule="auto" w:line="288" w:before="0" w:after="0"/>
        <w:jc w:val="center"/>
        <w:rPr/>
      </w:pPr>
      <w:r>
        <w:rPr>
          <w:rFonts w:ascii="Times New Roman;sans-serif" w:hAnsi="Times New Roman;sans-serif"/>
          <w:b/>
          <w:color w:val="000000"/>
          <w:sz w:val="20"/>
        </w:rPr>
        <w:t>Pursuant to 18 U.S.C. 1350</w:t>
      </w:r>
      <w:r>
        <w:rPr>
          <w:color w:val="000000"/>
        </w:rPr>
        <w:t xml:space="preserve"> </w:t>
      </w:r>
    </w:p>
    <w:p>
      <w:pPr>
        <w:pStyle w:val="TextBody"/>
        <w:bidi w:val="0"/>
        <w:spacing w:lineRule="auto" w:line="288" w:before="0" w:after="0"/>
        <w:jc w:val="center"/>
        <w:rPr/>
      </w:pPr>
      <w:r>
        <w:rPr>
          <w:rFonts w:ascii="Times New Roman;sans-serif" w:hAnsi="Times New Roman;sans-serif"/>
          <w:b/>
          <w:color w:val="000000"/>
          <w:sz w:val="20"/>
        </w:rPr>
        <w:t>(Section 906 of the Sarbanes-Oxley Act of 2002</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Scott Koenig, President and Chief Executive Officer (principal executive officer) of MacroGenics, Inc. (the Registrant), certify, to the best of my knowledge, based upon a review of the Quarterly Report on Form 10-Q for the period ended June 30, 2023 of the Registrant (the Report), that:</w:t>
      </w:r>
    </w:p>
    <w:p>
      <w:pPr>
        <w:pStyle w:val="TextBody"/>
        <w:bidi w:val="0"/>
        <w:spacing w:before="0" w:after="0"/>
        <w:jc w:val="left"/>
        <w:rPr/>
      </w:pPr>
      <w:r>
        <w:rPr/>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of the Securities Exchange Act of 1934, as amended;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ind w:left="0" w:right="0" w:hanging="44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Scott Koenig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Scott Koenig, M.D., Ph.D.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9, 2023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Certification of Principal Financial Officer</w:t>
      </w:r>
      <w:r>
        <w:rPr>
          <w:color w:val="000000"/>
        </w:rPr>
        <w:t xml:space="preserve"> </w:t>
      </w:r>
    </w:p>
    <w:p>
      <w:pPr>
        <w:pStyle w:val="TextBody"/>
        <w:bidi w:val="0"/>
        <w:spacing w:lineRule="auto" w:line="288" w:before="0" w:after="0"/>
        <w:jc w:val="center"/>
        <w:rPr/>
      </w:pPr>
      <w:r>
        <w:rPr>
          <w:rFonts w:ascii="Times New Roman;sans-serif" w:hAnsi="Times New Roman;sans-serif"/>
          <w:b/>
          <w:color w:val="000000"/>
          <w:sz w:val="20"/>
        </w:rPr>
        <w:t>Pursuant to 18 U.S.C. 1350</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James Karrels, Senior Vice President and Chief Financial Officer (principal financial officer) of MacroGenics, Inc. (the Registrant), certify, to the best of my knowledge, based upon a review of the Quarterly Report on Form 10-Q for the period ended June 30, 2023 of the Registrant (the Report), that:</w:t>
      </w:r>
    </w:p>
    <w:p>
      <w:pPr>
        <w:pStyle w:val="TextBody"/>
        <w:bidi w:val="0"/>
        <w:spacing w:before="0" w:after="0"/>
        <w:jc w:val="left"/>
        <w:rPr/>
      </w:pPr>
      <w:r>
        <w:rPr/>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of the Securities Exchange Act of 1934, as amended;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James Karrels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James Karrels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9, 2023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18989</Words>
  <Characters>107474</Characters>
  <CharactersWithSpaces>125609</CharactersWithSpaces>
  <Paragraphs>1613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