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0"/>
        <w:jc w:val="center"/>
        <w:rPr/>
      </w:pPr>
      <w:r>
        <w:rPr>
          <w:rFonts w:ascii="Times New Roman;sans-serif" w:hAnsi="Times New Roman;sans-serif"/>
          <w:b/>
          <w:color w:val="000000"/>
          <w:sz w:val="20"/>
        </w:rPr>
        <w:t>For the transition period from           to  </w:t>
      </w: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001-36112</w: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MACROGENICS, INC.</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w:t>
      </w:r>
    </w:p>
    <w:p>
      <w:pPr>
        <w:pStyle w:val="TextBody"/>
        <w:bidi w:val="0"/>
        <w:spacing w:lineRule="auto" w:line="288" w:before="0" w:after="0"/>
        <w:jc w:val="center"/>
        <w:rPr>
          <w:color w:val="000000"/>
        </w:rPr>
      </w:pPr>
      <w:r>
        <w:rPr>
          <w:color w:val="000000"/>
        </w:rPr>
        <w:t> </w:t>
      </w:r>
    </w:p>
    <w:tbl>
      <w:tblPr>
        <w:tblW w:w="5771" w:type="dxa"/>
        <w:jc w:val="center"/>
        <w:tblInd w:w="0" w:type="dxa"/>
        <w:tblLayout w:type="fixed"/>
        <w:tblCellMar>
          <w:top w:w="28" w:type="dxa"/>
          <w:left w:w="28" w:type="dxa"/>
          <w:bottom w:w="28" w:type="dxa"/>
          <w:right w:w="28" w:type="dxa"/>
        </w:tblCellMar>
      </w:tblPr>
      <w:tblGrid>
        <w:gridCol w:w="747"/>
        <w:gridCol w:w="658"/>
        <w:gridCol w:w="665"/>
        <w:gridCol w:w="109"/>
        <w:gridCol w:w="109"/>
        <w:gridCol w:w="109"/>
        <w:gridCol w:w="986"/>
        <w:gridCol w:w="986"/>
        <w:gridCol w:w="1402"/>
      </w:tblGrid>
      <w:tr>
        <w:trPr/>
        <w:tc>
          <w:tcPr>
            <w:tcW w:w="7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06-1591613</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of organization)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9704 Medical Center Drive, Rockville, Maryland 20850</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 and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color w:val="000000"/>
          <w:sz w:val="20"/>
        </w:rPr>
        <w:t>301</w:t>
      </w:r>
      <w:r>
        <w:rPr>
          <w:rFonts w:ascii="Times New Roman;sans-serif" w:hAnsi="Times New Roman;sans-serif"/>
          <w:b w:val="false"/>
          <w:color w:val="000000"/>
          <w:sz w:val="20"/>
        </w:rPr>
        <w:t>)  </w:t>
      </w:r>
      <w:r>
        <w:rPr>
          <w:rFonts w:ascii="Times New Roman;sans-serif" w:hAnsi="Times New Roman;sans-serif"/>
          <w:b/>
          <w:color w:val="000000"/>
          <w:sz w:val="20"/>
        </w:rPr>
        <w:t>251-5172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p>
      <w:pPr>
        <w:pStyle w:val="TextBody"/>
        <w:bidi w:val="0"/>
        <w:spacing w:lineRule="auto" w:line="288" w:before="0" w:after="0"/>
        <w:jc w:val="center"/>
        <w:rPr>
          <w:color w:val="000000"/>
        </w:rPr>
      </w:pPr>
      <w:r>
        <w:rPr>
          <w:color w:val="000000"/>
        </w:rPr>
        <w:t>  </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MGNX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bidi w:val="0"/>
        <w:spacing w:lineRule="auto" w:line="288" w:before="0" w:after="0"/>
        <w:jc w:val="both"/>
        <w:rPr/>
      </w:pPr>
      <w:r>
        <w:rPr>
          <w:rFonts w:ascii="Times New Roman;sans-serif" w:hAnsi="Times New Roman;sans-serif"/>
          <w:b w:val="false"/>
          <w:color w:val="000000"/>
          <w:sz w:val="20"/>
        </w:rPr>
        <w:t xml:space="preserve">Yes  </w:t>
      </w:r>
      <w:r>
        <w:rPr>
          <w:color w:val="222222"/>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15(d) of the Exchange Act.</w:t>
      </w:r>
    </w:p>
    <w:p>
      <w:pPr>
        <w:pStyle w:val="TextBody"/>
        <w:bidi w:val="0"/>
        <w:spacing w:lineRule="auto" w:line="288" w:before="0" w:after="0"/>
        <w:jc w:val="left"/>
        <w:rPr/>
      </w:pP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2222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pPr>
      <w:r>
        <w:rPr>
          <w:rFonts w:ascii="Times New Roman;sans-serif" w:hAnsi="Times New Roman;sans-serif"/>
          <w:b w:val="false"/>
          <w:color w:val="000000"/>
          <w:sz w:val="20"/>
        </w:rPr>
        <w:t>Yes   </w:t>
      </w:r>
      <w:r>
        <w:rPr>
          <w:color w:val="222222"/>
        </w:rPr>
        <w:t>☑</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lineRule="auto" w:line="288" w:before="0" w:after="0"/>
        <w:jc w:val="both"/>
        <w:rPr/>
      </w:pPr>
      <w:r>
        <w:rPr>
          <w:rFonts w:ascii="Times New Roman;sans-serif" w:hAnsi="Times New Roman;sans-serif"/>
          <w:b w:val="false"/>
          <w:color w:val="000000"/>
          <w:sz w:val="20"/>
        </w:rPr>
        <w:t>Yes   </w:t>
      </w:r>
      <w:r>
        <w:rPr>
          <w:color w:val="222222"/>
        </w:rPr>
        <w:t>☑</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firstLine="72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w:t>
      </w:r>
    </w:p>
    <w:p>
      <w:pPr>
        <w:pStyle w:val="TextBody"/>
        <w:bidi w:val="0"/>
        <w:spacing w:lineRule="auto" w:line="288" w:before="0" w:after="0"/>
        <w:jc w:val="left"/>
        <w:rPr/>
      </w:pPr>
      <w:r>
        <w:rPr>
          <w:rFonts w:ascii="Times New Roman;sans-serif" w:hAnsi="Times New Roman;sans-serif"/>
          <w:b w:val="false"/>
          <w:color w:val="000000"/>
          <w:sz w:val="20"/>
        </w:rPr>
        <w:t xml:space="preserve">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222222"/>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0"/>
        <w:jc w:val="left"/>
        <w:rPr/>
      </w:pP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   </w:t>
      </w:r>
      <w:r>
        <w:rPr>
          <w:color w:val="2222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registrant's common stock, par value $0.01 per share, held by non-affiliates of the registrant on June 30, 2023, the last business day of the registrant's most recently completed second fiscal quarter, was approximately $322.5 million based on the closing price of the registrant's common stock on the Nasdaq Global Select Market on that date.  Exclusion of shares held by any person should not be construed to indicate that such person possesses the power, direct or indirect, to direct or cause the direction of management or policies of the registrant, or that such person is controlled by or under common control with the registrant.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on March 1, 2024 was 62,432,013.</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MacroGenics, Inc.'s definitive proxy statement for the 2024 annual meeting of stockholders are incorporated by reference into Part III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240"/>
        <w:jc w:val="center"/>
        <w:rPr/>
      </w:pPr>
      <w:r>
        <w:rPr/>
      </w:r>
    </w:p>
    <w:tbl>
      <w:tblPr>
        <w:tblW w:w="9914" w:type="dxa"/>
        <w:jc w:val="center"/>
        <w:tblInd w:w="0" w:type="dxa"/>
        <w:tblLayout w:type="fixed"/>
        <w:tblCellMar>
          <w:top w:w="28" w:type="dxa"/>
          <w:left w:w="28" w:type="dxa"/>
          <w:bottom w:w="28" w:type="dxa"/>
          <w:right w:w="28" w:type="dxa"/>
        </w:tblCellMar>
      </w:tblPr>
      <w:tblGrid>
        <w:gridCol w:w="277"/>
        <w:gridCol w:w="243"/>
        <w:gridCol w:w="245"/>
        <w:gridCol w:w="2678"/>
        <w:gridCol w:w="2678"/>
        <w:gridCol w:w="3793"/>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3">
              <w:r>
                <w:rPr>
                  <w:rStyle w:val="InternetLink"/>
                  <w:rFonts w:ascii="Times New Roman;sans-serif" w:hAnsi="Times New Roman;sans-serif"/>
                  <w:b/>
                  <w:color w:val="0000FF"/>
                  <w:sz w:val="20"/>
                  <w:u w:val="single"/>
                </w:rPr>
                <w:t>PART I</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6">
              <w:r>
                <w:rPr>
                  <w:rStyle w:val="InternetLink"/>
                  <w:rFonts w:ascii="Times New Roman;sans-serif" w:hAnsi="Times New Roman;sans-serif"/>
                  <w:b w:val="false"/>
                  <w:color w:val="0000FF"/>
                  <w:sz w:val="20"/>
                  <w:u w:val="single"/>
                </w:rPr>
                <w:t>Business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9">
              <w:r>
                <w:rPr>
                  <w:rStyle w:val="InternetLink"/>
                  <w:rFonts w:ascii="Times New Roman;sans-serif" w:hAnsi="Times New Roman;sans-serif"/>
                  <w:b w:val="false"/>
                  <w:color w:val="0000FF"/>
                  <w:sz w:val="20"/>
                  <w:u w:val="single"/>
                </w:rPr>
                <w:t>Risk Factors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22">
              <w:r>
                <w:rPr>
                  <w:rStyle w:val="InternetLink"/>
                  <w:rFonts w:ascii="Times New Roman;sans-serif" w:hAnsi="Times New Roman;sans-serif"/>
                  <w:b w:val="false"/>
                  <w:color w:val="0000FF"/>
                  <w:sz w:val="20"/>
                  <w:u w:val="single"/>
                </w:rPr>
                <w:t>Unresolved Staff Comments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822">
              <w:r>
                <w:rPr>
                  <w:rStyle w:val="InternetLink"/>
                  <w:rFonts w:ascii="Times New Roman;sans-serif" w:hAnsi="Times New Roman;sans-serif"/>
                  <w:b w:val="false"/>
                  <w:color w:val="0000FF"/>
                  <w:sz w:val="20"/>
                  <w:u w:val="single"/>
                </w:rPr>
                <w:t>Cybersecurity</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25">
              <w:r>
                <w:rPr>
                  <w:rStyle w:val="InternetLink"/>
                  <w:rFonts w:ascii="Times New Roman;sans-serif" w:hAnsi="Times New Roman;sans-serif"/>
                  <w:b w:val="false"/>
                  <w:color w:val="0000FF"/>
                  <w:sz w:val="20"/>
                  <w:u w:val="single"/>
                </w:rPr>
                <w:t>Properties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28">
              <w:r>
                <w:rPr>
                  <w:rStyle w:val="InternetLink"/>
                  <w:rFonts w:ascii="Times New Roman;sans-serif" w:hAnsi="Times New Roman;sans-serif"/>
                  <w:b w:val="false"/>
                  <w:color w:val="0000FF"/>
                  <w:sz w:val="20"/>
                  <w:u w:val="single"/>
                </w:rPr>
                <w:t>Legal Proceedings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31">
              <w:r>
                <w:rPr>
                  <w:rStyle w:val="InternetLink"/>
                  <w:rFonts w:ascii="Times New Roman;sans-serif" w:hAnsi="Times New Roman;sans-serif"/>
                  <w:b w:val="false"/>
                  <w:color w:val="0000FF"/>
                  <w:sz w:val="20"/>
                  <w:u w:val="single"/>
                </w:rPr>
                <w:t>Mine Safety Disclosures</w:t>
              </w:r>
            </w:hyperlink>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34">
              <w:r>
                <w:rPr>
                  <w:rStyle w:val="InternetLink"/>
                  <w:rFonts w:ascii="Times New Roman;sans-serif" w:hAnsi="Times New Roman;sans-serif"/>
                  <w:b/>
                  <w:color w:val="0000FF"/>
                  <w:sz w:val="20"/>
                  <w:u w:val="single"/>
                </w:rPr>
                <w:t>PART II</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40">
              <w:r>
                <w:rPr>
                  <w:rStyle w:val="InternetLink"/>
                  <w:rFonts w:ascii="Times New Roman;sans-serif" w:hAnsi="Times New Roman;sans-serif"/>
                  <w:b w:val="false"/>
                  <w:color w:val="0000FF"/>
                  <w:sz w:val="20"/>
                  <w:u w:val="single"/>
                </w:rPr>
                <w:t>Reserved</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64">
              <w:r>
                <w:rPr>
                  <w:rStyle w:val="InternetLink"/>
                  <w:rFonts w:ascii="Times New Roman;sans-serif" w:hAnsi="Times New Roman;sans-serif"/>
                  <w:b w:val="false"/>
                  <w:color w:val="0000FF"/>
                  <w:sz w:val="20"/>
                  <w:u w:val="single"/>
                </w:rPr>
                <w:t>Quantitative and Qualitative Disclosures about Market Risk</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67">
              <w:r>
                <w:rPr>
                  <w:rStyle w:val="InternetLink"/>
                  <w:rFonts w:ascii="Times New Roman;sans-serif" w:hAnsi="Times New Roman;sans-serif"/>
                  <w:b w:val="false"/>
                  <w:color w:val="0000FF"/>
                  <w:sz w:val="20"/>
                  <w:u w:val="single"/>
                </w:rPr>
                <w:t>Financial Statements and Supplementary Data</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70">
              <w:r>
                <w:rPr>
                  <w:rStyle w:val="InternetLink"/>
                  <w:rFonts w:ascii="Times New Roman;sans-serif" w:hAnsi="Times New Roman;sans-serif"/>
                  <w:b w:val="false"/>
                  <w:color w:val="0000FF"/>
                  <w:sz w:val="20"/>
                  <w:u w:val="single"/>
                </w:rPr>
                <w:t>Changes in and Disagreements with Accountants on Accounting and Financial Disclosure</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73">
              <w:r>
                <w:rPr>
                  <w:rStyle w:val="InternetLink"/>
                  <w:rFonts w:ascii="Times New Roman;sans-serif" w:hAnsi="Times New Roman;sans-serif"/>
                  <w:b w:val="false"/>
                  <w:color w:val="0000FF"/>
                  <w:sz w:val="20"/>
                  <w:u w:val="single"/>
                </w:rPr>
                <w:t>Controls and Procedures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76">
              <w:r>
                <w:rPr>
                  <w:rStyle w:val="InternetLink"/>
                  <w:rFonts w:ascii="Times New Roman;sans-serif" w:hAnsi="Times New Roman;sans-serif"/>
                  <w:b w:val="false"/>
                  <w:color w:val="0000FF"/>
                  <w:sz w:val="20"/>
                  <w:u w:val="single"/>
                </w:rPr>
                <w:t>Other Information</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91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9aaf560e98645139c7ed7af73a9eafe_79">
              <w:r>
                <w:rPr>
                  <w:rStyle w:val="InternetLink"/>
                  <w:rFonts w:ascii="Times New Roman;sans-serif" w:hAnsi="Times New Roman;sans-serif"/>
                  <w:b w:val="false"/>
                  <w:color w:val="0000FF"/>
                  <w:sz w:val="20"/>
                  <w:u w:val="single"/>
                </w:rPr>
                <w:t>Disclosure Regarding Foreign Jurisdictions that Prevent Inspections</w:t>
              </w:r>
            </w:hyperlink>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85">
              <w:r>
                <w:rPr>
                  <w:rStyle w:val="InternetLink"/>
                  <w:rFonts w:ascii="Times New Roman;sans-serif" w:hAnsi="Times New Roman;sans-serif"/>
                  <w:b/>
                  <w:color w:val="0000FF"/>
                  <w:sz w:val="20"/>
                  <w:u w:val="single"/>
                </w:rPr>
                <w:t>PART III</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88">
              <w:r>
                <w:rPr>
                  <w:rStyle w:val="InternetLink"/>
                  <w:rFonts w:ascii="Times New Roman;sans-serif" w:hAnsi="Times New Roman;sans-serif"/>
                  <w:b w:val="false"/>
                  <w:color w:val="0000FF"/>
                  <w:sz w:val="20"/>
                  <w:u w:val="single"/>
                </w:rPr>
                <w:t>Directors, Executive Officers and Corporate Governance</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91">
              <w:r>
                <w:rPr>
                  <w:rStyle w:val="InternetLink"/>
                  <w:rFonts w:ascii="Times New Roman;sans-serif" w:hAnsi="Times New Roman;sans-serif"/>
                  <w:b w:val="false"/>
                  <w:color w:val="0000FF"/>
                  <w:sz w:val="20"/>
                  <w:u w:val="single"/>
                </w:rPr>
                <w:t>Executive Compensation</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9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97">
              <w:r>
                <w:rPr>
                  <w:rStyle w:val="InternetLink"/>
                  <w:rFonts w:ascii="Times New Roman;sans-serif" w:hAnsi="Times New Roman;sans-serif"/>
                  <w:b w:val="false"/>
                  <w:color w:val="0000FF"/>
                  <w:sz w:val="20"/>
                  <w:u w:val="single"/>
                </w:rPr>
                <w:t>Certain Relationships and Related Transactions, and Director Independence</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00">
              <w:r>
                <w:rPr>
                  <w:rStyle w:val="InternetLink"/>
                  <w:rFonts w:ascii="Times New Roman;sans-serif" w:hAnsi="Times New Roman;sans-serif"/>
                  <w:b w:val="false"/>
                  <w:color w:val="0000FF"/>
                  <w:sz w:val="20"/>
                  <w:u w:val="single"/>
                </w:rPr>
                <w:t>Principal Accountant Fees and Services</w:t>
              </w:r>
            </w:hyperlink>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03">
              <w:r>
                <w:rPr>
                  <w:rStyle w:val="InternetLink"/>
                  <w:rFonts w:ascii="Times New Roman;sans-serif" w:hAnsi="Times New Roman;sans-serif"/>
                  <w:b/>
                  <w:color w:val="0000FF"/>
                  <w:sz w:val="20"/>
                  <w:u w:val="single"/>
                </w:rPr>
                <w:t>PART IV</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06">
              <w:r>
                <w:rPr>
                  <w:rStyle w:val="InternetLink"/>
                  <w:rFonts w:ascii="Times New Roman;sans-serif" w:hAnsi="Times New Roman;sans-serif"/>
                  <w:b w:val="false"/>
                  <w:color w:val="0000FF"/>
                  <w:sz w:val="20"/>
                  <w:u w:val="single"/>
                </w:rPr>
                <w:t>Exhibits and Financial Statement Schedules</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09">
              <w:r>
                <w:rPr>
                  <w:rStyle w:val="InternetLink"/>
                  <w:rFonts w:ascii="Times New Roman;sans-serif" w:hAnsi="Times New Roman;sans-serif"/>
                  <w:b w:val="false"/>
                  <w:color w:val="0000FF"/>
                  <w:sz w:val="20"/>
                  <w:u w:val="single"/>
                </w:rPr>
                <w:t>Form 10-K Summary</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12">
              <w:r>
                <w:rPr>
                  <w:rStyle w:val="InternetLink"/>
                  <w:rFonts w:ascii="Times New Roman;sans-serif" w:hAnsi="Times New Roman;sans-serif"/>
                  <w:b w:val="false"/>
                  <w:color w:val="0000FF"/>
                  <w:sz w:val="20"/>
                  <w:u w:val="single"/>
                </w:rPr>
                <w:t>Signatures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Annual Report on Form 10-K.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"Risk Factors"), could affect future performance and cause actual results to differ materially from those matters expressed in or implied by forward-looking statements: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plans to develop and commercialize our product candidates;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outcomes of our ongoing and planned clinical trials and the timing of those outcomes, including when clinical trials will be initiated or completed, enrollment of trials, and when data will be reported or regulatory filings will be made;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timing of and our ability to obtain and maintain regulatory approvals for our product candidates and the labeling for any approved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raise additional capital through the capital markets or through one or more corporate partnerships, equity offerings, debt financings, collaborations, licensing arrangements or asset sales;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expectations regarding product candidates currently being developed by our collaborators;</w:t>
      </w:r>
    </w:p>
    <w:p>
      <w:pPr>
        <w:pStyle w:val="TextBody"/>
        <w:bidi w:val="0"/>
        <w:spacing w:lineRule="auto" w:line="288" w:before="0" w:after="60"/>
        <w:ind w:left="0" w:right="0" w:hanging="360"/>
        <w:jc w:val="left"/>
        <w:rPr/>
      </w:pPr>
      <w:r>
        <w:rPr>
          <w:color w:val="000000"/>
        </w:rPr>
        <w:t xml:space="preserve">•• </w:t>
      </w:r>
      <w:r>
        <w:rPr>
          <w:rFonts w:ascii="Times New Roman;sans-serif" w:hAnsi="Times New Roman;sans-serif"/>
          <w:b w:val="false"/>
          <w:color w:val="000000"/>
          <w:sz w:val="20"/>
        </w:rPr>
        <w:t>the compromise of our or our third parties’ information technology systems and resultant costs, disruptions in our operations or related impact on our reputation;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enter into new collaborations or to identify additional products or product candidates with significant commercial potential that are consistent with our commercial objectives;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the potential benefits and future operation of our existing collaborations;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recover the investment in our manufacturing capabilities;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our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significant competition in our industry;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costs of litigation and the failure to successfully defend lawsuits and other claims against us and our expectations regarding the outcome of any regulatory or legal proceedings;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economic, political and other risks associated with our international operations;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receive research funding and achieve anticipated milestones under our collaborations;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protect and enforce patents and other intellectual property;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costs of compliance and our failure to comply with new and existing governmental regulations including, but not limited to, tax regulations;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loss or retirement of key members of management;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successfully execute our growth strategy, including any delays in our planned future growth;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failure to maintain effective internal controls;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severity and duration of the impact of a global pandemic on our business, operations, clinical programs, manufacturing, financial results and other aspects of our business.</w:t>
      </w:r>
    </w:p>
    <w:p>
      <w:pPr>
        <w:pStyle w:val="TextBody"/>
        <w:bidi w:val="0"/>
        <w:spacing w:lineRule="auto" w:line="288" w:before="0" w:after="8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76" w:before="0" w:after="0"/>
        <w:jc w:val="left"/>
        <w:rPr/>
      </w:pPr>
      <w:r>
        <w:rPr>
          <w:rFonts w:ascii="Times New Roman;sans-serif" w:hAnsi="Times New Roman;sans-serif"/>
          <w:b w:val="false"/>
          <w:i/>
          <w:color w:val="000000"/>
          <w:sz w:val="20"/>
        </w:rPr>
        <w:t>Except as otherwise indicated herein or as the context otherwise requires, references in this annual report on Form 10-K to "MacroGenics," the "company," "we," "us" and "our" refer to MacroGenics, Inc. and its consolidated subsidiaries.</w:t>
      </w:r>
      <w:r>
        <w:rPr>
          <w:color w:val="1F497D"/>
        </w:rPr>
        <w:t xml:space="preserve"> </w:t>
      </w:r>
      <w:r>
        <w:rPr>
          <w:color w:val="000000"/>
        </w:rPr>
        <w:t>“</w:t>
      </w:r>
      <w:r>
        <w:rPr>
          <w:rFonts w:ascii="Times New Roman;sans-serif" w:hAnsi="Times New Roman;sans-serif"/>
          <w:b w:val="false"/>
          <w:i/>
          <w:color w:val="000000"/>
          <w:sz w:val="20"/>
        </w:rPr>
        <w:t>MacroGenics</w:t>
      </w:r>
      <w:r>
        <w:rPr>
          <w:rFonts w:ascii="Times New Roman;sans-serif" w:hAnsi="Times New Roman;sans-serif"/>
          <w:b w:val="false"/>
          <w:i/>
          <w:color w:val="000000"/>
          <w:sz w:val="13"/>
        </w:rPr>
        <w:t>®</w:t>
      </w:r>
      <w:r>
        <w:rPr>
          <w:rFonts w:ascii="Times New Roman;sans-serif" w:hAnsi="Times New Roman;sans-serif"/>
          <w:b w:val="false"/>
          <w:i/>
          <w:color w:val="000000"/>
          <w:sz w:val="20"/>
        </w:rPr>
        <w:t>, the MacroGenics logo, DART</w:t>
      </w:r>
      <w:r>
        <w:rPr>
          <w:rFonts w:ascii="Times New Roman;sans-serif" w:hAnsi="Times New Roman;sans-serif"/>
          <w:b w:val="false"/>
          <w:i/>
          <w:color w:val="000000"/>
          <w:sz w:val="13"/>
        </w:rPr>
        <w:t>®</w:t>
      </w:r>
      <w:r>
        <w:rPr>
          <w:rFonts w:ascii="Times New Roman;sans-serif" w:hAnsi="Times New Roman;sans-serif"/>
          <w:b w:val="false"/>
          <w:i/>
          <w:color w:val="000000"/>
          <w:sz w:val="20"/>
        </w:rPr>
        <w:t>, TRIDENT</w:t>
      </w:r>
      <w:r>
        <w:rPr>
          <w:rFonts w:ascii="Times New Roman;sans-serif" w:hAnsi="Times New Roman;sans-serif"/>
          <w:b w:val="false"/>
          <w:i/>
          <w:color w:val="000000"/>
          <w:sz w:val="13"/>
        </w:rPr>
        <w:t>®</w:t>
      </w:r>
      <w:r>
        <w:rPr>
          <w:rFonts w:ascii="Times New Roman;sans-serif" w:hAnsi="Times New Roman;sans-serif"/>
          <w:b w:val="false"/>
          <w:i/>
          <w:color w:val="000000"/>
          <w:sz w:val="20"/>
        </w:rPr>
        <w:t>, MARGENZA</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and the phrases Breakthrough Biologics, Life-Changing Medicines® and Developing Breakthrough Biologics, Life-Changing Medicines</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are our trademark</w:t>
      </w:r>
      <w:r>
        <w:rPr>
          <w:rFonts w:ascii="Calibri;sans-serif" w:hAnsi="Calibri;sans-serif"/>
          <w:b w:val="false"/>
          <w:color w:val="000000"/>
          <w:sz w:val="22"/>
        </w:rPr>
        <w:t xml:space="preserve">s. </w:t>
      </w:r>
      <w:r>
        <w:rPr>
          <w:rFonts w:ascii="Times New Roman;sans-serif" w:hAnsi="Times New Roman;sans-serif"/>
          <w:b w:val="false"/>
          <w:i/>
          <w:color w:val="000000"/>
          <w:sz w:val="20"/>
        </w:rPr>
        <w:t>The other trademarks, trade names and service marks appearing in this report are the property of their respective owners.</w:t>
      </w:r>
    </w:p>
    <w:p>
      <w:pPr>
        <w:pStyle w:val="TextBody"/>
        <w:bidi w:val="0"/>
        <w:spacing w:before="0" w:after="0"/>
        <w:jc w:val="left"/>
        <w:rPr/>
      </w:pPr>
      <w:r>
        <w:rPr/>
      </w:r>
    </w:p>
    <w:p>
      <w:pPr>
        <w:pStyle w:val="TextBody"/>
        <w:bidi w:val="0"/>
        <w:spacing w:lineRule="auto" w:line="276"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discovering, developing, manufacturing and commercializing innovative antibody-based therapeutics for the treatment of cancer. We have a pipeline of product candidates designed to target either various tumor-associated antigens or immune checkpoint molecules. These candidates are being evaluated in clinical trials sponsored by us or our collaborators or are in preclinical development. Our clinical product candidates include multiple oncology programs which have either been created using our proprietary, antibody-based technology platforms or enabled through our technology licensing arrangements with other companies.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Our lead pipeline program is vobramitamab duocarmazine (vobra duo), an antibody-drug conjugate (ADC) that targets B7-H3, a molecule in the B7 family of immune regulator proteins that is widely expressed by several different tumor types. In addition, we are developing MGC026, a B7-H3-based ADC that delivers a different cytotoxic payload than that of vobra duo. Beyond these two B7-H3-targeted ADCs, we have historically pursued development of enoblituzumab, an Fc-optimized monoclonal antibody (mAb) that also targets B7-H3.</w:t>
      </w:r>
      <w:r>
        <w:rPr>
          <w:color w:val="000000"/>
        </w:rPr>
        <w:t xml:space="preserve"> </w:t>
      </w:r>
      <w:r>
        <w:rPr>
          <w:rFonts w:ascii="Times New Roman;sans-serif" w:hAnsi="Times New Roman;sans-serif"/>
          <w:b w:val="false"/>
          <w:color w:val="000000"/>
          <w:sz w:val="20"/>
        </w:rPr>
        <w:t xml:space="preserve">Enoblituzumab is currently being studied in an investigator-sponsored trial.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Beyond our B7-H3-targeted product candidates, our pipeline includes molecules that target programmed cell death protein 1 (PD-1), a protein that is important in the regulation of the immune system’s response to cancer. Our clinical pipeline includes two product candidates based on our proprietary, bispecific DART technology that co-engage both PD-1 and other checkpoint inhibitor molecules. These candidates include lorigerlimab, which targets PD-1 and CTLA-4, or cytotoxic T-lymphocyte-associated protein 4, and tebotelimab, which targets PD-1 and LAG-3, or lymphocyte-activation gene 3.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developing MGD024, a next-generation bispecific DART molecule that engages CD3 on immune effector cells to kill CD123-expressing cancer cells in certain hematological malignancies, including acute myeloid leukemia (AML), in collaboration with a partner. We are developing several preclinical molecules as well, including MGC028, an ADC that targets ADAM9, a cell surface protein over-expressed in several solid tumor types.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partners are developing or commercializing product candidates for which we retain certain economic rights. These include two products approved by the FDA: ZYNYZ® (retifanlimab-dlwr), an anti-PD-1 mAb that we out-licensed; and TZIELD® (teplizumab-mzwv), an anti-CD3 mAb that we sold to a partner.</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and our commercialization partner commenced U.S. marketing of MARGENZA (margetuximab-cmkb), a human epidermal growth factor receptor 2 (HER2) receptor antagonist mAb we developed that is indicated, in combination with chemotherapy, for the treatment of adult patients with metastatic HER2-positive breast cancer who have received two or more prior anti-HER2 regimens, at least one of which was for metastatic disease.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Finally, in addition to manufacturing antibody-based products and product candidates in our commercial-scale facility for our own needs, we provide outsourced contract development and manufacturing services to a small number of companies, including collaboration partners.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created our product candidates based on the following antibody-based technologies: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ADC platforms, which we have licensed from collaboration partners to leverage third-party proprietary linker payloads, and which link mAbs that specifically target cancer cells with cytotoxins that are designed to trigger cancer cell death.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Multi-specific platforms, which enable us to design antibodies that can bind to two (in the case of our bispecific DART product candidates) or more distinct targets, each with antibody-like specificity, with the goal of creating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 significant biological effect than binding any one of the targets as with an antibody or two or more of them separately as a combination. We have specifically utilized our DART platform to generate product candidates for use in the following modalities: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Bispecific checkpoints</w:t>
      </w:r>
      <w:r>
        <w:rPr>
          <w:rFonts w:ascii="Times New Roman;sans-serif" w:hAnsi="Times New Roman;sans-serif"/>
          <w:b w:val="false"/>
          <w:color w:val="000000"/>
          <w:sz w:val="20"/>
        </w:rPr>
        <w:t>. We leverage our proprietary DART platform to enable simultaneous targeting of multiple co-inhibitory receptors or checkpoints, such as those involved in inhibiting T-cell responses. Targeting two immunoregulatory pathways, such as two checkpoints in a single molecule, affords the clinical benefit of the combination together with the potential for improved efficacy and/or safety, as well as advantages in manufacturing, simplified clinical development and enhanced patient convenience.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Next-Generation T-Cell Engagers.</w:t>
      </w:r>
      <w:r>
        <w:rPr>
          <w:color w:val="000000"/>
        </w:rPr>
        <w:t xml:space="preserve"> </w:t>
      </w:r>
      <w:r>
        <w:rPr>
          <w:rFonts w:ascii="Times New Roman;sans-serif" w:hAnsi="Times New Roman;sans-serif"/>
          <w:b w:val="false"/>
          <w:color w:val="000000"/>
          <w:sz w:val="20"/>
        </w:rPr>
        <w:t>We have extensive experience applying our proprietary multi-specific DART and TRIDENT® platforms to develop molecules that redirect T-cell activation and killing which: (1) recognize and bind to structures expressed on a cancer cell, (2) recruit all types of cytotoxic, or cell killing, T cells, irrespective of their ability to recognize cancer cells, and (3) trigger T-cell activation, expansion, and cell-killing mechanisms to destroy a cancer cell. MacroGenics’ next-generation T-cell engagers incorporate a CD3 component that is designed to minimize cytokine-release syndrome (CRS), a potentially life-threatening toxicity, while increasing the magnitude of antitumor activity with a longer half-life to permit intermittent dosing.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Fc Optimization platform, which introduces certain mutations into the Fc domain of a mAb to modulate antibody interaction with immune effector cells to enhance the killing of cancer cells.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strategy is to be a fully-integrated biotechnology company leading in the discovery, development, manufacturing and commercialization of antibody-based biologics for the treatment of patients with cancer.</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Pipeline of Oncology Product Candidates for Which We Retain Commercial Rights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depicts the status of our diverse portfolio of oncology product candidates for which we retain commercialization or other important rights in the U.S. or more broadly:</w:t>
      </w:r>
    </w:p>
    <w:p>
      <w:pPr>
        <w:pStyle w:val="TextBody"/>
        <w:bidi w:val="0"/>
        <w:spacing w:before="0" w:after="0"/>
        <w:jc w:val="left"/>
        <w:rPr/>
      </w:pPr>
      <w:r>
        <w:rPr/>
        <w:drawing>
          <wp:inline distT="0" distB="0" distL="0" distR="0">
            <wp:extent cx="6486525" cy="2333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486525" cy="2333625"/>
                    </a:xfrm>
                    <a:prstGeom prst="rect">
                      <a:avLst/>
                    </a:prstGeom>
                  </pic:spPr>
                </pic:pic>
              </a:graphicData>
            </a:graphic>
          </wp:inline>
        </w:drawing>
      </w:r>
    </w:p>
    <w:p>
      <w:pPr>
        <w:pStyle w:val="TextBody"/>
        <w:bidi w:val="0"/>
        <w:spacing w:lineRule="auto" w:line="288" w:before="0" w:after="0"/>
        <w:ind w:left="0" w:right="0" w:hanging="360"/>
        <w:jc w:val="left"/>
        <w:rPr>
          <w:rFonts w:ascii="Times New Roman;sans-serif" w:hAnsi="Times New Roman;sans-serif"/>
          <w:b w:val="false"/>
          <w:i/>
          <w:color w:val="000000"/>
          <w:sz w:val="15"/>
        </w:rPr>
      </w:pPr>
      <w:r>
        <w:rPr>
          <w:rFonts w:ascii="Times New Roman;sans-serif" w:hAnsi="Times New Roman;sans-serif"/>
          <w:b w:val="false"/>
          <w:i/>
          <w:color w:val="000000"/>
          <w:sz w:val="15"/>
        </w:rPr>
        <w:t xml:space="preserve">(a)    The “Help Elucidate &amp; Attack Longitudinally” (HEAT) study is an investigator-sponsored trial. </w:t>
      </w:r>
    </w:p>
    <w:p>
      <w:pPr>
        <w:pStyle w:val="TextBody"/>
        <w:bidi w:val="0"/>
        <w:spacing w:lineRule="auto" w:line="288" w:before="0" w:after="0"/>
        <w:ind w:left="0" w:right="0" w:hanging="360"/>
        <w:jc w:val="left"/>
        <w:rPr>
          <w:rFonts w:ascii="Times New Roman;sans-serif" w:hAnsi="Times New Roman;sans-serif"/>
          <w:b w:val="false"/>
          <w:i/>
          <w:color w:val="000000"/>
          <w:sz w:val="15"/>
        </w:rPr>
      </w:pPr>
      <w:r>
        <w:rPr>
          <w:rFonts w:ascii="Times New Roman;sans-serif" w:hAnsi="Times New Roman;sans-serif"/>
          <w:b w:val="false"/>
          <w:i/>
          <w:color w:val="000000"/>
          <w:sz w:val="15"/>
        </w:rPr>
        <w:t>(b)    MacroGenics currently has no ongoing tebotelimab studies.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B7-H3 Programs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three clinical-stage programs, vobra duo, MGC026 and enoblituzumab, that target B7-H3 (CD276), an immune checkpoint molecule that is overexpressed in cancer tissues while showing limited expression in normal tissues. B7-H3 is a member of the B7 family of immune regulator proteins that is widely expressed by different tumor types and may play a key role in regulating the immune response to various cancers. There are no currently approved therapeutic agents directed against B7-H3.</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Vobramitamab Duocarmazine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Vobra duo (previously known as MGC018) is an investigational ADC with a cleavable peptide linker designed to deliver a DNA-alkylating duocarmycin payload to dividing and non-dividing cells on solid tumors that express B7-H3.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underlying ADC technology was licensed from Byondis B.V. (Byondis). After completing a dose escalation study in 2020, we conducted a </w:t>
      </w:r>
      <w:r>
        <w:rPr>
          <w:rFonts w:ascii="Times New Roman;sans-serif" w:hAnsi="Times New Roman;sans-serif"/>
          <w:b w:val="false"/>
          <w:color w:val="000000"/>
          <w:sz w:val="20"/>
          <w:shd w:fill="FFFFFF" w:val="clear"/>
        </w:rPr>
        <w:t>Phase 1/2 dose expansion study of v</w:t>
      </w:r>
      <w:r>
        <w:rPr>
          <w:rFonts w:ascii="Times New Roman;sans-serif" w:hAnsi="Times New Roman;sans-serif"/>
          <w:b w:val="false"/>
          <w:color w:val="000000"/>
          <w:sz w:val="20"/>
        </w:rPr>
        <w:t>obra duo</w:t>
      </w:r>
      <w:r>
        <w:rPr>
          <w:color w:val="000000"/>
          <w:shd w:fill="FFFFFF" w:val="clear"/>
        </w:rPr>
        <w:t xml:space="preserve"> </w:t>
      </w:r>
      <w:r>
        <w:rPr>
          <w:rFonts w:ascii="Times New Roman;sans-serif" w:hAnsi="Times New Roman;sans-serif"/>
          <w:b w:val="false"/>
          <w:color w:val="000000"/>
          <w:sz w:val="20"/>
          <w:shd w:fill="FFFFFF" w:val="clear"/>
        </w:rPr>
        <w:t xml:space="preserve">in patients with </w:t>
      </w:r>
      <w:r>
        <w:rPr>
          <w:rFonts w:ascii="Times New Roman;sans-serif" w:hAnsi="Times New Roman;sans-serif"/>
          <w:b w:val="false"/>
          <w:color w:val="000000"/>
          <w:sz w:val="20"/>
        </w:rPr>
        <w:t>metastatic castration-resistant prostate cancer (</w:t>
      </w:r>
      <w:r>
        <w:rPr>
          <w:rFonts w:ascii="Times New Roman;sans-serif" w:hAnsi="Times New Roman;sans-serif"/>
          <w:b w:val="false"/>
          <w:color w:val="000000"/>
          <w:sz w:val="20"/>
          <w:shd w:fill="FFFFFF" w:val="clear"/>
        </w:rPr>
        <w:t>mCRPC</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non-small cell lung cancer (</w:t>
      </w:r>
      <w:r>
        <w:rPr>
          <w:rFonts w:ascii="Times New Roman;sans-serif" w:hAnsi="Times New Roman;sans-serif"/>
          <w:b w:val="false"/>
          <w:color w:val="000000"/>
          <w:sz w:val="20"/>
          <w:shd w:fill="FFFFFF" w:val="clear"/>
        </w:rPr>
        <w:t>NSCLC</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melanoma, </w:t>
      </w:r>
      <w:r>
        <w:rPr>
          <w:rFonts w:ascii="Times New Roman;sans-serif" w:hAnsi="Times New Roman;sans-serif"/>
          <w:b w:val="false"/>
          <w:color w:val="000000"/>
          <w:sz w:val="20"/>
        </w:rPr>
        <w:t>squamous cell carcinoma of the head and neck (</w:t>
      </w:r>
      <w:r>
        <w:rPr>
          <w:rFonts w:ascii="Times New Roman;sans-serif" w:hAnsi="Times New Roman;sans-serif"/>
          <w:b w:val="false"/>
          <w:color w:val="000000"/>
          <w:sz w:val="20"/>
          <w:shd w:fill="FFFFFF" w:val="clear"/>
        </w:rPr>
        <w:t>SCCHN</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triple negative breast cancer (</w:t>
      </w:r>
      <w:r>
        <w:rPr>
          <w:rFonts w:ascii="Times New Roman;sans-serif" w:hAnsi="Times New Roman;sans-serif"/>
          <w:b w:val="false"/>
          <w:color w:val="000000"/>
          <w:sz w:val="20"/>
          <w:shd w:fill="FFFFFF" w:val="clear"/>
        </w:rPr>
        <w:t>TNBC</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The purpose of this study was to evaluate the safety and tolerability, pharmacokinetics, pharmacodynamics and preliminary antitumor activity of the molecule.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clinical data in mCRPC patients treated with vobra duo from the Phase 1/2 dose expansion study was presented at the 2021 European Society of Medical Oncology (ESMO) Annual Meeting. Based on this data, we initiated the TAMARACK Phase 2 study in late 2022. This study focuses on mCRPC patients who have had prior exposure to a taxane and at least one androgen receptor axis-targeted, or ARAT, agent (including abiraterone, enzalutamide or apalutimide), and a PARP (poly adenosine diphosphate-ribose polymerase) inhibitor, if appropriate. The TAMARACK study is designed to evaluate 100 patients across two experimental arms in which participants receive vobra duo at either 2.0 mg/kg or 2.7 mg/kg once every four weeks (Q4W), rather than the 3.0 mg/kg dose received every three weeks (Q3W) in the earlier dose expansion study. We completed enrollment of the study in the fourth quarter of 2023, having enrolled a total of 177 patients, exceeding the targeted number of patients. We expect to provide a clinical update in the second quarter of 2024 and potentially again later in 2024.</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expand the tumor types being evaluated in the TAMARACK study by recruiting patients with NSCLC, small cell lung cancer (SCLC), melanoma, SCCHN and anal cancer. We expect to initiate dosing in these additional cohorts in mid-2024.</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Finally, </w:t>
      </w:r>
      <w:r>
        <w:rPr>
          <w:rFonts w:ascii="Times New Roman;sans-serif" w:hAnsi="Times New Roman;sans-serif"/>
          <w:b w:val="false"/>
          <w:color w:val="000000"/>
          <w:sz w:val="20"/>
          <w:shd w:fill="FFFFFF" w:val="clear"/>
        </w:rPr>
        <w:t>in</w:t>
      </w:r>
      <w:r>
        <w:rPr>
          <w:color w:val="000000"/>
        </w:rPr>
        <w:t xml:space="preserve"> </w:t>
      </w:r>
      <w:r>
        <w:rPr>
          <w:rFonts w:ascii="Times New Roman;sans-serif" w:hAnsi="Times New Roman;sans-serif"/>
          <w:b w:val="false"/>
          <w:color w:val="000000"/>
          <w:sz w:val="20"/>
        </w:rPr>
        <w:t>early 2022, w</w:t>
      </w:r>
      <w:r>
        <w:rPr>
          <w:rFonts w:ascii="Times New Roman;sans-serif" w:hAnsi="Times New Roman;sans-serif"/>
          <w:b w:val="false"/>
          <w:color w:val="000000"/>
          <w:sz w:val="20"/>
          <w:shd w:fill="FFFFFF" w:val="clear"/>
        </w:rPr>
        <w:t>e initiated a Phase 1/2 dose escalation study of v</w:t>
      </w:r>
      <w:r>
        <w:rPr>
          <w:rFonts w:ascii="Times New Roman;sans-serif" w:hAnsi="Times New Roman;sans-serif"/>
          <w:b w:val="false"/>
          <w:color w:val="000000"/>
          <w:sz w:val="20"/>
        </w:rPr>
        <w:t>obra duo</w:t>
      </w:r>
      <w:r>
        <w:rPr>
          <w:color w:val="000000"/>
          <w:shd w:fill="FFFFFF" w:val="clear"/>
        </w:rPr>
        <w:t xml:space="preserve"> </w:t>
      </w:r>
      <w:r>
        <w:rPr>
          <w:rFonts w:ascii="Times New Roman;sans-serif" w:hAnsi="Times New Roman;sans-serif"/>
          <w:b w:val="false"/>
          <w:color w:val="000000"/>
          <w:sz w:val="20"/>
          <w:shd w:fill="FFFFFF" w:val="clear"/>
        </w:rPr>
        <w:t>in combination with lorigerlimab</w:t>
      </w:r>
      <w:r>
        <w:rPr>
          <w:rFonts w:ascii="Times New Roman;sans-serif" w:hAnsi="Times New Roman;sans-serif"/>
          <w:b w:val="false"/>
          <w:color w:val="000000"/>
          <w:sz w:val="20"/>
        </w:rPr>
        <w:t>, a bispecific DART molecule designed to block PD-1 and CTLA-4, in patients with solid tumors. This study is ongoing.</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MGC026</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MGC026 is an investigational ADC incorporating a B7-H3-targeting antibody and a novel topoisomerase I inhibitor-based linker-payload, SYNtecan E™. This cleavable linker-payload is based on exatecan, a clinically validated and potent camptothecin, and is site-specifically conjugated using the GlycoConnect™ technology developed by our collaboration partner, Synaffix (a Lonza company).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recently initiated a Phase 1 dose escalation study of MGC026 in patients with advanced solid tumors.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distinct mechanisms of action, vobra duo and MGC026 may address different cancers, tumor stages, or be used in combination with alternate agents or potentially with one another to enhance their clinical utility. We view MGC026, with its topoisomerase I inhibition strategy, as a complementary approach to targeting B7-H3 beyond vobra duo and as an additional, potentially valuable tool in our therapeutic repertoire.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preclinical studies, MGC026 exhibited a favorable profile, with potent in vivo activity toward B7-H3-expressing tumor xenografts representing a range of cancer indications. MGC026 was tolerated in cynomolgus monkeys, a relevant toxicology model, at exposure levels exceeding those likely required for antitumor activity in patients. We plan to present MGC026 preclinical data at the American Association for Cancer Research (AACR) Annual Meeting in April 2024.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Enoblituzumab</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Enoblituzumab (previously known as MGA271) is an investigational mAb that targets B7-H3 and has been engineered using our Fc Optimization platform. A Phase 2 study evaluating enoblituzumab in combination with either retifanlimab (anti-PD-1 monoclonal antibody) or tebotelimab (PD-1 × LAG-3 bispecific DART molecule) in the first-line treatment of patients with recurrent or metastatic SCCHN was discontinued in July 2022 after an internal review of safety data, as previously disclosed.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Based on results presented at the 2022 American Society of Clinical Oncology (ASCO) Annual Meeting and subsequently published in </w:t>
      </w:r>
      <w:r>
        <w:rPr>
          <w:rFonts w:ascii="Times New Roman;sans-serif" w:hAnsi="Times New Roman;sans-serif"/>
          <w:b w:val="false"/>
          <w:i/>
          <w:color w:val="000000"/>
          <w:sz w:val="20"/>
        </w:rPr>
        <w:t>Nature Medicine</w:t>
      </w:r>
      <w:r>
        <w:rPr>
          <w:color w:val="000000"/>
        </w:rPr>
        <w:t xml:space="preserve"> </w:t>
      </w:r>
      <w:r>
        <w:rPr>
          <w:rFonts w:ascii="Times New Roman;sans-serif" w:hAnsi="Times New Roman;sans-serif"/>
          <w:b w:val="false"/>
          <w:color w:val="000000"/>
          <w:sz w:val="20"/>
        </w:rPr>
        <w:t>from a Phase 2 investigator-sponsored study of enoblituzumab in men with prostate cancer, our collaborators at multiple academic institutions recently initiated the HEAT study. This is an investigator-sponsored, randomized Phase 2 clinical trial that will evaluate the activity of neoadjuvant enoblituzumab given prior to radical prostatectomy in up to 219 men with high-risk localized prostate cancer.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Immune Checkpoint Inhibitors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Checkpoint inhibition has become an important staple of oncology. Our clinical pipeline includes three product candidates in clinical development that target checkpoint molecules for the potential treatment of a broad range of solid tumors. These candidates include two bispecific DART product candidates that co-engage PD-1 and other checkpoint molecules and an anti-PD-1 mAb that we have out-licensed to a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Lorigerlimab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Approved mAbs that target the immune checkpoints PD-1 and CTLA-4 have shown enhanced clinical antitumor activity when given in combination in various cancers, including renal cell carcinoma and NSCLC with high tumor mutational burden. Lorigerlimab (previously known as MGD019) is an investigational, bispecific tetravalent DART molecule designed to enable simultaneous and/or independent blockade of PD-1 and CTLA-4, with potentially enhanced CTLA-4 blockade on T cells co-expressing these immune checkpoint molecules.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Data from a Phase 1/2 dose escalation study of lorigerlimab in patients with advanced solid tumors was reported at the 2020 ESMO Annual Meeting. More recently, we evaluated lorigerlimab in a Phase 1/2 dose expansion study in patients with mCRPC, microsatellite stable colorectal cancer (MSS CRC), melanoma and checkpoint-naïve NSCLC, and reported on preliminary data at the ASCO Genitourinary Cancers Symposium in February 2023. As of the December 12, 2022 data cut-off, 118 patients were enrolled at the dose of 6.0 mg/kg, administered intravenously Q3W. Confirmed objective responses were observed across the histology-specific cohorts; preliminary efficacy results for mCRPC were presented in the poster.</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Preliminary Safety Results</w:t>
      </w:r>
      <w:r>
        <w:rPr>
          <w:rFonts w:ascii="Times New Roman;sans-serif" w:hAnsi="Times New Roman;sans-serif"/>
          <w:b w:val="false"/>
          <w:color w:val="000000"/>
          <w:sz w:val="20"/>
        </w:rPr>
        <w:t>. The safety analysis is based on 127 patients who received lorigerlimab at a dose of 6 mg/kg Q3W, including 118 enrolled in the four dose expansion cohorts plus nine patients from dose escalation. Median exposure was 14.4 weeks (range: 1.9 - 100.1 weeks) with a median of four infusions administered per patient. Twenty-four patients remained on lorigerlimab as of the December 12, 2022 data cut-off; 103 discontinued for the following reasons: progressive disease (PD) (n=66), adverse events (AE) (n=31), patient/physician decision (n=5), or death due to PD (n=1).</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demonstrated a manageable overall safety profile. Treatment-related adverse events (TRAEs) of any grade occurred in 86.6% of patients, with the most common among them (≥15%) being fatigue, rash, pruritus, hypothyroidism, and pyrexia. Rates of grade ≥3 TRAEs and immune-related AEs were 35.4% and 7.9%, respectively. AEs resulted in treatment discontinuation in 25.2% of patients. There were no fatal AEs related to lorigerlimab.</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Preliminary Anti-tumor Activity in mCRPC Cohort</w:t>
      </w:r>
      <w:r>
        <w:rPr>
          <w:rFonts w:ascii="Times New Roman;sans-serif" w:hAnsi="Times New Roman;sans-serif"/>
          <w:b w:val="false"/>
          <w:color w:val="000000"/>
          <w:sz w:val="20"/>
        </w:rPr>
        <w:t>. As of the December 12, 2022 data cut-off, 42 patients had been enrolled in the mCRPC expansion cohort. Patients had previously received a median of two prior therapies (range: 1 – 9) for advanced disease, with 35 patients (83.3%) having received docetaxel and 34 patients (81.0%) having received ARAT therapy. The median exposure to lorigerlimab was 19.2 weeks (range: 3.3 - 55.1 weeks), with a median of five infusions administered per patient.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total of 35 patients with mCRPC had measurable soft tissue disease per RECIST v1.1 at study entry. Nine of the 35 patients (25.7%) achieved confirmed partial responses (cPR). The median duration of response for these nine patients was 4.6 months (range: 2.8 – 8.6+ months), with four patients remaining on lorigerlimab as of data cut-off. Among the other five patients who had achieved cPR, four discontinued due to unrelated AEs, and one patient discontinued due to physician decision.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Reductions in prostate-specific antigen (PSA) levels of ≥ 50% were observed in 12 of 42 patients (28.6%), and 9 of the 12 maintained PSA50 response ≥ 3 months. Nine of 42 patients (21.4%), including the nine who achieved cPR, had reductions in their PSA levels of ≥ 90% as of the data cut-off.</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above data, we initiated the randomized Phase 2 LORIKEET study of lorigerlimab in combination with docetaxel vs. docetaxel in second-line, chemotherapy-naïve mCRPC patients in the second half of 2023. A total of 150 patients are planned to be randomized 2:1. The current study design includes a primary study endpoint of radiographic progression-free survival (rPFS). We plan to provide a trial update in the second half of 2024.</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Tebotelimab</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Tebotelimab (previously known as MGD013) is an investigational, first-in-class bispecific, tetravalent DART molecule targeting PD-1 and LAG-3. At this time, we have no active/ongoing studies of tebotelimab. We have engineered tebotelimab to concomitantly or independently bind to PD-1 and LAG-3 and disrupt these non-redundant inhibitory pathways to further restore exhausted T-cell function. Data from prior dose expansion studies of tebotelimab have previously been reported; in addition, a combination trial with enoblituzumab in patients with SCCHN was initiated, but terminated in July 2022 after an internal review of safety data, as previously disclosed.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November 2018 license and collaboration agreement with Zai Lab Limited (Zai Lab Limited and Zai Lab US LLC, either singularly or collectively are referred to herein as Zai Lab), Zai Lab led regional studies evaluating tebotelimab in various indications in their territory. In November 2023, Zai Lab provided notice of termination of this agreement, effective as of May 2024.</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IMGC936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IMGC936</w:t>
      </w:r>
      <w:r>
        <w:rPr>
          <w:color w:val="000000"/>
        </w:rPr>
        <w:t xml:space="preserve"> </w:t>
      </w:r>
      <w:r>
        <w:rPr>
          <w:rFonts w:ascii="Times New Roman;sans-serif" w:hAnsi="Times New Roman;sans-serif"/>
          <w:b w:val="false"/>
          <w:color w:val="000000"/>
          <w:sz w:val="20"/>
        </w:rPr>
        <w:t>is an ADC that targets ADAM9 (</w:t>
      </w:r>
      <w:r>
        <w:rPr>
          <w:rFonts w:ascii="Times New Roman;sans-serif" w:hAnsi="Times New Roman;sans-serif"/>
          <w:b w:val="false"/>
          <w:color w:val="000000"/>
          <w:sz w:val="20"/>
          <w:u w:val="single"/>
        </w:rPr>
        <w:t>a</w:t>
      </w:r>
      <w:r>
        <w:rPr>
          <w:color w:val="000000"/>
        </w:rPr>
        <w:t xml:space="preserve"> </w:t>
      </w:r>
      <w:r>
        <w:rPr>
          <w:rFonts w:ascii="Times New Roman;sans-serif" w:hAnsi="Times New Roman;sans-serif"/>
          <w:b w:val="false"/>
          <w:color w:val="000000"/>
          <w:sz w:val="20"/>
          <w:u w:val="single"/>
        </w:rPr>
        <w:t>d</w:t>
      </w:r>
      <w:r>
        <w:rPr>
          <w:rFonts w:ascii="Times New Roman;sans-serif" w:hAnsi="Times New Roman;sans-serif"/>
          <w:b w:val="false"/>
          <w:color w:val="000000"/>
          <w:sz w:val="20"/>
        </w:rPr>
        <w:t xml:space="preserve">isintegrin </w:t>
      </w:r>
      <w:r>
        <w:rPr>
          <w:rFonts w:ascii="Times New Roman;sans-serif" w:hAnsi="Times New Roman;sans-serif"/>
          <w:b w:val="false"/>
          <w:color w:val="000000"/>
          <w:sz w:val="20"/>
          <w:u w:val="single"/>
        </w:rPr>
        <w:t>a</w:t>
      </w:r>
      <w:r>
        <w:rPr>
          <w:rFonts w:ascii="Times New Roman;sans-serif" w:hAnsi="Times New Roman;sans-serif"/>
          <w:b w:val="false"/>
          <w:color w:val="000000"/>
          <w:sz w:val="20"/>
        </w:rPr>
        <w:t xml:space="preserve">nd </w:t>
      </w:r>
      <w:r>
        <w:rPr>
          <w:rFonts w:ascii="Times New Roman;sans-serif" w:hAnsi="Times New Roman;sans-serif"/>
          <w:b w:val="false"/>
          <w:color w:val="000000"/>
          <w:sz w:val="20"/>
          <w:u w:val="single"/>
        </w:rPr>
        <w:t>m</w:t>
      </w:r>
      <w:r>
        <w:rPr>
          <w:rFonts w:ascii="Times New Roman;sans-serif" w:hAnsi="Times New Roman;sans-serif"/>
          <w:b w:val="false"/>
          <w:color w:val="000000"/>
          <w:sz w:val="20"/>
        </w:rPr>
        <w:t>etalloprotease domain 9) with a maytansinoid payload. IMGC936 was advanced under a co-development agreement with ImmunoGen, Inc. (ImmunoGen, now part of AbbVie). Under the 50/50 collaboration, ImmunoGen led clinical development and completed Phase 1 dose escalation and dose expansion studies. Neither MacroGenics nor AbbVie intends to further pursue development of IMGC936, as the molecule did not achieve our pre-established clinical safety and efficacy benchmarks.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MGC028</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MGC028 is the second of our ADC molecules incorporating Synaffix’s novel glycan-linked topoisomerase I inhibitor, and the second ADAM9-targeted ADC that we have pursued. ADAM9 is a member of the ADAM family of multifunctional type 1 transmembrane proteins that play a role in tumorigenesis and cancer progression and is overexpressed in multiple cancers, making it an attractive target for cancer treatment.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preclinical studies, MGC028 exhibited specific, dose-dependent in vivo antitumor activity toward ADAM9-positive CDX and PDX models, including in gastric, lung, pancreatic, colorectal, and head and neck cancers. MGC028 was well tolerated in a repeat-dose non-human primate toxicology study, up to 55 mg/kg, the highest dose level tested. Observations were limited to mild, reversible increases in liver enzymes, without microscopic correlates, and decreased lymphoid cellularity in the thymus. Of note, ocular toxicities that are typically seen with maytansinoid payloads – and which were observed in our IMGC936 cynomolgus toxicology study - were not observed in the MGC028 pilot toxicology study.</w:t>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present preclinical MGC028 data at the AACR Annual Meeting in April 2024. We currently anticipate submitting an investigational new drug (IND) application for MGC028 by the end of 2024.</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Partnered Programs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molecules identified above, we have out-licensed various product candidates for which we retain certain economic rights. These molecules provide potential sources of future cash flow and platform validation and are identified below:</w:t>
      </w:r>
    </w:p>
    <w:p>
      <w:pPr>
        <w:pStyle w:val="TextBody"/>
        <w:bidi w:val="0"/>
        <w:spacing w:before="0" w:after="0"/>
        <w:jc w:val="left"/>
        <w:rPr/>
      </w:pPr>
      <w:r>
        <w:rPr/>
        <w:drawing>
          <wp:inline distT="0" distB="0" distL="0" distR="0">
            <wp:extent cx="6486525" cy="25241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6486525" cy="2524125"/>
                    </a:xfrm>
                    <a:prstGeom prst="rect">
                      <a:avLst/>
                    </a:prstGeom>
                  </pic:spPr>
                </pic:pic>
              </a:graphicData>
            </a:graphic>
          </wp:inline>
        </w:drawing>
      </w:r>
    </w:p>
    <w:p>
      <w:pPr>
        <w:pStyle w:val="TextBody"/>
        <w:bidi w:val="0"/>
        <w:spacing w:lineRule="auto" w:line="288" w:before="0" w:after="180"/>
        <w:ind w:left="0" w:right="0" w:hanging="360"/>
        <w:jc w:val="left"/>
        <w:rPr>
          <w:rFonts w:ascii="Times New Roman;sans-serif" w:hAnsi="Times New Roman;sans-serif"/>
          <w:b w:val="false"/>
          <w:i/>
          <w:color w:val="000000"/>
          <w:sz w:val="15"/>
        </w:rPr>
      </w:pPr>
      <w:r>
        <w:rPr>
          <w:rFonts w:ascii="Times New Roman;sans-serif" w:hAnsi="Times New Roman;sans-serif"/>
          <w:b w:val="false"/>
          <w:i/>
          <w:color w:val="000000"/>
          <w:sz w:val="15"/>
        </w:rPr>
        <w:t>(a)    We entered a risk-sharing collaboration with Eversana in November 2020, under which we book U.S. sales and Eversana leads execution of U.S. commercialization of MARGENZA. For all other currently partnered programs for which a license option has been exercised, the partner would book any future worldwide sales, if approved, and we would be entitled to receive milestones and royalties.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Marketed Products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MARGENZA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commercial partner, Eversana Life Science Services, LLC (Eversana), are currently marketing MARGENZA (margetuximab-cmkb), in combination with chemotherapy, for the treatment of adult patients with metastatic HER2-positive breast cancer who have received two or more prior anti-HER2 regimens, at least one of which was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metastatic disease. Margetuximab is an Fc-engineered mAb that targets the HER2 oncoprotein. HER2 is a protein found on the surface of some cancer cells that promotes growth and is associated with aggressive disease and poor prognosis.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November 2018 license and collaboration agreement, Zai Lab received the rights to develop margetuximab in mainland China, Hong Kong, Macau and Taiwan. In August 2023, the China National Medical Products Administration approved the New Drug Application (NDA) for margetuximab for patients with pretreated metastatic HER2-positive breast cancer. In November 2023, Zai Lab provided notice of termination of this agreement, effective as of May 2024.</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Adverse reactions occurring in greater than twenty percent of patients with MARGENZA in combination with chemotherapy were fatigue/asthenia (57%), nausea (33%), diarrhea (25%), and vomiting (21%). The MARGENZA U.S. Prescribing Information has a BOXED WARNING for left ventricular dysfunction and embryo-fetal toxicity. In addition, MARGENZA can cause infusion-related reactions (IRRs). IRRs occurred in 13% of patients treated with MARGENZA, with the majority reported as Grade 2 or less. Grade 3 IRRs occurred in 1.5% of patients.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ZYNYZ</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2017, we licensed retifanlimab (previously known as MGA012), a mAb targeting PD-1, to Incyte Corporation (Incyte) under a global collaboration and license agreement (Incyte Agreement); we retain the right to develop the molecule in combination with product candidates from our pipeline. In March 2023, the FDA approved ZYNYZ (retifanlimab-dlwr) for the treatment of adult patients with metastatic or recurrent locally advanced Merkel cell carcinoma. ZYNYZ is marketed by Incyte. Under the terms of the Incyte Agreement, we are eligible to receive up to $650 million in remaining development, regulatory and commercial milestones from Incyte. In addition, we are eligible to receive tiered royalties of 15% to 24% on any global net sales of the product.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Incyte has stated it is pursuing development of retifanlimab in other potentially registration-enabling studies, including in patients with squamous carcinoma of the anal canal, microsatellite instability-high, or MSI-high, endometrial cancer and NSCLC. Incyte is also pursuing development of retifanlimab in combination with multiple product candidates from its pipeline.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TZIELD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2018, we entered into an asset purchase agreement (Provention APA) with Provention Bio, Inc., subsequently acquired by Sanofi S.A. (Sanofi), pursuant to which they acquired our interest in teplizumab, a mAb we had been developing for the treatment of type 1 diabetes. Teplizumab was granted Breakthrough Therapy Designation by the FDA and PRIority MEdicines (PRIME) designation by the European Medicines Agency (EMA).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the U.S. FDA approved TZIELD (teplizumab-mzwv) to delay the onset of Stage 3 type 1 diabetes (T1D) in adult and pediatric patients aged 8 years and older with Stage 2 T1D, which triggered a $60.0 million milestone payment to us. Under the Provention APA, Sanofi has a remaining obligation to pay us contingent milestone payments totaling $105 million upon the achievement of certain regulatory approval milestones, in addition to contingent milestone payments totaling $225 million upon the achievement of certain sales milestones.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sold our royalty interest in TZIELD to a wholly-owned subsidiary of DRI Healthcare Trust for $100.0 million. Such royalty interest was subsequently acquired by Sanofi. In July 2023, Sanofi reported that the PROTECT placebo-controlled study investigating TZIELD in patients with newly-diagnosed stage 3 T1D met its primary endpoint, having demonstrated preservation of beta cell function. This positive study outcome triggered payment of a $50.0 million milestone to us by Sanofi. We retain the right to receive a 50% share of the royalty on global net sales above a certain annual threshold. In addition, we are eligible to receive $50.0 million if TZIELD achieves a certain level of net sales.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PRV-3279</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2018, we entered into a license agreement with Provention (now Sanofi) pursuant to which we granted them exclusive global rights for the purpose of developing and commercializing PRV-3279 (previously known as MGD010), a CD32B × CD79B DART molecule being developed for the treatment of autoimmune indications. Sanofi is initially developing PRV-3279 for the interception of systemic lupus erythematosus (SLE), a chronic autoimmune disorder characterized by an abnormal overactivation of B cells and subsequent pathologic production of auto-antibodies.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Provention disclosed in the first quarter of 2022 that they had initiated a Phase 2a trial in SLE of PRV-3279. The PREVAIL-2 study is a Phase 2a proof-of-concept (POC) study in moderate-to-severe SLE patients. Patients are induced into response with a short course of corticosteroids, and then monitored for relapse, after randomization to either PRV-3279 or placebo treatment.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T-cell Engaging Bispecific DART Molecules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developing clinical and preclinical bispecific DART molecule that can simultaneously target T-cells and tumor cell surface antigens to engage and promote redirected T-cell killing of cancer cells.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MGD024</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MGD024 is an investigational, next-generation, bispecific CD123 × CD3 DART molecule designed to engage CD3 expressed on immune effector cells, such as T cells, to kill CD123-expressing cancer cells for the potential treatment of certain hematologic malignancies, including AML. MGD024 was designed to minimize cytokine-release syndrome, while maintaining anti-tumor cytolytic activity, and permitting intermittent dosing through a longer half-life. CD123, the interleukin-3 receptor alpha chain, is widely overexpressed in various hematologic malignancies, including AML and myelodysplastic syndrome (MDS), making it an attractive therapeutic target. Various drugs have been developed to target CD123, but none have received FDA approval for the treatment of AML.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Phase 1 dose escalation study of MGD024 in patients with CD123-positive hematologic malignancies was initiated in July 2022 and is ongoing.</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and Gilead Sciences, Inc. (Gilead) entered into an exclusive option and collaboration agreement (Gilead Agreement) to develop and commercialize MGD024 and create up to two separate bispecific cancer target research programs using our DART platform and undertake their early development. Under the Gilead Agreement, we will continue the ongoing phase 1 trial for MGD024 according to a development plan, during which Gilead will have the right to exercise an option granted to them to obtain an exclusive license to develop and commercialize MGD024 and other bispecific antibodies of ours that bind CD123 and CD3 (CD123 Option). The agreement also grants Gilead the right, within the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As part of the Gilead Agreement, Gilead paid us a non-refundable upfront payment of $60.0 million, and we will be eligible to receive up to $1.7 billion in target nomination fees and option fees, as well as development, regulatory and commercial milestones, assuming Gilead exercises the CD123 Option and Research Program Option, successfully develops and commercializes MGD024 or other CD123 products developed under the agreement, </w:t>
      </w:r>
      <w:r>
        <w:rPr>
          <w:rFonts w:ascii="Times New Roman;sans-serif" w:hAnsi="Times New Roman;sans-serif"/>
          <w:b w:val="false"/>
          <w:color w:val="000000"/>
          <w:sz w:val="20"/>
          <w:shd w:fill="FFFFFF" w:val="clear"/>
        </w:rPr>
        <w:t xml:space="preserve">and assuming products result from the two additional </w:t>
      </w:r>
      <w:r>
        <w:rPr>
          <w:rFonts w:ascii="Times New Roman;sans-serif" w:hAnsi="Times New Roman;sans-serif"/>
          <w:b w:val="false"/>
          <w:color w:val="000000"/>
          <w:sz w:val="20"/>
        </w:rPr>
        <w:t>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Early Bispecific Research Program</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Gilead nominated the first of two potential research programs under the Research Program Option as part of the Gilead Agreement, leveraging our DART and TRIDENT platforms for generating bispecific antibodies. This nomination granted Gilead an exclusive option to license worldwide rights to the research program, upon achievement of a pre-defined preclinical milestone.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HIV DART Molecules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conducting clinical studies of MGD014 and MGD020 under a contract awarded to us in September 2015 by the National Institute of Allergy and Infectious Diseases (NIAID), part of the National Institutes of Health (NIH). These bispecific DART molecules are designed to target the viral envelope (Env) protein of human immunodeficiency virus (HIV) infected cells and CD3 on T cells to redirect the immune system's T cells to kill HIV-infected cells. A Phase 1 study of MGD014 in persons with HIV maintained on antiretroviral therapy has been completed and a Phase 1 study of MGD020 alone and combined with MGD014 was initiated in 2022. The completion of this contract is anticipated by the end of 2024.</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Ancillary Contract Development and Manufacturing Services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manufacturing antibody-based products and product candidates in our commercial-scale facility for our own needs, we provide outsourced contract development and manufacturing services to a small number of clients, including collaboration partners.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entered into an agreement with Incyte to provide manufacturing services to produce certain Incyte bulk drug substance over a three-year period. Under the terms of this agreement, we received an upfront payment of $10.0 million and are eligible to receive annual fixed payments paid quarterly over the term of the contract totaling $14.4 million. We will also be reimbursed for materials used to manufacture product as well as other costs incurred to provide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services. In July 2022, we and Incyte executed an amendment to the agreement which extended the term for one year and provided for an additional annual fixed payment of $5.1 million.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Provention Bio, Inc.</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we entered into an agreement with Provention (now part of Sanofi) to provide manufacturing services to produce certain Provention bulk drug substance. Under the terms of this agreement, we received an upfront payment and payments in accordance with the manufacturing schedule and are reimbursed for materials used to manufacture product as well as other costs incurred to provide manufacturing services.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Emergent BioSolutions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and December 2023, we entered into agreements with Emergent BioSolutions (Emergent) to provide manufacturing services to produce certain Emergent bulk drug substances. Under the terms of the agreements, we receive payments in accordance with the manufacturing schedule and are reimbursed for materials used to manufacture product, as well as other costs incurred to provide manufacturing services.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Therapeutic Area Focus: Cancer</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Cancer is a broad group of diseases in which cells divide and grow in an uncontrolled manner, forming malignancies that can invade other parts of the body. In normal tissues, the rates of new cell growth and cell death are tightly regulated and kept in balance. In cancerous tissues, this balance is disrupted as a result of mutations, causing unregulated cell division or proliferation that leads to tumor formation and growth. While tumors can grow slowly or rapidly, the dividing cells will nevertheless accumulate, and the normal organization of the tissue will become disrupted. Cancers subsequently can spread throughout the body by processes known as invasion and metastasis. Once cancer spreads to sites beyond the primary tumor, it generally becomes more difficult to treat and may be incurable. Cancer cells that arise in the lymphatic system and bone marrow are referred to as hematological malignancies. Cancer cells that arise in other tissues or organs are referred to as solid tumors. Cancer can arise in virtually any part of the body, with the most common types arising in the prostate gland, breast, lung, colon and skin. Cancer is the second leading cause of death in the United States, exceeded only by heart disease. An increasing number of people are also living longer with cancer.</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platforms position us very well strategically to actively develop approaches for the treatment of both solid tumors and hematologic malignancies.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Platforms and Technology Expertise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apply our understanding of disease biology, immune-mediated mechanisms and next-generation antibody technologies to design specifically targeted antibody-based product candidates based on our DART, Fc Optimization and licensed ADC platforms. Through these platforms, we have designed antibody-based product candidates that have the potential to improve on standard treatments by having one or more of the following attributes: (1) multiple specificities; (2) increased abilities to interact with the body's immune system to fight tumors; (3) capacity to bind more avidly to antigen targets; (4) increased potency; (5) reduced immunogenicity or (6) the ability to target and kill cancer cells that are resistant to standard treatments. Moreover, these technology platforms are complementary in certain cases and can be combined to address the complex biology of cancer.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DART and TRIDENT Platforms: Our Proprietary Approach to Engineer Multi-Specific Antibodies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DART platform to create derivatives of antibodies with the ability to bind to two distinct targets instead of a single target as with traditional mAbs. DART product candidates are therefore bispecific.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cancer cells have developed ways to escape the immune system, we have created DART molecules, which are alternative antibody-like structures with more potent immune properties than the parent antibody molecules from which they are derived. The two variable regions of an antibody are mono-specific and are able to target only a single type structural component of an antigen. For many years, researchers have sought to create recombinant molecules that are capable of targeting two antigens or epitopes (i.e., specific part of an antigen bound by the antibody) within the same molecule. The challenges in creating such molecules have been the instability of the resulting bispecific molecules and their inherently short half-lives, as well as the inefficiencies in manufacturing these compounds. We believe our DART platform has overcome these engineering challenges by incorporating proprietary covalent di-sulfide linkages and particular amino acid sequences that efficiently pair the chains of the DART molecule. This is designed to provide a structure with enhanced manufacturability, long-term structural stability and the ability to tailor the half-lives of the DART molecules to their clinical needs. This engineered antibody-like protein has a compact and stable structure and enables the targeting of two different antigens with a single recombinant molecule.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DART platform has been specifically engineered to accommodate virtually any variable region sequence with predictable expression, folding and antigen recognition. We believe our multi-specific platforms may provide a significant advantage over current biological interventions in cancer, autoimmune disorders and infectious disease by enabling a range of modalities.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ability to tailor a DART molecule's valency, we have the capacity to modify the strength by which the binding sites attach to their targets and the molecule's half-life in the blood circulation after delivery to a patient. Furthermore, when an Fc domain is coupled with a DART molecule, additional changes can be included that can modulate the DART molecule's engagement with different immune cells.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developing product candidates using our DART technology, including lorigerlimab and MGD024, in clinical trials, as well as others in preclinical development.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advanced beyond our DART platform to establish a TRIDENT platform, which reflects the continuing evolution of our multi-specific antibody-based targeting expertise. Built on the DART module, the trivalent TRIDENT platform incorporates in an Ig-like format an additional domain capable of engaging an independent antigen. With the inclusion of a third targeting arm, TRIDENT molecules enable a broader range of mechanisms of action than bispecific targeting, allowing, for instance, the engagement of multiple antigens on a single or on different cells or enabling enhanced target selectivity by modulating the avidity of one of two antigens. Product candidates using this technology are currently in preclinical development.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Fc Optimization Platform: Our Proprietary Approach to Enhance Immune-Mediated Cancer Cell Killing</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enhance the body's immune ability, we developed our Fc Optimization platform which introduces certain mutations into the Fc region of an antibody and is able to modulate antibody interaction with immune effector cells. Such interaction enhances the body's immune ability to mediate the killing of cancer cells through antibody-dependent cellular cytotoxicity (ADCC).</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Fc region mediates the function of IgG antibodies by binding to different activating and inhibitory receptors, referred to as FcγRs, on immune effector cells found within the innate immune system. By engineering Fc regions to bind with an increased affinity to the activating FcγRs and with a reduced affinity to the inhibitory FcγRs, we have been able to impart a more effective immune response and improve effector functions, such as ADCC. This is another example in which small changes in antibody structure can confer improvements on normal immune processes.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a proprietary platform to engineer, screen, identify and test antibodies' Fc regions with customizable activity. In particular, we have licenses to use transgenic mice that express human FcγRs. These mice can be used for in vivo testing of antibodies that incorporate Fc domain variants, including those antibodies intended for cancer therapy.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successfully incorporated our Fc variants in two of our antibody-based molecules, margetuximab and enoblituzumab. In vitro, the modified Fc region of margetuximab increases binding to the activating Fc receptor FCGR3A (CD16A) and decreases binding to the inhibitor Fc receptor FCGR2B (CD32B). These changes lead to greater in vitro ADCC and NK cell activation. The clinical significance of in vitro data is unknown.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Licensed ADC Platforms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licensed ADC platforms from collaboration partners to leverage their past investment in proprietary linker-toxin technology and know-how. While we don’t necessarily believe there is a single best linker-toxin technology capable of addressing all targets and indications, we have selected what we believe are best-in-class technologies for construction of each of our ADC product candidates. For example, to date we have utilized linker-toxin payloads developed by Byondis for vobra duo and by Synaffix B.V. (Synaffix) for multiple molecules, including MGC026 and MGC028.</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Collaborations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our company's history, we have entered into collaborations with other biopharmaceutical companies and plan to continue to do so. We enter into collaborations when there is a strategic advantage to us and when we believe the financial terms of the collaboration are favorable for meeting our short-term and long-term strategic objectives. We are not dependent upon any one of these collaborations, but in many cases, we have rights to receive sales royalties and other significant financial payments if the partnered product candidates achieve certain development and sales milestones. We endeavor to establish collaborations that preserve our right to participate in future commercialization, for example by securing co-promotion or profit-sharing rights under certain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Each of our collaborations has a unique set of terms and conditions.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protect the proprietary technologies that we believe are important to our business, including seeking and maintaining patents intended to protect, for example, the composition of matter of our product candidates, their methods of use, their formulation, the technology platforms used to generate them, related technologies and/or other aspects of the inventions that are important to our business. We also rely on trade secrets, confidentiality and invention assignment agreements and careful monitoring of our proprietary information to protect aspects of our business that are not amenable to, or that we do not consider appropriate for, patent protection.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significantly on our ability to obtain and maintain patent and other proprietary protection for commercially important technology, inventions and know-how related to our business. In addition, there is cost and risk to our business in defending and enforcing our patents, maintaining our licenses to use intellectual property owned by third parties and preserving the confidentiality of our trade secrets and operating without infringing the valid and enforceable patents and other proprietary rights of third parties. We also rely on know-how, continuing technological innovation and in-licensing opportunities to develop, strengthen and maintain our proprietary positions. We currently use multiple industry-standard patent monitoring systems to monitor new United States Patent and Trademark Office (USPTO) filings for any applications by third parties that may infringe on our patents.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by the courts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narrowed, circumvented or invalidated by third parties.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third party may hold patents or other intellectual property rights that are important to or necessary for the development of our product candidates or use of our technology platforms.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 For example, certain patents held by third parties cover Fc engineering methods and mutations in Fc regions to enhance the binding of Fc regions to Fc receptors on immune cells. Although we believe that these patents are not infringed, invalid, and unenforceable, should a court find that they cover margetuximab or enoblituzumab and we are unable to invalidate them, or if licenses for them are not available on commercially reasonable terms, our business could be harmed, perhaps materially.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in the United States and certain other jurisdictions can be maintained in secrecy for 18 months or potentially even longer, and because publication of discoveries in the scientific or patent literature often lags behind actual discoveries, we cannot be certain of the priority of inventions covered by pending patent applications. Moreover, we may have to participate in interference proceedings declared by the USPTO to determine priority of invention. In the ordinary course of business we participate in post-grant challenge proceedings, such as oppositions, that challenge the patentability of third party patents. Such proceedings could result in substantial cost, even if the eventual outcome is favorable to us.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Pipeline Patent Protection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held 97 patents in the United States with 40 patent applications pending and 760 patents in other countries of the world with 457 patent applications pending. In addition to patents and patent applications generally providing protection for various aspects of our Fc Optimization, DART, and TRIDENT platforms, we have patent and patent applications for the composition of matter of each of our clinical pipeline product candidates and, in some cases, we also have other patents and patent application related to various aspects of the technology underlying these product candidates or their methods of use.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Patent terms may be adjusted or extended, as described in greater detail below, in certain circumstances. However, assuming no adjustments or extensions, the primary composition of matter patent for each of our clinical pipeline product candidates is expected to expire in the following timeframes: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4185" w:type="dxa"/>
        <w:jc w:val="left"/>
        <w:tblInd w:w="0" w:type="dxa"/>
        <w:tblLayout w:type="fixed"/>
        <w:tblCellMar>
          <w:top w:w="28" w:type="dxa"/>
          <w:left w:w="28" w:type="dxa"/>
          <w:bottom w:w="28" w:type="dxa"/>
          <w:right w:w="28" w:type="dxa"/>
        </w:tblCellMar>
      </w:tblPr>
      <w:tblGrid>
        <w:gridCol w:w="967"/>
        <w:gridCol w:w="849"/>
        <w:gridCol w:w="854"/>
        <w:gridCol w:w="443"/>
        <w:gridCol w:w="443"/>
        <w:gridCol w:w="629"/>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or Product Candidate</w:t>
            </w:r>
          </w:p>
        </w:tc>
        <w:tc>
          <w:tcPr>
            <w:tcW w:w="1515"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margetuximab</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enoblituzumab</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retifanlimab</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tebotelimab</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lorigerlimab</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vobramitamab duocarmazine</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MGD024</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MGD026</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2044*</w:t>
            </w:r>
          </w:p>
        </w:tc>
      </w:tr>
    </w:tbl>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pending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Patent Term Extension and Reference Product Exclusivity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If and when our pharmaceutical product candidates receive FDA approval, we expect to apply, or have applied, for patent term extensions on patents covering those products. We intend to seek, and are seeking, patent term extensions to our issued patents in any jurisdiction where these are available. For example, we have submitted a request to obtain patent term extension of U.S. Patent No. 8,802,093, the primary composition of matter patent for margetuximab. Additionally, we have submitted a request to obtain patent term extension of U.S. Patent No. 10,577,422, the primary composition of matter of retifanlimab. However, there is no guarantee that the applicable authorities, including the FDA in the United States, will agree with our assessment of whether such extensions should be granted, and even if granted, the length of such extensions.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biosimilarity based on data derived from: (1) analytical studies, (2) animal studies, and (3) 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There have been persistent proposals to repeal or modify the ACA and it is uncertain how any of those proposals, if in the future approved, would affect these provisions.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Trade Secrets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enter into agreements with confidentiality terms prior to sharing any of our proprietary and confidential information with them.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w:t>
      </w:r>
      <w:r>
        <w:rPr>
          <w:color w:val="000000"/>
        </w:rPr>
        <w:t xml:space="preserve"> </w:t>
      </w:r>
      <w:r>
        <w:rPr>
          <w:rFonts w:ascii="Times New Roman;sans-serif" w:hAnsi="Times New Roman;sans-serif"/>
          <w:b w:val="false"/>
          <w:color w:val="000000"/>
          <w:sz w:val="20"/>
        </w:rPr>
        <w:t xml:space="preserve">In the case of employees, the agreements provide that all inventions made, conceived, created or reduced to practice by the individual, and which are related to our current or planned business or research and development or made during normal working hours, on our premises or using our equipment or proprietary information, are our exclusive property. In many cases our agreements with consultants, outside scientific collaborators, sponsored researchers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other advisors require them to assign or grant us licenses to inventions they invent as a result the work or services they render under such agreements or grant us an option to negotiate a license to use such inventions.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In-Licensed Intellectual Property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patent and know-how license agreements that grant us the rights to use certain technologies related to biological manufacturing for our commercial and clinical product candidates such as, but not limited to, technology related to the conjugation of cytotoxic payloads to our antibody molecules. We anticipate using these technologies for future product candidates. These licensors have businesses dedicated to licensing this type of technology and we anticipate that licenses to use these technologies for our future products will be available. The licenses typically include yearly maintenance payments and sales royalties, and may also include upfront payments or milestone payments.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We currently manufacture drug substance</w:t>
      </w:r>
      <w:r>
        <w:rPr>
          <w:color w:val="000000"/>
        </w:rPr>
        <w:t xml:space="preserve"> </w:t>
      </w:r>
      <w:r>
        <w:rPr>
          <w:rFonts w:ascii="Times New Roman;sans-serif" w:hAnsi="Times New Roman;sans-serif"/>
          <w:b w:val="false"/>
          <w:color w:val="000000"/>
          <w:sz w:val="20"/>
        </w:rPr>
        <w:t>for most of our clinical trials at our manufacturing facility located in Rockville, Maryland. We also rely on our licensees and contract manufacturers, including Byondis, Synaffix and Millipore Sigma, for producing components of our ADC candidates. We have supplemented our drug substance manufacturing capacity through an arrangement with AGC Biologics, Inc. (AGC, formerly CMC Biologics, Inc.), a contract manufacturing organization, and commercially produced initial margetuximab commercial supply and inventory at AGC. We have an FDA-approved commercial manufacturing site at 9704 Medical Center Drive in Rockville, Maryland for the manufacture of MARGENZA and ZYNYZ drug substance. We commercially produce material for MARGENZA and ZYNYZ as well as intend to commercially produce our</w:t>
      </w:r>
      <w:r>
        <w:rPr>
          <w:color w:val="000000"/>
        </w:rPr>
        <w:t xml:space="preserve"> </w:t>
      </w:r>
      <w:r>
        <w:rPr>
          <w:rFonts w:ascii="Times New Roman;sans-serif" w:hAnsi="Times New Roman;sans-serif"/>
          <w:b w:val="false"/>
          <w:color w:val="000000"/>
          <w:sz w:val="20"/>
        </w:rPr>
        <w:t>product candidates when and if approved by the FDA. In addition, we currently rely on and will continue to rely on contract fill-finish service providers, primarily Ajinomoto Bio-Pharma Services, BSP Pharmaceuticals, and Simtra BioPharma Solutions, to fulfill our fill-finish needs for our current and future product candidates.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principal materials we use in our manufacturing operations are available from more than one source. However, we obtain certain raw materials principally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or general national supply chain disruption, it is possible that we could experience an interruption in supply until we established new sources or, in some cases, implemented alternative processes.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processes for biological therapeutic products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our own facility, extended failure of a contract supplier or contract manufacturing organization, or extraordinary unplanned increases in demand, we could experience an interruption in supply of certain products or product shortages until production could be resumed or expanded.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Commercialization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Of the three products that originated from our pipeline and for which U.S. approval for commercialization has been received, MARGENZA is the only product for which we retain the majority of commercial rights. In November 2020, we partnered with Eversana, a pioneer of next-generation commercial services to the global life sciences industry, to commercialize margetuximab in the U.S. by leveraging their integrated commercial services. Under the terms of the agreement, we maintain ownership of margetuximab, including all manufacturing, regulatory and development responsibilities for the product. Eversana received a co-exclusive right to conduct approved commercialization activities. Eversana utilizes its internal capabilities to support marketing, channel management services, medical affairs and other commercial and patient access related services; we book MARGENZA sales. We and Eversana equally share in funding Eversana’s commercialization expenses. In exchange for co-funding these expenses, Eversana is eligible to earn future revenue share payments which shall be capped at 125% of Eversana’s cumulative service fees. The term of the agreement is five years following the date of FDA approval, subject to predefined termination provisions.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market or promote a new product in a country until a marketing application has been approved by the appropriate regulatory authority for that jurisdiction. Subject to receiving marketing authorization in a jurisdiction, we believe we will be able to commercialize in that market through arrangements with third-party commercial partners. Other than through our arrangement with Eversana for MARGENZA, we have not established any sales, marketing or distribution capabilities. If we are unable to enter into third-party commercial arrangements for other product candidates that may be approved in the future, with respect to the United States we believe that we could potentially build the capabilities to commercialize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approved product or products. Outside the United States, our strategy is to enter into arrangements with third-party commercial partners for any of our product candidates that obtain marketing approval.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There are a large number of companies developing or marketing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For example, MARGENZA is directed against HER2 and many companies have cancer therapeutics directed against HER2 that are either currently approved and on the market or may be in development, such as F. Hoffmann-La Roche Ltd and Hoffmann-La Roche Inc. (Roche), particularly through its affiliate, Genentech, Inc., as well as Puma Biotechnology, Inc., Daiichi Sankyo Company, Limited and AstraZeneca plc. (AstraZeneca), Seagen Inc. (now Pfizer), Zymeworks, Inc., </w:t>
      </w:r>
      <w:r>
        <w:rPr>
          <w:rFonts w:ascii="Times New Roman;sans-serif" w:hAnsi="Times New Roman;sans-serif"/>
          <w:b w:val="false"/>
          <w:color w:val="000000"/>
          <w:sz w:val="20"/>
          <w:shd w:fill="FFFFFF" w:val="clear"/>
        </w:rPr>
        <w:t xml:space="preserve">Shanghai Hengrui Pharmaceutical, </w:t>
      </w:r>
      <w:r>
        <w:rPr>
          <w:rFonts w:ascii="Times New Roman;sans-serif" w:hAnsi="Times New Roman;sans-serif"/>
          <w:b w:val="false"/>
          <w:color w:val="000000"/>
          <w:sz w:val="20"/>
        </w:rPr>
        <w:t>and Byondis, many of which have significantly greater resources than we do. Market competition has limited the utilization of MARGENZA as a therapeutic, and these competitors as well as biosimilar trastuzumab competition may limit such utilization in the future.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immuno-oncology field is competitive, with treatments currently approved, on the market, or in development for various tumor types and patient populations from a variety of different companies such as Merck &amp; Co., Inc. (Merck), The Bristol-Myers Squibb Company (BMS), and Roche, all of which have significantly greater resources than we do. Many of our pipeline programs, if successful, will likely face significant competition both by therapeutics that are already being marketed as well as those that will be approved for marketing before our programs. In particular, we are developing PD-1-directed product candidates, including a mAb that we have outlicensed and two DART molecules. Merck, BMS, Roche, AstraZeneca, Pfizer Inc., Merck KGaA, and Regeneron Pharmaceuticals, Inc. all have approved products that target either the PD-1 receptor or its ligand, PD-L1, and there are several other companies that have anti-PD-1 or anti-PD-L1 antibodies in clinical development, all of which would compete with our PD-1-directed programs. In addition, these and other companies are developing product candidates directed against other immuno-oncology targets that we are pursuing through our bispecific approaches.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several companies are also developing therapeutics that work by targeting multiple specificities using a single recombinant molecule. Amgen Inc. has obtained marketing approval for one product that works by targeting antigens both on immune effector cell populations and those expressed on certain cancer cells, and has other product candidates in development that use this mechanism. In addition, other companies are developing new treatments for cancer that utilize multi-specific approaches, including Abbvie Inc., Affimed N.V., Eli Lilly and Company, Genmab A/S, Merus B.V., Regeneron, Roche, AstraZeneca, Xencor, Inc. and Zymeworks, Inc.</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Finally, our competition in the contract development and manufacturing organization (CDMO) service market includes a number of full-service contract manufacturers and large pharmaceutical companies offering third-party development and manufacturing services to fill their excess capacity. Large pharmaceutical companies have been seeking to divest portions of their manufacturing capacity, and any such divested businesses may compete with us in the future. In addition, most of our competitors have substantially greater financial, marketing, technical or other resources than we do.</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significantly greater financial, manufacturing, marketing, drug development, technical and human resources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key competitive factors affecting the success of all our therapeutic product candidates, if approved, are likely to be their efficacy, safety, dosing convenience, price, the effectiveness of companion diagnostics in guiding the use of related therapeutics, the level of generic or biosimilar competition and the availability of reimbursement from government and other third-party payors. In addition, the standard of medical care provided to cancer patients continues to evolve as more scientific and medical information becomes available. These changes in medical care relate to pharmaceutical products, but are also affected by other factors, and such changes can positively or negatively affect the prospects of our product candidates as well as those of our competitors.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opportunity could be reduced or eliminated if our competitors develop and commercialize products that are more effective, have fewer or less severe effects, are more convenient or are less expensive than any products that we may develop, or the standards of care for cancer patients change while our clinical trials are ongoing. Our competitors also may obtain FDA or other regulatory approval for their products more rapidly than we may obtain approval for ours,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result in our competitors establishing a strong market position before we are able to enter the market. In addition, our ability to compete may be affected in many cases by insurers or other third-party payors seeking to encourage the use of biosimilar products. Biosimilar products are expected to become available over the coming years. For example, trastuzumab biosimilars have been approved in the U.S. by the FDA.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most common methods of treating patients with cancer are surgery, radiation and drug therapy. There are a variety of available drug therapies marketed for cancer. Many of these approved drugs are well established therapies and are widely accepted by physicians, patients and third-party payors. In many cases, these drugs are administered in combination to enhance efficacy. The treatment landscape for cancer is complex due to the sequential order in which oncology drugs are administered. Initially, first-line treatments are prescribed, followed by second-line treatments when the first no longer yields results, and so on with third-line treatments and beyond. While our product candidates may compete with many existing drug and other therapies, to the extent an approved drug is ultimately used in combination with or as an adjunct to these therapies, our product candidates will not be competitive with the approved drug.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Government Regulation and Product Approval</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FDA Regulation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current product candidates are subject to regulation in the United States by the FDA as biological products (biologics). The FDA subjects biologics to extensive pre- and post-market regulation. The Public Health Service Act,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approve pending BLAs, withdrawal of approvals, clinical holds, warning letters, product recalls, product seizures, total or partial suspension of production or distribution, injunctions, fines, civil penalties, or criminal penalties.</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Preclinical Studies</w:t>
      </w:r>
      <w:r>
        <w:rPr>
          <w:rFonts w:ascii="Times New Roman;sans-serif" w:hAnsi="Times New Roman;sans-serif"/>
          <w:b w:val="false"/>
          <w:color w:val="000000"/>
          <w:sz w:val="20"/>
        </w:rPr>
        <w:t>. Drug development in our industry is complex, challenging and risky; failure rates are high. Product development cycles are long - approximately 10 to 15 years from discovery to market. A potential new biological product must undergo many years of preclinical and clinical testing to establish it is pure, potent and safe.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we file an 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us. In such a case, the IND sponsor and the FDA must resolve any outstanding concerns before the IND application is cleared and the clinical trial can begin. As a result, submission of an IND application may not result in the FDA allowing clinical trials to commence.</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Clinical Development</w:t>
      </w:r>
      <w:r>
        <w:rPr>
          <w:rFonts w:ascii="Times New Roman;sans-serif" w:hAnsi="Times New Roman;sans-serif"/>
          <w:b w:val="false"/>
          <w:color w:val="000000"/>
          <w:sz w:val="20"/>
        </w:rPr>
        <w:t xml:space="preserve">. Clinical trials involve the administration of the investigational drug to human subjects (healthy volunteers or patients) 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subjects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the IND application submission, and the FDA must be notified of subsequent protocol amendments. In addition, the protocol must be reviewed and approved by an institutional review board (IRB) and all study subjects must provide informed consent prior to participating in the study.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Typically, each institution participating in the clinical trial will require review of the protocol before any clinical trial commences at that institution. Information about certain clinical trials must be submitted within specific timeframes to NIH for public dissemination on their ClinicalTrials.gov website. Progress reports detailing the results of the clinical trials must be submitted at least annually to the FDA and there are additional, more frequent reporting requirements for suspected unexpected serious adverse events.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study sponsor might choose to discontinue a clinical trial or a clinical development program for a variety of reasons. In addition, the FDA may impose a temporary or permanent clinical hold, or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to support BLAs for marketing approval are typically conducted in three pre-approval phases, but the phases may overlap or be combined, particularly in testing for oncology indications. In Phase 1, testing is conducted in a small group of subjects who may be patients with the target disease or condition or healthy volunteers, to evaluate its safety, determine a safe dosage range, and identify side effects. In Phase 2, the drug is given to a larger group of subjects with the target condition to further evaluate its safety and gather preliminary evidence of efficacy. Phase 3 studies typically last multiple years for oncology indications. In Phase 3, the drug is given to a large group of subjects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Product Approval</w:t>
      </w:r>
      <w:r>
        <w:rPr>
          <w:rFonts w:ascii="Times New Roman;sans-serif" w:hAnsi="Times New Roman;sans-serif"/>
          <w:b w:val="false"/>
          <w:color w:val="000000"/>
          <w:sz w:val="20"/>
        </w:rPr>
        <w:t>. After completion of the required clinical testing, a BLA can be prepared and submitted to the FDA. FDA approval of the BLA 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Under federal law, the submission of most BLAs is additionally subject to a substantial application user fee, and annual program user fees also apply. These fees are typically increased annually.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PDUFA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and Fast Track. While the timelines for approval under these pathways may be shorter, there are requirements and conditions associated with each pathway, and there can be no assurance that any of our investigational products will be able to meet the conditions or requirements necessary to receive any such designation or be able to receive the review or approval benefits associated with such designations.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approval letter. The FDA has committed to reviewing 90 percent of resubmissions within two or six months from receipt depending on the type of information included.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 approval letter authorizes commercial marketing of the drug for the approved indication or indications and the other conditions of use set out in the approved prescribing information. Once granted, product approvals may be withdrawn if compliance with regulatory standards is not maintained or problems are identified following initial marketing.</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Other U.S. Post-Marketing Regulatory Requirements</w:t>
      </w:r>
      <w:r>
        <w:rPr>
          <w:rFonts w:ascii="Times New Roman;sans-serif" w:hAnsi="Times New Roman;sans-serif"/>
          <w:b w:val="false"/>
          <w:color w:val="000000"/>
          <w:sz w:val="20"/>
        </w:rPr>
        <w:t>. Once a BLA is approved, a product will be subject to certain post-approval requirements, including those relating to advertising, promotion, adverse event reporting, recordkeeping, and cGMPs, as well as registration, listing, and inspection. There also are continuing, annual program user fee requirements for marketed products, as well as new application fees for supplemental applications with clinical data.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that is found to have improperly promoted off-label uses or otherwise not to have met applicable promotion rules may be subject to significant liability under both the FDCA and other statutes, including the False Claims Act. See "Other Healthcare Laws and Compliance Requirements" below for more information.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aspects of pharmaceutical manufacture must conform to cGMPs after approval. Drug manufacturers and certain of their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being implemented.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uses the same procedures and actions in reviewing BLA supplements as it does in reviewing BLAs.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Noncompliance with post-marketing requirements can result in one or more of the following consequences: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Restrictions on the marketing or manufacturing of the product, complete withdrawal of the product from the market or product recalls;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Warning letters;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Holds on post-approval clinical trials;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Refusal of the FDA to approve pending BLAs or supplements to approved BLAs, or suspension or revocation of product license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Product seizure or detention, or refusal to permit the import or export of products;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 xml:space="preserve">Approval of Biosimilars. </w:t>
      </w:r>
      <w:r>
        <w:rPr>
          <w:rFonts w:ascii="Times New Roman;sans-serif" w:hAnsi="Times New Roman;sans-serif"/>
          <w:b w:val="false"/>
          <w:color w:val="000000"/>
          <w:sz w:val="20"/>
        </w:rPr>
        <w:t>The ACA authorized the FDA to approve biosimilars via a separate, abbreviated pathway. In many cases, this allows 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The law does not change the duration of patents granted on biological products. There are regular legislative proposals to rescind or reduce the biologics exclusivity provisions of the ACA and it is uncertain whether or if any of those proposals may be approved, and if approved, how exclusivity for biologics would be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Healthcare Laws and Compliance Requirements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There is therefore a possibility that our practices might be challenged under such anti-kickback laws. False claims laws prohibit anyone from knowingly and willingly presenting, or causing to be presented, any claims for payment for reimbursed drugs or services to third party payers (including Medicare and Medicaid) that are false or fraudulent. Violations of fraud and abuse laws may be punishable by criminal or civil sanctions, including fines and civil monetary penalties, and/or exclusion from federal health care programs (including Medicare and Medicaid).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Laws and regulations enacted by the federal government and various states to regulate the sales and marketing practices of pharmaceutical manufacturers with marketed products generally limit financial interactions between manufacturers and health care providers and/or require disclosure to the government and public of such interactions. State laws may also require disclosure of pharmaceutical pricing information and marketing expenditures. Many of these laws and regulations contain ambiguous requirements or require administrative guidance for implementation. We are subject to federal, state and foreign laws that govern the privacy and security of health information in some circumstances, many of which differ from each other in significant ways, thus complicating compliance efforts. Given the lack of clarity in laws and their implementation, our activities could be subject to the penalty provisions of the pertinent laws and regulations.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International Regulation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we and our collaborators, may be subject to a variety of foreign regulations governing clinical trials, drug registration, commercial sales and distribution of our product candidates outside the United States. These regulations can vary between jurisdictions and can be more onerous than regulations in the United States. Whether or not we obtain FDA approval for a product candidate, we must obtain approval from the comparable regulatory authorities of foreign countries or economic areas, such as the European Union (EU) before we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countries outside of the United States have a process that requires the submission of a clinical trial application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for example, to obtain regulatory approval of an investigational medicinal product, we must submit a marketing authorisation application (MAA). The content of the MAA is similar to that of a New Drug Application or BLA filed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with the exception of, among other things, EU-specific document requirements. Under the EU regulatory system, a company may submit marketing authorisation applications either under a centralised or decentralised procedure. Under the centralised procedure in the EU, a MAA is submitted to the European Medicines Agency (EMA) where it will be evaluated by the Committee for Medicinal Products for Human Use (CHMP). The maximum timeframe for a CHMP evaluation of an MAA that has been validated is 210 days, excluding time taken by an applicant to respond to questions. A favorable opinion on the application by the CHMP will typically result in the granting of the marketing authorisation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in the United States, we or our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BioPharmaceutical Coverage, Pricing, Reimbursement, and Health Care Reform</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countries, sales of any products for which we receive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or optimal for our products.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healthcare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 the U.S.,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339 full-time employees, 289 of whom were primarily engaged in research, development and manufacturing activities, and 67 of whom had an M.D. and/or Ph.D. Our employees are critically important to the achievement of our company’s mission and goals.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leadership oversees all human capital management matters and is committed to attracting, developing, engaging and retaining the best people. We strive to offer our employees an intellectually challenging and diverse work environment, opportunities to expand their knowledge and skills, feedback on performance, and paths for career advancement. We believe management’s relationships with our employees is very positive and they are not subject to a collective bargaining agreement or represented by a trade or labor union.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programs are designed to align our employees' interests with our business goals and stockholder returns. We provide employee wages that are competitive within our industry, and we engage an outside compensation and benefits consulting firm to independently evaluate the effectiveness of our compensation and benefit programs and to provide benchmarking against our peers within the industry. We link annual changes in compensation to overall Company performance, as well as each individual’s contribution to the results achieved. The emphasis on overall Company performance is intended to align the employee’s financial interests with the interests of stockholders. MacroGenics is committed to providing our employees with a benefits program that is both comprehensive and competitive. Our benefits program offers health care, dental and vision coverage, along with benefits designed to provide increased financial security to our employees and their families.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Employee Stock Purchase Plan under which employees may purchase Company common stock through payroll deductions at a price equal to 85% of the fair market value of the stock as of the end of the offering periods.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Culture; Diversity Equity and Inclusion</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Our Living Values are the backbone of our culture: </w:t>
      </w:r>
      <w:r>
        <w:rPr>
          <w:rFonts w:ascii="Times New Roman;sans-serif" w:hAnsi="Times New Roman;sans-serif"/>
          <w:b w:val="false"/>
          <w:i/>
          <w:color w:val="000000"/>
          <w:sz w:val="20"/>
        </w:rPr>
        <w:t xml:space="preserve">Patients First, Do It Right, Innovate, Pitch In, Take Action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 xml:space="preserve">Be Inclusive. </w:t>
      </w:r>
      <w:r>
        <w:rPr>
          <w:rFonts w:ascii="Times New Roman;sans-serif" w:hAnsi="Times New Roman;sans-serif"/>
          <w:b w:val="false"/>
          <w:color w:val="000000"/>
          <w:sz w:val="20"/>
        </w:rPr>
        <w:t>In 2022 and continuing into 2023, we kicked off a number of initiatives to reinforce the importance of a diverse workforce and culture of belonging to our Company’s success. We added the Living Value</w:t>
      </w:r>
      <w:r>
        <w:rPr>
          <w:rFonts w:ascii="Times New Roman;sans-serif" w:hAnsi="Times New Roman;sans-serif"/>
          <w:b w:val="false"/>
          <w:i/>
          <w:color w:val="000000"/>
          <w:sz w:val="20"/>
        </w:rPr>
        <w:t>, Be Inclusive</w:t>
      </w:r>
      <w:r>
        <w:rPr>
          <w:rFonts w:ascii="Times New Roman;sans-serif" w:hAnsi="Times New Roman;sans-serif"/>
          <w:b w:val="false"/>
          <w:color w:val="000000"/>
          <w:sz w:val="20"/>
        </w:rPr>
        <w:t>, and completed company-wide training on Diversity, Equity and Inclusion (DEI). To further champion our DEI efforts, we formed an employee-led DEI Team with sponsorship from our senior leadership team. The team focused on raising awareness of DEI and promoting a sense of belonging in 2023, and held a number of focus groups and company-wide events.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employees are required to observe high standards of business and personal ethics and must adhere to our Code of Business Conduct and Ethics, for which they receive training annually. The Code requires reporting any actual or suspected misconduct, illegal activities or fraud. To that end, we maintain a Speak Up Culture where all employees are encouraged to raise issues, report concerns, and ask questions. We also maintain an anonymous hotline that is available to all of our employees, contractors and vendors to report any matter of concern. Communications to the hotline (which is facilitated by an independent third party) are routed to our General Counsel (or, if the General Counsel is the subject of the communication, to the Chair of our Audit Committee) for investigation and resolution. We also maintain a policy of no retaliation, where employees who report any misconduct are to be free of any harassment, retaliation or adverse employment consequence.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conduct employee engagement surveys to understand our employees’ perspectives and endeavor to listen, change and improve on how we work together in response to these perspectives. In 2022, 84% of our workforce participated in our engagement survey, and we anticipate conducting another survey in 2024.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Learning and Development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invest in our employees to achieve their goals and to lead our company through learning and development. We conduct regular performance reviews. We encourage all employees to take advantage of our leadership, management and technical skill trainings and resources. In addition, we provide focused development for managers and emerging leaders who are designated as “key talent” based on performance and leadership potential.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Community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in giving back and supporting the local communities where we work as well as initiatives consistent with our areas of focus. Employees are encouraged to participate in charitable causes and receive eight hours of voluntary paid time off annually to participate in local opportunities to give back to the community.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Available Securities and Exchange Commission Filing Information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main company website address is www.macrogenics.com. We post links to http://ir.macrogenics.com/financial-information/sec-filings for the following filings as soon as reasonably practicable after they are electronically filed with or furnished to the Securities and Exchange Commission (SEC): annual reports on Form 10-K, quarterly reports on Form 10-Q, current reports on Form 8-K, proxy statements, and any amendments to those reports filed or furnished pursuant to Section 13 or 15(d) of the Securities Exchange Act of 1934, as amended. All such filings are available through our website free of charge. In addition, the SEC makes available at its website (www.sec.gov), free of charge, reports, proxy and information statements, and other information regarding issuers that file electronically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discussion below addresses material factors, of which we are currently aware, that could have a material and adverse effect on our business, results of operations and financial condition. These risk factors and other forward-looking statements that relate to future events, expectations, trends and operating periods involve certain factors that are subject to change, and important risks and uncertainties that could cause actual results to differ materially. These risks and uncertainties should not be considered a complete discussion of all the risks and uncertainties we may face and although the risks are organized by headings and each risk is discussed separately, many are interrelated.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Summary of Risk Factors Affecting Our Business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the “Risk Factors” section of this Annual Report on Form 10-K, which includes a more complete discussion of the risks summarized below as well as a discussion of other risks related to our business and an investment in our common stock, as well as our other SEC filings.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depend substantially on the success of the clinical development of our products and product candidates, through our own efforts or those of our collaborators, including vobra duo and lorigerlimab. If we are unable to successfully complete clinical development, obtain additional regulatory approvals and commercialize our products and product candidates, or experience significant delays in doing so, our business will be materially harmed and we may not be able to generate sufficient revenues and cash flows to continue our operations.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Clinical drug development involves a lengthy and expensive process, with a highly uncertain outcome. We expect to incur significant additional costs related to the development of vobra duo, lorigerlimab, and our other product candidates and may experience delays in completing, or ultimately be unable to complete, the development and commercialization of our other products and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will require substantial additional funding, which may not be available to us on acceptable terms, or at all, and, if not available, may require us to delay, scale back, or cease our product development programs or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product candidates may have undesirable side effects which may delay or prevent further clinical development or marketing approval, or, if approval is received, require them to be taken off the market, require them to include safety warnings or otherwise limit their sales.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If clinical trials for our product candidates are prolonged, delayed or stopped for any reason, including for safety reasons or lack of efficacy, we may be unable to obtain regulatory approval and commercialize our product candidates on a timely basis, which would require us to incur additional costs and delay our receipt of any product revenue.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results of previous clinical trials may not be predictive of future results, and interim or top line data may be subject to change or qualification based the complete analysis of data. In addition, the results of our current or planned clinical trials may not satisfy the requirements of the FDA or non-U.S. regulatory authorities for product approval.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incurred significant losses since inception and anticipate that we will continue to incur losses for the foreseeable future. Our first commercial product, MARGENZA, launched in March 2021 and to date has not resulted in revenues sufficient for us to reach profitability. Accordingly, we may never achieve or sustain profitability.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face significant competition and if our competitors continue to develop and market products that are more effective, safer or less expensive than our product and our product candidates, our current or future commercial opportunities may be negatively impacted.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use or may use novel technologies in the development of our product candidates and the FDA and other regulatory authorities have not approved or may not approve products that utilize these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Vobra duo, lorigerlimab, or any other product or product candidate that we develop may fail to achieve or maintain market acceptance by physicians, patients, third-party payors and others in the medical community necessary for commercial success.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manufacture of vobra duo, lorigerlimab, and other products or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commercial manufacturing, and there can be no assurance that we will be able to effectively manufacture commercial quantities of our products or product candidates for ourselves or our collaborators, if and when approved.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manufacturing facilities are subject to significant government regulations and approvals, which are often costly and could result in adverse consequences to our business if we fail to comply with the regulations or maintain the approvals.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Public health crises</w:t>
      </w:r>
      <w:r>
        <w:rPr>
          <w:color w:val="000000"/>
        </w:rPr>
        <w:t xml:space="preserve"> </w:t>
      </w:r>
      <w:r>
        <w:rPr>
          <w:rFonts w:ascii="Times New Roman;sans-serif" w:hAnsi="Times New Roman;sans-serif"/>
          <w:b w:val="false"/>
          <w:color w:val="000000"/>
          <w:sz w:val="20"/>
        </w:rPr>
        <w:t>such as pandemics or similar outbreaks may have a significant negative impact on our clinical trials, nonclinical studies, development, manufacturing and commercialization of our product candidates and other aspects of our business, staff, and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have limited experience in launching and marketing internally developed products. If our products achieve regulatory approval and we are unable to further develop marketing and sales capabilities or enter into agreements with third parties to market and sell our products, or our existing arrangements are not successful, we may not be able to generate substantial product sales revenue.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future success depends on our ability to retain key executives and to attract, retain and motivate qualified personnel.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Actual or anticipated changes to the laws and regulations governing the health care system may have a negative impact on cost and access to health insurance coverage and reimbursement of health care items and services.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Reimbursement decisions by third-party payors, including government payors, may have an adverse effect on pricing and market acceptance.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If any product liability lawsuits are successfully brought against us or any of our collaborators, we may incur substantial liabilities and may be required to limit commercialization of our product candidates.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Raising additional capital may cause dilution to our stockholders, restrict our operations or require us to relinquish substantial rights.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contract with, and may in the future contract with, third parties for components of the manufacturing of our products and product candidates, including our antibody drug conjugate candidates. Failure of third-party contractors to successfully perform their obligations could harm our ability to develop or commercialize our product or product candidates.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our information technology systems or those third parties upon which we rely for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success depends significantly on our ability to operate without infringing the valid patents and other proprietary rights of third parties.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If we are unable to obtain and enforce patent protection for our products and our product candidates and related technology, our business could be materially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been and may in the future be subject to securities litigation, which is expensive and could divert management attention and adversely impact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Failure to successfully develop and commercialize companion diagnostics with third party contractors for use with our product candidates could harm our ability to commercialize our product candidates.</w:t>
      </w: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the Development and Commercialization of Our Products and Product Candidates </w:t>
      </w:r>
    </w:p>
    <w:p>
      <w:pPr>
        <w:pStyle w:val="TextBody"/>
        <w:bidi w:val="0"/>
        <w:spacing w:lineRule="auto" w:line="288" w:before="0" w:after="180"/>
        <w:jc w:val="left"/>
        <w:rPr/>
      </w:pPr>
      <w:r>
        <w:rPr>
          <w:rFonts w:ascii="Times New Roman;sans-serif" w:hAnsi="Times New Roman;sans-serif"/>
          <w:b/>
          <w:i/>
          <w:color w:val="000000"/>
          <w:sz w:val="20"/>
        </w:rPr>
        <w:t>We depend substantially on the success of the clinical development of our products and product candidates, through our own efforts or those of our collaborators, including vobra duo and lorigerlimab. If we are unable to successfully complete clinical development, obtain additional regulatory approvals and commercialize our products and product candidates, or experience significant delays in doing so, our business will be materially harmed</w:t>
      </w:r>
      <w:r>
        <w:rPr>
          <w:color w:val="000000"/>
        </w:rPr>
        <w:t xml:space="preserve"> </w:t>
      </w:r>
      <w:r>
        <w:rPr>
          <w:rFonts w:ascii="Times New Roman;sans-serif" w:hAnsi="Times New Roman;sans-serif"/>
          <w:b/>
          <w:i/>
          <w:color w:val="000000"/>
          <w:sz w:val="20"/>
        </w:rPr>
        <w:t xml:space="preserve">and we may not be able to generate sufficient revenues and cash flows to continue our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the successful development, regulatory approval and commercialization of our products and product candidates, including vobra duo and lorigerlimab. We have invested and will continue to invest a significant portion of our efforts and financial resources in the development of our product candidates, including vobra duo and lorigerlimab. The success of our products and product candidates depends on many factors, including but not limited to: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successful enrollment in, and completion of, clinical trials, as well as completion of nonclinical studies;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acceptability and adequacy of safety, tolerability and efficacy data from our clinical trials and other studies;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sufficiency of our financial resources and ability to obtain additional funding for the development of our products and product candidates;</w:t>
      </w:r>
      <w:r>
        <w:rPr>
          <w:color w:val="000000"/>
        </w:rPr>
        <w:t xml:space="preser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receipt of regulatory approvals;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performance by clinical research organizations (CROs) or other third parties we may retain of their duties to us in a manner that complies with our protocols and applicable laws and that protects the integrity of the resulting data;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obtaining and maintaining patent, trade secret and other intellectual property protection and regulatory exclusivity;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ensuring we do not infringe, misappropriate or otherwise violate the valid patent, trade secret or other intellectual property rights of third parties;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successfully launching our product candidates, including vobra duo or lorigerlimab, if and when approved;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maintaining commercial manufacturing capabilities, either by utilizing our current manufacturing facilities or making arrangements with third-party manufacturers;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manufacturing or obtaining sufficient supplies of our products and product candidates that may be necessary for use in clinical trials for evaluation of our product candidates and commercialization of our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obtaining favorable reimbursement from third-party payors for products and product candidates;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competition with other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post-marketing commitments to regulatory agencies following regulatory approval;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continued acceptable safety profile following regulatory approval.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Clinical drug development involves a lengthy and expensive process, with a highly uncertain outcome. We expect to incur significant additional costs related to the development of vobra duo, lorigerlimab, and our other product candidates and may experience delays in completing, or ultimately be unable to complete, the development and commercialization of our other products and product candidates.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 approval of a Biologics License Application (BLA) from the FDA or marketing approval from applicable regulatory authorities outside the United States. Our product candidates are in various stages of development and are subject to the risks of failure inherent in drug development. For example, in July 2022 we announced the closure of our Phase 2 study evaluating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investigational regimen of enoblituzumab in combination with either retifanlimab or tebotelimab in the first-line treatment of patients with recurrent or metastatic SCCHN. The decision to discontinue the study was based on an internal review of safety data. The approval of a BLA can be a lengthy, expensive and uncertain process. In addition, failure to comply with FDA and non-U.S. regulatory requirements may, either before or after product approval, subject our company or our collaborators to administrative or judicially imposed sanctions, including: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restrictions on our ability to conduct clinical trials, including full or partial clinical holds on ongoing or planned trials;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restrictions on the products, manufacturers, manufacturing facilities or manufacturing process;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fines, warning letters or untitled letters;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civil and criminal penalties;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injunctions;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suspension or withdrawal of regulatory approvals;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product seizures, detentions or import bans;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voluntary or mandatory product recalls;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issuance of safety alerts, Dear Healthcare Provider letters, press releases and other communications containing warnings or other safety information about the product;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total or partial suspension of production;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consent decrees, corporate integrity agreements, debarment or exclusion from federal healthcare programs;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imposition of restrictions on marketing or operations, including costly new manufacturing requirements;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refusal to approve pending BLAs or supplements to approved BLAs or analogous marketing approvals outside the United States.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foreign regulatory authorities also have substantial discretion in the drug approval process. The number of nonclinical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deny approval of a product candidate for many reasons, including: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product candidate may not be deemed safe or effective;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results may not confirm the positive results from earlier nonclinical studies or clinical trials;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regulatory agencies may not find the data from nonclinical studies and clinical trials sufficient or meaningful;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regulatory agencies might not approve or might require changes to our manufacturing processes or facilities; or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regulatory agencies may change their approval policies or adopt new regulations.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potential market for a product candidate, if approved.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collaborators, are either currently enrolling patients in clinical trials or anticipate initiating, continuing, or designing, or supporting clinical trials for molecules that include vobra duo, lorigerlimab, retifanlimab, enoblituzumab, MGD024, and MGC026 or other molecules, as monotherapies or in combination with other product candidates. For example,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2024 academic collaborators have initiated or will initiate an investigator sponsored trial for enoblituzuumab. We anticipate in the future collaborators will initiate or continue clinical trials of one or more our product candidates. The continuation, modification, or commencement of existing or new clinical trials could be substantially delayed or prevented by several factors, including: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further discussions with the FDA or other regulatory agencies regarding the scope or design of our clinical trials;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limited number of, and competition for, suitable sites to conduct our clinical trials, many of which may already be engaged in other clinical trial programs, including some that may be for the same indication as our product candidates;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delay or failure in patient recruitment or enrollment in our or our collaborators’ trials for any reason;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delay or failure to obtain regulatory approval or agreement to commence a clinical trial in any of the countries where enrollment is planned;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inability to obtain sufficient funds required for a clinical trial;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clinical holds on, or other regulatory objections to, a new or ongoing clinical trial;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delay or failure to manufacture sufficient supplies of the product candidate for our clinical trials;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delay or failure to reach agreement on acceptable clinical trial terms or clinical trial protocols with prospective sites or CROs the terms of which can be subject to extensive negotiation and may vary significantly among different sites or CROs;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delay or failure to obtain IRB approval to conduct a clinical trial at a prospective site;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significant competition of product candidates that are expected to be more effective or have a more favorable safety profile;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approval of potential therapies by competitors;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progress or completion of our, or our collaborators', clinical trials have been and could also be substantially delayed or prevented by many factors, including: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unforeseen safety issues, including severe or unexpected drug-related adverse effects experienced by patients, including actual and possible deaths;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delays in expected site initiation, patient recruitment and enrollment, for any reason;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failure of patients to complete the clinical trial;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lack of efficacy during clinical trials;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termination of our clinical trials by one or more clinical trial sites;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inability or unwillingness of patients or clinical investigators to follow our clinical trial protocols;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economic and political instability in countries where our trial sites are located, including terrorist attacks, civil unrest and actual or threatened armed conflict;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inability to monitor patients adequately during or after treatment by us, our collaboration partners and/or our CROs;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need to repeat or terminate clinical trials as a result of inconclusive or negative results or unforeseen complications in testing.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 xml:space="preserve">• </w:t>
      </w:r>
      <w:r>
        <w:rPr>
          <w:rFonts w:ascii="Times New Roman;sans-serif" w:hAnsi="Times New Roman;sans-serif"/>
          <w:b w:val="false"/>
          <w:color w:val="000000"/>
          <w:sz w:val="20"/>
        </w:rPr>
        <w:t xml:space="preserve">failure to conduct the clinical trial in accordance with regulatory requirements or our clinical protocols;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unforeseen safety issues or any determination that a clinical trial presents unacceptable health risks;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lack of adequate funding to continue the clinical trial due to unforeseen costs or other business decisions;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upon a breach or pursuant to the terms of any agreement with, or for any other reason by, current or future collaborators that have responsibility for the clinical development of any of our product candidates.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of our product candidates are subject to partial or full clinical holds from time to time. A clinical hold received in the midst of conducting a trial may delay the progress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results of previous clinical trials may not be predictive of future results, and interim or top line data may be subject to change or qualification, based on several factors, including a complete analysis of data, or in the case of interim analysis, the continued or ongoing accrual of data. In addition, the results of our current and planned clinical trials may not satisfy the requirements of the FDA or non-U.S. regulatory authorities for product approval.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failure can occur at any stage of clinical development. Clinical trials may produce negative or inconclusive results, and we or any of our current and future collaborators may decide, or regulators may require us, to conduct additional clinical or nonclinical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or continued progress of the study or trial.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which may have an adverse effect on our ability to obtain or retain additional regulatory approval of products or product candidates in the U.S. or in other jurisdictions.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use or may use novel technologies in the development of our product candidates and the FDA and other regulatory authorities have not approved products that utilize these technologies.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in development are based on our technology platforms, including Fc Optimization, DART and TRIDENT technologies. Given the novelty of these technologies, we intend to work closely with the FDA and other regulatory authorities to perform the requisite scientific analyses and evaluation of our methods to obtain regulatory approval for our product candidates. Even though MARGENZA, which incorporates an Fc variation created using our Fc Optimization platform, was approved by the FDA, there is no assurance that the FDA will approve future product candidates using such technology. The validation process takes time and resources, may require independent third-party analyses, and may not be accepted by the FDA and other regulatory authorities. For some of our product candidates that are based on these technology platforms, the regulatory approval path and requirements may not be clear or evolve as more data becomes available for this product candidates, which could add significant delay and expense. Delays or failure to obtain regulatory approval of any of the product candidates that we develop would adversely affect our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element of our strategy is to use and expand our technology platforms to continue to build a pipeline of product candidates and progress several of these product candidates through clinical development for the treatment of a variety of different types of diseases. Although our research and development efforts to date have resulted in a pipeline of product candidates directed at various cancers, as well as autoimmune disorders and infectious diseases, we may not be able to develop product candidates that are safe and effective. Even if we are successful in continuing to build our pipeline,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candidates that we identify may not be suitable for initial or continued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our stock price.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Vobra duo, lorigerlimab, or any other product or product candidate that we developed or may develop may fail to achieve or maintain market acceptance by physicians, patients, third-party payors and others in the medical community necessary for commercial success.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Vobra duo, lorigerlimab, or any other product or product candidate that we developed or may develop may fail to achieve or maintain market acceptance by physicians, patients, third-party payors and others in the medical community necessary for commercial success. For example, revenues from MARGENZA are not anticipated to enable us to reach profitability.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product candidates that we develop do not achieve an adequate level of acceptance, we may not generate significant product revenues and we may not become profitable. The degree of market acceptance of any product candidates that we develop will depend on a number of factors, including but not limited to: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efficacy and potential advantages compared to alternative treatments;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prevalence and severity of any side effects;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safety events that may have occurred in connection with the development of the product candidate;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offer our products for sale at competitive prices;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convenience and ease of administration compared to alternative treatments;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willingness of physicians to prescribe the product or other new therapies, and of the patient population to try the product or these therapies;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strength of marketing, sales, and distribution support;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availability of third-party coverage and adequate reimbursement;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restrictions on the use of our products together with other medications. </w:t>
      </w:r>
    </w:p>
    <w:p>
      <w:pPr>
        <w:pStyle w:val="TextBody"/>
        <w:bidi w:val="0"/>
        <w:spacing w:lineRule="auto" w:line="288" w:before="6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market opportunities for our product candidates are difficult to precisely estimate. A product’s market acceptance depends significantly on the medical community’s determination of clinical benefit and safety compared to alternative therapies available both now and in the future. Our internal estimates of the potential market opportunities for vobra duo, lorigerlimab, and our other product candidates include several key assumptions based on a variety of factors, which may include our industry knowledge, industry publications, third-party research reports, assessment of competition, and other surveys. While we believe that our internal assumptions are reasonable, no independent source has verified such assumptions. If any of these assumptions proves to be inaccurate, then the actual market for vobra duo, lorigerlimab, or our other product candidates could be smaller than our estimates of our potential market opportunity</w:t>
      </w:r>
    </w:p>
    <w:p>
      <w:pPr>
        <w:pStyle w:val="TextBody"/>
        <w:bidi w:val="0"/>
        <w:spacing w:lineRule="auto" w:line="288" w:before="0" w:after="180"/>
        <w:jc w:val="left"/>
        <w:rPr>
          <w:color w:val="000000"/>
        </w:rPr>
      </w:pPr>
      <w:r>
        <w:rPr>
          <w:color w:val="000000"/>
        </w:rPr>
        <w:t> </w:t>
      </w:r>
      <w:r>
        <w:rPr>
          <w:rFonts w:ascii="Times New Roman;sans-serif" w:hAnsi="Times New Roman;sans-serif"/>
          <w:b/>
          <w:i/>
          <w:color w:val="000000"/>
          <w:sz w:val="20"/>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all of our product candidates have undergone or will undergo safety testing, not all adverse effects of drugs can be predicted or anticipated. Unforeseen side effects from any of our product candidates could arise either during clinical development or after the approved product has been marketed. Ongoing or future trials of our product candidates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support the conclusion that one or more of these product candidates have acceptable safety profiles. The results of future clinical or nonclinical trials may show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risk management measures, or potential product liability claims. For example, in July 2022 we announced the discontinuation of our Phase 2 trial of enoblituzumab in combination with either retifanlimab or tebotelimab in the treatment of patients with recurrent or metastatic SCCHN, based on an internal review of safety data.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others later identify undesirable or unacceptable side effects potentially caused by such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regulatory authorities may require us to take our approved product off the market;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regulatory authorities may require the addition of labeling statements, specific warnings, a contraindication or field alerts to physicians and pharmacies;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may be required to change the way the product is administered, impose other risk-management measures, conduct additional clinical trials or change the labeling of the product;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may be subject to limitations on how we may promote the product;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sales of the product may decrease significantly;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may be subject to litigation or product liability claims;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reputation may suffer.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the prescribing information for MARGENZA include warnings and precautions for infusion-related reactions, as well as a boxed warning related to left ventricular dysfunction and embryo-fetal toxicity. Based on the possible identification of future adverse events, we may be required to further revise the prescribing information, including MARGENZA’s boxed warning, which could negatively impact sales of MARGENZA or adversely affect MARGENZA’s acceptance in the market.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manufacturing facilities are subject to significant government regulations and approvals, which are often costly and could result in adverse consequences to our business if we fail to comply with the regulations or maintain the approvals.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the FDA’s cGMP requirements, as set out in statute, regulations and interpreted through guidance.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See “Other U.S. Post-Marketing Regulatory Requirements” above for additional information. Any failure to follow cGMP or other regulatory requirements or delay, interruption or other issues that arise in the manufacture, fill-finish, packaging, or storage of our product or product candidates as a result of a failure of our facilities or the facilities or operations of third parties to comply with regulatory requirements or pass any regulatory authority inspection could significantly impair our ability to develop and commercialize our product or product candidates, including leading to significant delays in the availability of drug product for sale and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or negatively impact a product’s commercial success. If we are not able to maintain regulatory compliance, we may not be permitted to market our product candidates and/or may be subject to product recalls, seizures, injunctions, or criminal prosecution. Additionally, if the FDA or a comparable foreign regulatory authority does not approve of our facilities for the manufacture of a customer product or if it withdraws such approval in the future, our customers may choose to identify alternative manufacturing facilities and/or relationships, which could significantly impact our ability to expand our CDMO capacity and capabilities and achieve profitability.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face significant competition and if our competitors continue to develop and market products that are more effective, safer or less expensive than our product and our product candidates, our current or future commercial opportunities may be negatively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life sciences industry is highly competitive and subject to rapid and significant technological change. We are currently developing 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or may have succeeded, in obtaining patent protection and/or FDA approval or discovering, developing and commercializing products in our field before we do.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there are a large number of companies developing or marketing potential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See “Competition” above for additional information.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opportunity for MARGENZA is very limited, and the commercial opportunity for future product candidates including vobra duo or lorigerlimab may be reduced or limited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biosimilar products.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manufacture of vobra duo, lorigerlimab, and other products or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commercial manufacturing, and there can be no assurance that we will be able to effectively manufacture commercial quantities of our products or product candidates for ourselves or our collaborators, if and when approved.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manufacture product and product candidates for ourselves and our collaborators in our in-house manufacturing facility, and we anticipate manufacturing both commercial product as well as product candidates in the future, including for example commercial manufacturing of MARGENZA. We have limited experience in manufacturing at commercial scale. The process of commercial or clinical biotechnology manufacturing for ourselves and our collaborators is highly susceptible to delays or product loss due to a variety of factors, including but not limited to contamination, equipment failure, improper installation or operation of equipment, vendor or operator error, inconsistency in yields, variability in product characteristics, difficulties in scaling the production process, and vendor supply chain disruptions or fluctuations. Even minor deviations from manufacturing processes could result in reduced production yields, product defects and other supply disruptions. If microbial, viral or other contaminations are discovered in our products or product candidates or in the manufacturing facilities in which our products and our product candidates are made, such manufacturing facilities may need to be closed for an extended period of time to investigate and remedy the contamination. Any adverse developments affecting manufacturing operations for our products and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In addition, if we fail to supply required quantities of a product or a product candidate for one of our collaborators, our collaborator may terminate our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currently maintain insurance coverage against damage to our property and to cover business interruption and research and development restoration expenses, our insurance coverage may not reimburse us, or may not be sufficient to reimburse us, for any expenses or losses we may suffer. If there were to be a catastrophic event or failure of our manufacturing facilities or processes, we may be unable to meet our requirements for supply of our products or product candidates.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Public health crises such as pandemics or similar outbreaks may have a significant negative impact on our clinical trials, nonclinical studies, development, manufacturing and commercialization of our product candidates and other aspects of our business, staff, and operations.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Public health crises such as pandemics or similar outbreaks may have a material impact our business. For instance, the COVID-19 pandemic impaired, and future public health crises may in the future impair, our ability to enroll patients in clinical trials, continue ongoing clinical trials and activate clinical trial sites. Further, product commercialization may be impaired due to an outbreak in a specific geography, the shifting of healthcare resources toward a future health crises or pandemic or the closing of or limiting of access to clinical facilities, and reduced or eliminated in-person access to physicians and health care centers. Furthermore, patients may be unable or unwilling to enroll in our clinical trials or be unable to comply with clinical trial protocols if public health restrictions impede patient movement or interrupt healthcare services. Public health crises may also negatively affect the operations of third-party CROs that we rely upon to carry out our clinical trials, or the operations of other service providers, which could result in delays or disruptions in the supply of our product candidates or other aspects of our business or that of our collaborators. Any negative impact public health crises could adversely affect our ability to seek and obtain regulatory approval for and to commercialize any approved product candidates, increase our operating expenses and have a material adverse effect on our business and financial results. </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limited experience in launching and marketing internally developed products. If our products achieve regulatory approval and we are unable to further develop marketing and sales capabilities or enter into agreements with third parties to market and sell our products, or our existing arrangements are not successful, we may not be able to generate substantial product sales revenue. </w: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FDA approved MARGENZA, in combination with chemotherapy, for the treatment of adult patients with metastatic HER2-positive breast cancer who have received two or more prior anti-HER2 regimens, at least one of which was for metastatic disease. We launched MARGENZA in March 2021. In conjunction with Eversana, we continue to support commercialization of MARGENZA in the United States in a manner we believe to be appropriate in light of the limited size of the market opportunity. We have limited internal commercialization capabilities, and any additional products or product candidates that we may develop or in-license, will require significant capital expenditures, management resources and time.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experience in commercializing our products. For example, we have limited experience in building and managing a commercial team, conducting a comprehensive market analysis or managing distributors and a field force for our products. We compete with many companies that currently have extensive and well-funded sales and marketing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commercialization of any or all of our product candidates, we will have to compete with other pharmaceutical and biotechnology companies to recruit, hire, train and retain marketing and sales personnel. If we are unable to, or decide not to, further develop internal sales, marketing, and commercial distribution capabilities for any or all of our products, we will likely pursue additional collaborative arrangements regarding the sales and marketing of our products. However, there can be no assurance that we will be able to establish or maintain such collaborative arrangements, or if we are able to do so, that they will be effective. Any revenue we receive will depend upon the efforts of such third parties. We may have little or no control over the marketing and sales efforts of such third parties, and our revenue from product sales may be lower than if we had commercialized our products ourselves. We also face competition in our search for third parties to assist us with the commercialization of our products.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further develop or successfully maintain internal sales and commercial capabilities or establish or maintain relationships with third-party collaborators to successfully commercialize any product, and as a result, we may not be able to generate substantial product sales revenue.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Actual or anticipated changes to the laws and regulations governing the health care system may have a negative impact on cost and access to health insurance coverage and reimbursement of healthcare items and services.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through lowering prescription drug prices, improving quality and/or expanding access to healthcare. In the United States, the pharmaceutical industry has been a particular focus of these efforts and has been significantly affected by major legislative initiatives, including the Patient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Protection and Affordable Care Act, as amended by the Health Care and Education Reconciliation Act, or collectively, the ACA, which became law in 2010. While it is difficult to assess the impact of the ACA in isolation, either in general or on our business specifically, it is widely thought that the ACA increases the likelihood of downward pressure on pharmaceutical reimbursement, which could negatively affect market acceptance of, and the price we may charge for, any products we develop that receive regulatory approval. Further, the United State and foreign governments regularly consider additional reform measures that affect healthcare coverage and costs. Such reforms may include changes to the coverage and reimbursement of healthcare services and products. In particular, there have been executive, judicial and Congressional challenges to the ACA, which could have an impact on coverage and reimbursement for healthcare services covered by plans authorized by the ACA.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Congress has not passed comprehensive repeal legislation, several bills affecting the implementation of certain taxes under the ACA have been signed into law. The Tax Cuts and Jobs Act of 2017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any healthcare reform measures of the Biden administration will impact the ACA and our business.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unclear how the IRA will be implemented but is likely to have a significant impact on the pharmaceutical industry.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cannot predict what healthcare initiatives, if any, will be implemented at the federal or state level, however, government and other regulatory oversight and future regulatory and government interference with the healthcare systems could adversely impact our business and results of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pricing pressures in connection with the sale of any products that we develop, due to the trend toward managed healthcare, the increasing influence of various and evolving payor models and additional legislative proposals.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Reimbursement decisions by third-party payors may have an adverse effect on pricing and market acceptance. If there is not sufficient reimbursement for our products, it is less likely that our products will be widely used.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 acceptance and sales of our products and product candidates, if approved for sale by the appropriate regulatory authorities, may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our products or any products that we develop. Also, we cannot be certain that reimbursement policies will not reduce the demand for, or the price paid for, our products. Our ability to commercialize our products may depend, in part, on the extent to which reimbursement for the products will be available from government authorities and third-party payors. If reimbursement for our products is not available or is available on a limited basis, or if the reimbursement amount for our products is inadequate to support a product’s price, we may not be able to successfully commercialize any of our approved products.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uncertainty related to third-party payor coverage and reimbursement of newly approved products. In the United States, for example, principal decisions about reimbursement for new products are typically made by CMS, an agency within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and reimbursement determination process is often time-consuming and costly. This process may require us to provide scientific and clinical information to support the coverage or reimbursement of our products to each third-party payor separately, with no assurance that coverage and adequate reimbursement will be applied consistently or obtained in the first instance.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federal and state governments implement additional health care cost containment measures, including measures to lower prescription drug pricing, we cannot be sure that our products and our product candidates, if approved, will be covered, or remain covered, by private or public payors, and if covered, whether the reimbursement will be perceived by product purchasers as adequate. Health reform actions by federal and state governments and health plans may put additional downward pressure on pharmaceutical pricing and health care costs, which could negatively impact coverage and reimbursement for our product or our product candidates, if approved, our revenue, and our ability to compete with other marketed products and to recoup the costs of our research and development.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biopharmaceutical manufacturers provide them with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drugs. Third-party payors may limit coverage to specific products and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products may not be considered medically necessary or cost effective. We cannot be sure that coverage and reimbursement will be available for any approved product that we commercialize and, if reimbursement is available, what the level of reimbursement will be. Further, coverage policies and third-party payor reimbursement rates may change at any time. Even if favorable coverage and reimbursement status is attained, less favorable coverage policies and reimbursement rates may be implemented in the future. Additionally, we or our collaborators may develop companion diagnostic tests for use with our product candidates where appropriate. We or our collaborators will be required to obtain coverage and reimbursement for these tests separate and apart from the coverage and reimbursement we may seek for our product candidates. While we have not yet developed any companion diagnostic tests for our product candidates, if we do, there is significant uncertainty regarding our ability to obtain coverage and adequate reimbursement for the same reasons applicable to our product candidates.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any product liability lawsuits are successfully brought against us or any of our collaborators, we may incur substantial liabilities and may be required to limit commercialization of our products or product candidates.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lawsuits related to the sale of our products to, use of our products by, and testing of our product candidates in, seriously ill patients. Product liability claims may be brought against us or our collaborators by participants enrolled in our clinical trials, patients, health care providers or others using, administering or selling any of our approved products. If we cannot successfully defend ourselves against any such claims, we may incur substantial liabilities. Regardless of their merit or eventual outcome, liability claims may result in: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decreased demand for our current or future approved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injury to our reputation;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withdrawal of clinical trial participants;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termination of clinical trial sites or entire trial programs;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increased regulatory scrutiny;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significant litigation costs;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substantial monetary awards to or costly settlement with patients or other claimants;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product recalls or a change in the indications for which they may be used;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loss of revenue;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diversion of management and scientific resources from our business operations;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inability to commercialize our product candidates.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vobra duo, lorigerlimab, and any of our other products or product candidates that are approved for commercial sale, we are, and will be, highly dependent upon physician and patient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hold $20 million in product liability insurance coverage in the aggregate, with a per incident limit of $20 million, which may not be adequate to cover all liabilities that we may incur. We may need to increase our insurance coverage when we begin the commercialization of additional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Even if we and our collaborators obtain regulatory approvals to market our current and any future approved products, we and our collaborators will remain subject to extensive ongoing regulatory obligations and oversight, including post-approval requirements, that could result in significant additional expense and could negatively impact our and our collaborators' ability to commercialize our current and any future approved products.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collaborators are subject to extensive ongoing obligations and continued regulatory review from applicable regulatory agencies with respect to any product obtaining regulatory approval, including vobra duo, lorigerlimab, and our other products and product candidates, such as continued adverse event reporting requirements and post-marketing commitments, all of which may result in significant expense and limit our and our collaborators' ability to commercialize our current and any future approved products. For example, the FDA's approval of MARGENZA included a requirement that we provide to the FDA the data from the final overall survival endpoint from our SOPHIA study, which we reported in September 2021. Moreover, in connection with MARGENZA’s approval, the labeling and advertising and promotion of MARGENZA are subject to additional regulatory requirements, which could entail significant expense and could negatively impact the potential commercialization of MARGENZA. To the extent other product candidates or those of our partners are approved by the FDA, we or our collaborators may be subject to similar post-marketing obligations.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manufacturers of our current and any future approved products are also required, or will be required, to comply with cGMP regulations, which include requirements relating to quality control and quality assurance as well as the corresponding maintenance of records and documentation. Further, regulatory agencies must approve these manufacturing facilities before they can be used to manufacture our products and product candidates, and these facilities are subject to ongoing regulatory inspections. In addition, regulatory agencies subject an approved product, its manufacturer and the manufacturer’s facilities to continual review and inspections, including periodic unannounced inspections. The subsequent discovery of previously unknown problems with our current or any future approved products, including adverse events of unanticipated severity or frequency, or problems with the facilities where our current or any future approved products are manufactured, may result in restrictions on the marketing of our current or any such future approved products, up to and including withdrawal of the affected product from the market. If our manufacturing facilities, our collaborators' manufacturing facilities, or those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respective suppliers, fail to comply with applicable regulatory requirements, such noncompliance could result in regulatory action and additional costs to us.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applicable FDA and other regulatory requirements may subject us to administrative or judicially imposed sanctions, including: notices or Warning Letters by the FDA or other regulatory agencies;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issuance of Form FDA 483 notices or Warning Letters by the FDA or other regulatory agencies;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imposition of fines and other civil penalties;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criminal prosecutions;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injunctions, suspensions or revocations of regulatory approvals;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suspension of any ongoing clinical trials;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total or partial suspension of manufacturing;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delays in commercialization;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refusal by the FDA to approve pending applications or supplements to approved applications submitted by us;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refusals to permit drugs to be imported into or exported from the United States;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restrictions on operations, including costly new manufacturing requirements;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product recalls or seizures. </w:t>
      </w:r>
    </w:p>
    <w:p>
      <w:pPr>
        <w:pStyle w:val="TextBody"/>
        <w:bidi w:val="0"/>
        <w:spacing w:lineRule="auto" w:line="288" w:before="6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policies of the FDA and other regulatory agencies may change and additional government regulations may be enacted that could prevent or delay regulatory approval of vobra duo, our other product candidates or of MARGENZA in any additional indications or territories, or further restrict or regulate post-approval activities. We cannot predict the likelihood, nature or extent of adverse government regulation that may arise from future legislation or administrative action, either in the United States or abroad. If we are not able to maintain regulatory compliance, we or our collaborators might not be permitted to market our current or any future approved products and our business would suffer.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and/or our collaboration partners may never obtain approval or commercialize our products outside of the United States, which would limit our ability to realize their full market potential.</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outside of the United States, we and our current and potential collaboration partners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may require additional nonclinical studies or clinical trials or additional administrative review periods, which could result in significant delays, difficulties and costs for us. In addition, our failure to obtain regulatory approval in any country may delay or have negative effects on the process for regulatory approval in other countries. Further, even if a product candidate receives regulatory approval outside of the United States, the collaborator may not commercialize the product or may not commercialize the product effectively. For example, our partner Zai Lab obtained regulatory approval of MARGENZA in China, but did not commercialize the product and in November 2023 provided notice of termination of the agreement. Although we obtained FDA approval of MARGENZA in December 2020, we do not have any Company products or product candidates being commercialized in any international market. If we fail to comply with regulatory requirements in international markets or to obtain and maintain required approvals, our target market will be reduced and our ability to realize the full market potential of our products will be harmed.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at the FDA and other agencies may also slow the time necessary for new drugs to be reviewed and/or approved by necessary government agencies, which would adversely affect our business. For example, over the past decade, the U.S. government has shut down several times and certain regulatory agencies, such as the FDA, have had to furlough critical FDA, and other government employees and pause or stop critical activities. If a prolonged government shutdown occurs, it could significantly impact the ability of the FDA to timely review and process our regulatory submissions, which could have a material adverse effect on our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Certain of our contracts include government contractor requirements. Laws and regulations affecting government contracts may make it more costly and difficult for us to successfully conduct our business.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comply with numerous laws and regulations relating to the procurement, formation, administration and performance of government contracts. Failure to comply with these laws could result in significant civil and criminal penalties. Among the most significant government contracting regulations that may affect our business are: the Federal Acquisition Regulation (FAR) and NIH-NIAID-specific regulations supplemental to the FAR, which comprehensively regulate the procurement, formation, administration and performance of government contracts; 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and the False Claims Act; export and import control laws and regulations; and laws, regulations and executive orders restricting the use and dissemination of sensitive information we may receive pursuant to our performance of the government contract. U.S. government agencies routinely audit and investigate government contractors for compliance with applicable laws and standards. If we are audited, such audit could result in disallowance of expected cost reimbursement, or if such audit were to uncover improper or illegal activities, we could be subject to civil and criminal penalties, administrative sanctions, including suspension or debarment from government contracting and significant reputational harm.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U.S. tax law may have a material adverse effect on our business, financial condition and results of operations, and changes in international trade relations may have a material adverse effect on the commercialization of some or all of our product candidates.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laws and policy relating to taxes may have an adverse effect on our business, financial condition and results of operations. Recent tax reforms in the United States have resulted in significant changes to preexisting U.S. tax rules and regulations. These changes may trigger an adverse effect on our business, financial conditions and results of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U.S. government may seek to implement more protective trade measures with countries in which we plan to conduct business in, with great deal of uncertainty regarding trade policies, tariffs and government regulations, which if altered could have the potential to create a significant adverse effect on trade between the United States and other countries. Overall, changes in international trade relations, such as the imposition of or increase in tariffs or other trade barriers, could materially and adversely impact our costs, the ability to make sales of our product candidates to any of our significant customers in other countries, and reduce the competitiveness of our product candidates. </w:t>
      </w: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Financial Position and Need for Additional Capital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will require substantial additional funding, which may not be available to us on acceptable terms, or at all, and, if not available, may require us to delay, scale back, or cease our product development programs or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advancing our product candidates through clinical development and have commercialized MARGENZA in collaboration with Eversana. Developing and commercializing pharmaceutical products, including conducting nonclinical studies and clinical trials, is expensive. In order to obtain such regulatory approval of product candidates, we will be required to conduct clinical trials for each indication for each of our product candidates. We will continue to require additional funding beyond what was raised in our public offerings and through our collaborations and license agreements to complete the development and commercialization of our product candidates and to continue to advance the development of our other product candidates. Due to worsening global economic conditions, including high rates of inflation and interest rates and concerns of a recession in the United States or other major markets, the recent disruptions to and volatility in the credit and financial markets in the United States and worldwide, and geopolitical instability, including resulting from the ongoing conflicts between Russia and Ukraine and Israel and Hamas and increasing tensions between China and Taiwan, such funding may not be available on acceptable terms or at all. Although it is difficult to predict our funding requirements, we anticipate that our cash, cash equivalents and marketable securities as of December 31, 2023, combined with anticipated and potential collaboration payments, product revenue, contract manufacturing revenue, and royalties, should enable us to fund our operations into 2026. Such guidance does not reflect anticipated expenditures related to the potential late-stage development of vobra duo in mCRPC or further expansion of studies currently ongoing. Because development of our product candidates is uncertain, we are unable to estimate accurately the actual funds we will require to complete research, development and clinical testing to commercialize our product candidates. Our future funding requirements will depend on many factors, including but not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 xml:space="preserve">• </w:t>
      </w:r>
      <w:r>
        <w:rPr>
          <w:rFonts w:ascii="Times New Roman;sans-serif" w:hAnsi="Times New Roman;sans-serif"/>
          <w:b w:val="false"/>
          <w:color w:val="000000"/>
          <w:sz w:val="20"/>
        </w:rPr>
        <w:t xml:space="preserve">the number and characteristics of other product candidates and indications that we pursue;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scope, progress, timing, cost and results of research, nonclinical development, and clinical trials, in particular, our planned potential registrational path trial for MCG018;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costs, timing and outcome of seeking and obtaining FDA and non-U.S. regulatory approvals;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costs associated with manufacturing our product candidates;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costs of establishing sales, marketing, and distribution capabilities;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need and ability to hire additional management, scientific, and medical personnel;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effect of competing products that may limit market penetration of our product candidates;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need to implement additional internal systems and infrastructure, including financial and reporting systems;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economic and other terms, timing of and success of our existing collaborations, and any collaboration, licensing, or other arrangements into which we may enter in the future, including the timing of receipt of any milestone or royalty payments under these agreements.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funds on acceptable terms are not available when needed, or at all, we could be forced to significantly reduce operating expenses and delay, scale back or eliminate one or more of our development programs or our business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incurred significant losses since inception and anticipate that we will continue to incur losses for the foreseeable future. Our first commercial product, MARGENZA, launched in March 2021 and has not resulted in revenues sufficient for us to reach profitability, to date, and we do not expect it to in the future. Accordingly, we may never achieve or sustain profitability.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losses since our inception. As of December 31, 2023, our accumulated deficit was approximately $1.1 billion. We expect to continue to incur losses for the foreseeable future, and we expect our accumulated deficit to increase as we continue our research and development of, and seek regulatory approvals for, our product candidates, manufacture product and product candidate inventory, prepare for and begin to commercialize any future approved products, and add infrastructure and personnel if needed to support our product development efforts and operations as a public company.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pharmaceutical product development and commercialization, we are unable to accurately predict the timing or amount of increased expenses or when, or if, we will be able to achieve profitability. For example, our expenses could increase if we are required by the FDA to perform trials in addition to those that we currently expect to perform, or if there are any delays in completing our currently planned clinical trials or in the development of any of our product candidates. Our expenses would significantly increase to the extent we build out a sales force and other commercially relevant functions to support the commercialization of any of our product candidates.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become and remain profitable, we must succeed in developing and commercializing products with significant market potential. For example, revenues from MARGENZA are highly unlikely to be sufficient to enable us to reach profitability. In order to commercialize any additional product candidates, we will need to be successful in a range of challenging activities for which we are only in the preliminary stages, including developing product candidates, obtaining regulatory approval for them, and manufacturing, marketing and selling approved products and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could impair our ability to raise capital, expand our business, develop other product candidates, or continue our operations. A decline in the value of our company could also cause you to lose all or part of your investment.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economic downturns, inflation, increases in interest rates, natural disasters, political crises, geopolitical events, such as the ongoing military conflict in Ukraine, or other macroeconomic conditions, which have in the past and may in the future negatively impact our business and financial performance.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The Federal Reserve recently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conflicts between Russia and Ukraine, Israel and Hamas and increasing tensions between China and Taiwan have created extreme volatility in the global capital markets and is expected to have further global economic consequences, including disruptions of the global supply chain and energy markets. Any such volatility and disruptions may adversely affect our business or the third parties on whom we rely.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labor and employee benefit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Raising additional capital may cause dilution to our stockholders, restrict our operations or require us to relinquish substantial rights.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MARGENZA,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MARGENZA or product candidates that we would otherwise prefer to develop and market ourselves.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use our net operating loss carryforwards and other tax attributes may be limited. </w:t>
      </w:r>
    </w:p>
    <w:p>
      <w:pPr>
        <w:pStyle w:val="TextBody"/>
        <w:bidi w:val="0"/>
        <w:spacing w:lineRule="auto" w:line="288" w:before="6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utilize our federal net operating losses (NOLs) and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increase their aggregate ownership by more than 50 percentage points over their lowest ownership percentage in a testing period, which is typically three years or since the last ownership change. We are already subject to Section 382 limitations due to acquisitions we made in 2002 and 2008. As of December 31, 2023, we had federal and state NOL carryforwards of approximately $670.0 million and federal research and development tax credits of approximately $94.4 million available. Future changes in stock ownership may also trigger an ownership change and, consequently, another Section 382 limitation.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NOL carryforwards and tax credit carryforwards to reduce United States federal income tax may be subject to limitations, which could potentially result in increased future cash tax liability to us. </w:t>
      </w: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Dependence on Third Parties </w:t>
      </w:r>
    </w:p>
    <w:p>
      <w:pPr>
        <w:pStyle w:val="TextBody"/>
        <w:bidi w:val="0"/>
        <w:spacing w:lineRule="auto" w:line="288" w:before="6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existing therapeutic collaborations are important to our business, and future collaborations may also be important to us. If we are unable to maintain any of these collaborations, or if these collaborations are not successful, our business could be adversely affected.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capabilities for drug development and have little to no internal capability for sales, marketing or distribution. We have entered into collaborations with other companies that we believe can provide such capabilities, including our agreements with, for example, Gilead Sciences, Inc, and Incyte Corporation. These current collaborations also have provided us with important funding for our development programs and technology platforms and we expect to receive additional funding under these collaborations in the future. Our existing therapeutic collaborations, and any future collaborations we enter into, may pose a number of risks, including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have significant discretion in determining the efforts and resources that they will apply to these collaborations;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not perform their obligations as expected;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collaborator with marketing and distribution rights to one or more of our product candidates that achieve regulatory approval may not commit sufficient resources to the marketing and distribution of such product or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disagreements with collaborators, including disagreements over proprietary rights, contract interpretation or the preferred course of development, might cause delays in payment, or non-payment, of royalties, milestones or other monies owed,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infringe the intellectual property rights of third parties, which may expose us to litigation and potential liability;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collaborations may be terminated for the convenience of the collaborator and, if terminated, we could be required to raise additional capital to pursue further development or commercialization of the applicable product candidates. For example, each of our collaboration and license agreements may be terminated for convenience upon the completion of a specified notice period. </w:t>
      </w:r>
    </w:p>
    <w:p>
      <w:pPr>
        <w:pStyle w:val="TextBody"/>
        <w:bidi w:val="0"/>
        <w:spacing w:lineRule="auto" w:line="288" w:before="6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therapeutic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subject to its contractual obligations to us, if one of our collaborators is involved in a business combination, the collaborator might de-emphasize or terminate the development or commercialization of MARGENZA or any product candidate licensed to it by us. For example, in November 2023 Zai Lab provided notice of termination of our collaboration agreement with respect to MARGENZA. If one of our collaborators terminates its agreement with us, we may find it more difficult to attract new collaborators.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vobra duo, lorigerlimab, and our other product candidates, we may in the future decide to collaborate with additional pharmaceutical and biotechnology companies for development and potential commercialization.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products, product candidates or technologies for similar indications that may be available to collaborate on and whether such a collaboration could be more attractive than the one with us for our product candidate.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Collaborations are complex and time-consuming to negotiate and document. In addition, there have been a significant number of business combinations among large pharmaceutical companies that have resulted in a reduced number of potential future collaborators. If we are unable to reach agreements with suitable collaborators on a timely basis, on acceptable terms, or at all, we may have to curtail the development of vobra duo, lorigerlimab, or our other product candidates, reduce or delay one or more of our other development programs, delay the commercialization of a product candidate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vobra duo, lorigerlimab, or our other product candidates or bring them to market or continue to develop our technology platforms and our business may be materially and adversely affected.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be restricted under collaboration agreements from entering into additional agreements on certain terms with potential collaborators. Most of our existing therapeutic collaborations contain a restriction on our engaging in activities that are the subject of the collaboration with third parties for specified periods of time.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contract with, and may in the future contract with, third parties for components of the manufacturing of our products and our product candidates, including our antibody drug conjugate candidates. Failure of third-party contractors to successfully perform their obligations could harm our ability to develop or commercialize our product or product candidates.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one cGMP manufacturing facility located in Rockville, Maryland in compliance with cGMP to support future clinical and commercial production of our and our collaborators’ product candidates. We manufacture drug substance lots at this facility that we use for clinical trials of our and our collaborators’ product candidates. We will continue to rely on third parties for bioconjugation to produce ADCs and for fill finish activities, neither of which our cGMP manufacturing facility can currently accommodate.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the capability to manufacture commercial supply of MARGENZA. Although we believe we currently have capacity to produce most or all of the material required for our and our collaborators’ clinical trials and for the commercial supply of MARGENZA, we may not be able to do so in the future and may continue to rely on arrangements with third parties.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agreements with contract manufacturing organizations in the past to supplement our clinical supply and internal capacity as we commercialize MARGENZA and advance vobra duo, lorigerlimab and other product candidates in our pipeline. In addition, in the future, we may use third parties for the manufacture of some or all components of our product candidates for clinical testing, including antibody drug conjugates, as well as for commercial manufacture of some of our product candidates that receive marketing approval and that are not manufactured by us or one of our third-party collaborators. We may be unable to reach agreement with any of these contract manufacturers, or to identify and reach arrangements on satisfactory terms with other contract manufacturers, to manufacture any of our product candidates. Additionally, the facilities used by any contract manufacturer to manufacture any of our product candidates must be the subject of a satisfactory inspection before the FDA and other regulatory authorities approve a BLA or marketing authorization for the product candidate manufactured at that facility. We will depend on these third-party manufacturing partners for compliance with the FDA’s requirements for the manufacture of our finished products. If our manufacturers cannot successfully manufacture material that conforms to our specifications and the FDA and other regulatory authorities’ cGMP requirements, our product candidates will not be approved or, if already approved, may be subject to recalls.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Reliance on third-party manufacturers entails risks to which we would not be subject if we manufactured products or product candidates ourselves, including: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possibility of a breach of the manufacturing agreements by the third parties because of factors beyond our control;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possibility of termination or nonrenewal of the agreements by the third parties before we are able to arrange for a qualified replacement third-party manufacturer;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possibility that we may not be able to secure a manufacturer or manufacturing capacity in a timely manner and on satisfactory terms in order to meet our manufacturing needs.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factors could adversely impact the commercialization of our products or product candidates, delay approval of our product candidates, or cause us to incur higher costs or prevent us from commercializing our products or product candidates successfully. Furthermore, if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products or product candidates and to have any such new source approved by the FDA or any other relevant regulatory authorities.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successfully develop and commercialize companion diagnostics with third party contractors for use with our product candidates could harm our ability to commercialize our product candidates.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develop, or engage third parties to develop, companion diagnostics for our product candidates where appropriate. At least in some cases, the FDA and similar regulatory authorities outside the United States may request or require the development and regulatory approval of a companion diagnostic as a condition to approving one or more of our product candidates. We do not have experience or capabilities in developing or commercializing diagnostics and are relying, and in the future plan to continue to rely, in large part on third parties to perform these functions.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most cases, we will likely outsource the development, production and commercialization of companion diagnostics to third parties. By outsourcing these companion diagnostics to third parties, we become dependent on the efforts of our third party contractors to successfully develop and commercialize these companion diagnostics. Our contractors: </w:t>
      </w:r>
    </w:p>
    <w:p>
      <w:pPr>
        <w:pStyle w:val="TextBody"/>
        <w:bidi w:val="0"/>
        <w:spacing w:lineRule="auto" w:line="288" w:before="0" w:after="180"/>
        <w:ind w:left="0" w:right="0" w:hanging="360"/>
        <w:jc w:val="left"/>
        <w:rPr/>
      </w:pPr>
      <w:r>
        <w:rPr>
          <w:color w:val="000000"/>
        </w:rPr>
        <w:t xml:space="preserve">• </w:t>
      </w:r>
      <w:r>
        <w:rPr>
          <w:rFonts w:ascii="Times New Roman;sans-serif" w:hAnsi="Times New Roman;sans-serif"/>
          <w:b w:val="false"/>
          <w:color w:val="000000"/>
          <w:sz w:val="20"/>
        </w:rPr>
        <w:t xml:space="preserve">may not perform their obligations as expected;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may encounter production difficulties that could constrain the supply of the companion diagnostic;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may have difficulties gaining acceptance of the use of the companion diagnostic in the clinical community;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may not commit sufficient resources to the marketing and distribution of such product;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may terminate their relationship with us.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any companion diagnostic for use with one of our product candidates fails to gain market acceptance, our ability to derive revenues from sales of such product candidate could be harmed. If our third-party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Independent clinical investigators and CROs that we engage to conduct our clinical trials may not devote sufficient time or attention to our clinical trials or be able to repeat their past success.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depend on independent clinical investigators and CROs to conduct our clinical trials, including future trials for vobra duo, lorigerlimab and other product candidates.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requires that we comply with standards, commonly referred to as current Good Clinical Practice (GCP)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procedures could adversely affect the clinical development of our product candidates and harm our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Commercialization collaborations will be important to our business. If we are unable to maintain commercialization collaborations, or if commercialization collaborations are not successful, our business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capabilities for drug commercialization, with little to no internal capability for sales, marketing or distribution. For example, we are a party to a collaboration with Eversana to support the commercialization of MARGENZA in the United States, and we may enter into commercial collaborations in the future for our products or our product candidates. Our existing commercialization collaboration, and any future commercialization collaborations we enter into, may pose a number of risks, including the following: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have significant discretion in determining the efforts and resources that they will apply to these collaborations;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not perform their obligations as expected;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not pursue commercialization our products or any product candidates that achieve regulatory approval or may elect not to continue commercialization based on clinical trial results, changes in the collaborators' strategic focus or other factors that divert resources or create competing priorities;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could independently commercialize products that compete directly or indirectly with our products or product candidates if the collaborators believe that competitive products are more likely to be successfully commercialized under terms that are more economically attractive than ours;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with marketing and distribution rights to our products or our product candidates that achieve regulatory approval may not commit sufficient resources to the marketing and distribution of such product or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disagreements with collaborators, including disagreements on contract interpretation, commercialization strategy or tactics, might cause delays or termination of the commercialization of products or product candidates, might lead to additional responsibilities for us with respect to our products or product candidates, or might result in litigation or arbitration, any of which would be time-consuming and expensive;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not properly utilize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collaborators may violate, or be investigated for potentially violating, health care compliance and related laws and regulations, which may expose us to litigation, enforcement actions or inquiries, or other potential liability;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collaborations may be terminated for the convenience of the collaborator and, if terminated, we could be required to raise additional capital to pursue further commercialization of our products or applicable product candidates.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risks relating to commercialization, and health care legal compliance described in this Annual Report on Form 10-K also apply to the commercialization activities of our collaborators.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subject to its contractual obligations to us, if one of our collaborators is involved in a business combination, the collaborator might de-emphasize or terminate the development or commercialization of a product or product candidate MARGENZA licensed to it by us. If one of our collaborators terminates its agreement with us, we may find it more difficult to attract new collaborators. For example, Zai Lab provided notice of termination of our collaboration agreement, in November 2023 with respect to MARGENZA and tebotelimab, and we may be unable to attract new collaborators for the products in the covered territory or elsewhere. We may also be restricted under commercialization collaboration agreements from entering into future agreements on certain terms with potential collaborators. For example, our collaboration with Eversana contains a restriction on our engaging in activities that are the subject of the collaboration with third parties for specified periods of time among other conditions.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Commercialization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reach agreements with suitable collaborators on a timely basis, on acceptable terms, or at all, we may have to curtail the commercialization of a product or product candidate, reduce the scope of any sales or marketing activities, or increase our expenditures and undertake or commercialization activities at our own expense. If in the future we elect to fund and undertake commercialization activities on our own, we may need to obtain additional expertise and additional capital, which may not be available to us on acceptable terms or at all. If we fail to enter into collaborations to commercialize our product candidates and do not have sufficient funds or expertise to undertake the necessary commercialization activities, we may not be able to commercialize our product candidates or bring them to market or continue and our business may be materially and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those third parties upon which we rely for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the third parties upon which we rely, process, collect, receive, store, process, generate, use, transfer, disclose, make accessible, protect, secure, dispose of, transmit, and share (collectively, process) proprietary, confidential, and sensitive data, including personal data (such as health-related data), intellectual property, trade secrets and any other sensitive data the we may process, e.g., business plans, transactions, financial information, etc. (collectively, sensitive information).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third parties upon which we rely are subject to a variety of evolving threats, including but not limited to social-engineering attacks (including through deep fakes and the use of Artificial Intelligence (AI)),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service providers and technologies to operate critical business systems to process sensitive information in a variety of contexts, including, without limitation, encryption and authentication technology, employee email, content delivery to customers, and other functions. Our ability to monitor these third parties’ information security practices is limited, as is our ability to determine whether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incidents, there can be no assurance that these measures will be effective.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An information security training program is in place to educate our personnel on information security and data protection measures. The program is managed by information security personnel.</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success depends significantly on our ability to operate without infringing the valid patents and other proprietary rights of third parties.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to operate without infringing the proprietary rights of third parties. Third parties may have or obtain patents or proprietary rights that could limit our ability to make, use, sell, offer for sale or import our future approved products or impair our competitive position. For example, certain patents held by third parties cover Fc engineering methods and mutations in Fc regions to enhance the binding of Fc regions to Fc receptors on immune cells. Although we believe that these patents are not infringed, and/or are invalid and/or unenforceable, if a court should find that they cover our products, such as MARGENZA or enoblituzumab, and we are unable to invalidate such patents, or if licenses for them are not available on commercially reasonable terms, our business could be harmed, perhaps materially.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could possess patents that we may ultimately be found to infringe, or such third-party patents could issue in the future. Third parties may have or may obtain valid and enforceable patents or proprietary rights that could block us from developing product candidates using our technology. Our failure to obtain a license to any technology that we require may materially harm our business, financial condition and results of operations. Moreover, our failure to maintain a license to any technology that we require may also materially harm our business, financial condition, and results of operations. Furthermore, we would be exposed to a threat of litigation.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pharmaceutical industry, significant litigation and other proceedings regarding patents, patent applications, trademarks and other intellectual property rights have become commonplace. The types of situations in which we may become a party to such litigation or proceedings include: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or our collaborators may initiate litigation or other proceedings against third parties seeking to invalidate the patents held by those third parties or to obtain a judgment that our products or processes do not infringe those third parties' patents;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if third parties initiate litigation claiming that our processes or products infringe their patent or other intellectual property rights, we and our collaborators will need to defend against such proceedings;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lawsuits would be costly and could affect our results of operations and divert the attention of our management and scientific personnel. There is a risk that a court would decide that we or our collaborators are infringing the third party’s patents and would order us or our collaborators to stop the activities covered by the patents. In that event, we or our collaborators may not have a viable alternative to the technology protected by the patent and may need to halt work on the affected product candidate or cease commercialization of an approved product. In addition, there is a risk that a court will order us or our collaborators to pay the other party damages. An adverse outcome in any litigation or other proceeding could subject us to significant liabilities to third parties and require us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pharmaceutical and biotechnology industries have produced a significant number of patents, and it may not always be clear to industry participants, including us, which patents cover various types of products, methods of use, or processes. The coverage of patents is subject to interpretation by the courts, and the interpretation is not always uniform or predictable. If we are sued for patent infringement, we would need to demonstrate that our products, methods, or processes either do not infringe the patent claims of the relevant patent or that the patent claims are invalid, and we may not be able to do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obtain and enforce patent protection for our products and our product candidates and related technology, our business could be materially harmed. </w:t>
      </w:r>
    </w:p>
    <w:p>
      <w:pPr>
        <w:pStyle w:val="TextBody"/>
        <w:bidi w:val="0"/>
        <w:spacing w:lineRule="auto" w:line="288" w:before="0" w:after="180"/>
        <w:jc w:val="left"/>
        <w:rPr/>
      </w:pPr>
      <w:r>
        <w:rPr>
          <w:color w:val="000000"/>
        </w:rPr>
        <w:t>    </w:t>
      </w:r>
      <w:r>
        <w:rPr>
          <w:rFonts w:ascii="Times New Roman;sans-serif" w:hAnsi="Times New Roman;sans-serif"/>
          <w:b w:val="false"/>
          <w:color w:val="000000"/>
          <w:sz w:val="20"/>
        </w:rPr>
        <w:t xml:space="preserve">Issued patents may be challenged, narrowed, invalidated or circumvented. In addition, court decisions may introduce uncertainty in the enforceability or scope of patents owned by biotechnology companies. The legal systems of certain countries do not favor the aggressive enforcement of patents, and the laws of foreign countries may not allow us to protect our inventions with patents to the same extent as the laws of the United States. Patent applications in the United States and many foreign jurisdictions are typically not published until 18 months after filing, or in some cases not at all. Publications of discoveries in scientific literature lag behind actual discoveries, thus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can obtain patent protection, it may be of insufficient scope to achieve our business objectives.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depends on our ability to identify and seek patent protection for our discoveries. This process is expensive and time consuming, and we may not be able to file and prosecute all necessary or desirable patent applications at a reasonable cost,in a timely manner, or in all jurisdictions where protection may be commercially advantageous. Despite our efforts to protect our proprietary rights, unauthorized parties may be able to obtain and use information that we regard as proprietary.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 of a patent does not ensure that a court or agency finds or will find the patent valid or enforceable, so even if we obtain patents, they may not be valid or enforceable against third parties. In addition, the issuance of a patent does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give us the right to practice the patented invention. Third parties may have blocking patents that could prevent us from marketing our own patented product and practicing our own patented technology. Third parties may also seek to market biosimilar versions of any approved products. Alternatively, third parties may seek approval to market their own products, which are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 of pharmaceutical or biotechnology companies, including ours, is generally uncertain and involves complex legal and factual considerations. The standards which the United States Patent and Trademark Office (USPTO) and its foreign counterparts use to grant patents are not always applied predictably or uniformly and can change. There is also no uniform, worldwide policy regarding the subject matter and scope of claims granted or allowable in pharmaceutical or biotechnology patents. The laws of some foreign countries do not protect proprietary information to the same extent as the laws of the United States, and many companies have encountered significant problems and costs in protecting their proprietary information in these foreign countries. Outside the United States, patent protection must be sought in individual jurisdictions, further adding to the cost and uncertainty of obtaining adequate patent protection outside of the United States. Accordingly, we cannot predict whether additional patents protecting our technology will issue in the United States or in foreign jurisdictions, or whether any patents that do issue will have claims of adequate scope to provide competitive advantage. Moreover, we cannot predict whether third parties will be able to successfully obtain claims or the breadth of such claims. The allowance of broader claims may increase the incidence and cost of patent interference proceedings, opposition proceedings, and/or reexamination proceedings, the risk of infringement litigation, and the vulnerability of the claims to challenge. On the other hand, the allowance of narrower claims does not eliminate the potential for adversarial proceedings and may fail to provide a competitive advantage. Our issued patents may not contain claims sufficiently broad to protect us against third parties with similar technologies or products or provide us with any competitive advantage.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become involved in lawsuits to protect or enforce our patents, which could be expensive, time consuming and unsuccessful.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after they have been issued, our patents and any patents which we license may be challenged, narrowed, invalidated or circumvented. If our patents are invalidated or otherwise limited or will expire prior to the commercialization of our approved products and product candidates, other companies may be better able to develop products that compete with ours, which could adversely affect our competitive business position, business prospects and financial condition.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or our collaborators may initiate litigation or other proceedings against third parties to enforce our patent rights;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third parties may initiate opposition, reexamination or inter partes review proceedings challenging the validity or scope of our patent rights, requiring us or our collaborators and/or licensors to participate in such proceedings to defend the validity and scope of our patents;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there may be a challenge or dispute regarding inventorship or ownership of patents currently identified as being owned by or licensed to us;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USPTO may initiate an interference between patents or patent applications owned by or licensed to us and those of our competitors, requiring us or our collaborators and/or licensors to participate in an interference proceeding to determine the priority of invention, which could jeopardize our patent rights; or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third parties may seek approval to market biosimilar versions of our future approved products prior to expiration of relevant patents owned by or licensed to us, requiring us to defend our patents, including by filing lawsuits alleging patent infringement.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lawsuits and proceedings would be costly and could affect our results of operations and divert the attention of our managerial and scientific personnel. There is a risk that a court or administrative body would decide that our patents are invalid or not infringed by a third party’s activities, or that the scope of certain issued claims must be further limited.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outcome in a litigation or proceeding involving our own patents could limit our ability to assert our patents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others may be able to develop a platform that is similar to, or better than, ours in a way that is not covered by the claims of our patents;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others may be able to make compounds that are similar to our product candidates but that are not covered by the claims of our patents;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might not have been the first to make the inventions covered by patents or pending patent applications;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might not have been the first to file patent applications for these inventions;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patents that we obtain may not provide us with any competitive advantages or may ultimately be found invalid or unenforceable; or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may not develop additional proprietary technologies that are patentable.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under our intellectual property licenses with third parties, we could lose license rights that are important to our business.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party to various intellectual property license agreements. These license agreements impose, and we expect that future license agreements may impose, various diligence, milestone payment, royalty, insurance and other obligations on us. For example, we entered into patent and know-how license agreements that grant us the right to use certain technologies related to biological manufacturing to manufacture our clinical product candidates. These licenses typically include an obligation to pay yearly maintenance payments and royalties on sales and may also include upfront and milestone payments.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the confidentiality of our proprietary information, the value of our technology and products could be adversely affected.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patent protection, we also rely on other proprietary rights, including protection of trade secrets, and other proprietary information.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while rendering services to us shall be our exclusive property. However, we may not obtain these agreements in all circumstances, and individuals with whom we have these agreements may not comply with their terms.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 others may independently discover or develop our trade secrets and proprietary information, and the existence of our own trade secrets affords no protection against such independent discovery.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costs and be a distraction to management.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our patent protection depends on compliance with various procedural, documentary, fee payment and other requirements imposed by governmental patent agencies, and our patent protection could be reduced or eliminated for non-compliance with these requirements.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our outside counsel or our agents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In addition, we may be responsible for the payment of patent fees for patent rights that we license from other parties. If any licensor of these patents does not itself elect to make these payments, and we fail to do so, we may be liable to the licensor for any costs and consequences of any resulting loss of patent rights.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do not obtain protection under the Hatch-Waxman Amendments and similar foreign legislation for extending the term of patents covering each of our product candidates, our business may be materially harmed.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Legal Compliance Matters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 </w:t>
      </w:r>
    </w:p>
    <w:p>
      <w:pPr>
        <w:pStyle w:val="TextBody"/>
        <w:bidi w:val="0"/>
        <w:spacing w:lineRule="auto" w:line="288" w:before="0" w:after="180"/>
        <w:jc w:val="left"/>
        <w:rPr/>
      </w:pPr>
      <w:r>
        <w:rPr>
          <w:color w:val="000000"/>
        </w:rPr>
        <w:t>    </w:t>
      </w:r>
      <w:r>
        <w:rPr>
          <w:rFonts w:ascii="Times New Roman;sans-serif" w:hAnsi="Times New Roman;sans-serif"/>
          <w:b w:val="false"/>
          <w:color w:val="000000"/>
          <w:sz w:val="20"/>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and our commercial partners operate in a number of jurisdictions that pose a risk of potential FCPA violations, and we participate in collaborations and relationships with third parties whose actions could potentially subject us to liability under the FCPA or other anti-corruption laws. There is no assurance that we will be completely effective in ensuring our compliance with all applicable anti-corruption laws. If we violate provisions of the FCPA or other anti-corruption laws or are subject to an investigation or audit pursuant to these laws, we may be subject to criminal and civil penalties, disgorgement and other sanctions and remedial measures and legal expenses, which could have an adverse impact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do not comply with laws regulating the protection of the environment and health and human safety, our business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States of Maryland and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and our collaborators are subject to various healthcare laws, and our failure, or the failure of our collaborators, to comply with those laws could result in significant penalties and adversely affect our business, operations and financial condition.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our operations, and those of our collaborators, are subject to regulation by various local, state, federal authorities in addition to the FDA, including but not limited to, CMS, other divisions of HHS (such as the Office of Inspector General, Office for Civil Rights and the Health Resources and Service Administration), the U.S. Department of Justice (DOJ) and individual U.S. Attorney offices within the DOJ, and state and local governments. We and our collaborators are or may be subject to broadly applicable “fraud and abuse” laws, such as false claims, anti-kickback laws, transparency laws, and privacy and security laws. Federal false claims laws, including the federal civil False Claims Act, prohibit, among other things, any person or entity from knowingly presenting, or causing to be presented, a false claim for payment to the federal government or knowingly making, or causing to be made, a false statement to get a claim paid.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or those of our collaborators, may not in all cases meet all of the criteria for protection under a statutory exception or regulatory safe harbor.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intent standard under the federal anti-kickback statute and the criminal healthcare fraud statutes (discussed below)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federal Physician Payment Sunshine Act provisions of the ACA, covered manufacturers of drugs, devices, biological and medical supplies for which payment is available under a federal health care program (with certain exceptions) are subject to annual federal reporting and disclosure requirements with regard to payments or other transfers of value made to physicians defined to include doctors, dentists, optometrists, podiatrists and chiropractors, other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professionals (such as physician assistants and nurse practitioners), and teaching hospitals as well as information regarding certain ownership and investment interests held by physicians and their immediate family members.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states also have statutes or regulations similar to the federal anti-kickback law and federal false claims laws, which may apply to items such as pharmaceutical products and services reimbursed by private insurers. Some state laws also prohibit certain gifts to healthcare providers, require pharmaceutical companies to report payments to healthcare professionals, and/or require companies to adopt compliance programs or codes of conduct.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few years, a number of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At such time as we or our collaborators market MARGENZA or any of our future approved products and these products are paid for by governmental programs, it is possible that some of our business activities could also be subject to challenge under one or more of these “fraud and abuse” laws.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order to distribute products commercially in the United States, we or our collaborators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operations, or those of our collaborators marketing, distributing or commercializing any of our products on our behalf, are found to be in violation of any of the federal and state healthcare laws described above or any other governmental regulations that apply to us, we may be subject to penalties, including without limitation, significant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operations and those of our collaborators may be subject to analogous foreign health care laws in the jurisdictions in which we operate.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and other adverse business consequences.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process personal data and other sensitive information, including proprietary and confidential business data, trade secrets, intellectual property, data we collect about trial participants in connection with clinical trials, sensitive third-party data, and other sensitive data, e.g., business plans, transactions, financial information, etc.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Data privacy and security have become significant issues in the United States, Europe, and in many other jurisdictions where we or our partners may in the future conduct our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federal, state, and local governments have enacted numerous data privacy and security laws and regulations, including data breach notification laws, personal data privacy laws, consumer protection laws (e.g., Section 5 of the Federal Trade Commission Act), and other similar laws (e.g., wiretapping laws). These laws and regulations involve the collection, storage, handling, use, disclosure, transfer, and security of personal data. Certain states, such as California, also impose stricter requirements for processing certain personal data, including sensitive information, such as conducting data privacy impact assessments, and may result in liability through private actions. For example, the California Consumer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regulations, and industry standards govern data privacy and security. For example, the European Union’s General Data Protection Regulation (EU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laws,may apply to our operations. As another example, Australia’s Privacy Act of 1998 may apply to our operations.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0" w:after="180"/>
        <w:jc w:val="left"/>
        <w:rPr/>
      </w:pPr>
      <w:r>
        <w:rPr>
          <w:color w:val="000000"/>
        </w:rPr>
        <w:t>    </w:t>
      </w:r>
      <w:r>
        <w:rPr>
          <w:rFonts w:ascii="Times New Roman;sans-serif" w:hAnsi="Times New Roman;sans-serif"/>
          <w:b w:val="false"/>
          <w:color w:val="000000"/>
          <w:sz w:val="20"/>
        </w:rPr>
        <w:t xml:space="preserve">We are exposed to the risk of employee fraud or other misconduct. Misconduct by employees could include intentional failures to comply with FDA regulations, to provide accurate information to the FDA or other agencies,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Employee Matters and Human Capital Management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future success depends on our ability to retain key executives and to attract, retain and motivate qualified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highly dependent on the research and development, clinical and business development expertise of certain of our executive officers and other key employees. Although we have entered into employment agreements with our executive officers, each of them may terminate their employment with us at any time. The loss of the services of our executive officers or other key employees could impede the achievement of our research, development, manufacturing and commercialization objectives and seriously harm our ability to successfully implement our business strategy.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Recruiting and retaining qualified scientific, clinical, manufacturing and other personnel will also be critical to our success. For example, we have experienced employee turnover, consistent with the broader American economy, and we may continue to experience employee turnover in the future that may have an adverse effect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motivate existing employees, or maintain our corporate culture in a hybrid or remote work environment and in the midst of higher turnover, our ability to pursue our growth strategy will be limited.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January 2023, the U.S. Federal Trade Commission published a proposed rule that would generally prohibit post-employment non-compete clauses (or other clauses with comparable effect) in agreements between employers and their employees. If this rule goes into effect, or if we fail to adequately address any of the issues referred to above, it could adversely impact our ability to recruit and retain our skilled employees which may result in a material adverse effect on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undertake internal restructuring activities, including associated workforce reductions, that could result in disruptions to our business or otherwise materially harm our results of operations or financial condition.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undertake internal restricting activities, including associated workforce reductions, as we continue to evaluate and attempt to optimize our cost and operating structure in light of developments in our business strategy and long-term operating plans. For example, in August 2022, we announced a reduction in workforce by approximately 15% in connection with the restructuring of our business to prioritize and focus on our lead assets, and, as a result, we incurred certain restructuring charges, including employee termination-related charges. Any restructuring activities that we may undertake in the future may result in write-offs or other restructuring charges, including employee termination-related charges in connection with any associated workforce reductions. We may not realize, in full or in part, the anticipated benefits, savings and improvements in our operating structure from any restructuring efforts due to unforeseen difficulties, delays or unexpected costs. If we are unable to realize the expected operational efficiencies and cost savings from any restructuring, our results of operation and financial condition could be adversely affected. Furthermore, any strategic restructuring plan may be disruptive to our operations. For example, any workforce reductions could yield unanticipated consequences, such as attrition beyond planned staff reductions, increased difficulties in our day-to-day operations and reduced employee morale. Any employees not affected by any reduction in force may seek alternate employment, which could result in us seeking contract support which may result in unplanned additional expense or harm our productivity. Any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need to grow or contract our organization, and we may experience difficulties in managing this growth or contraction, which could disrupt our operations. </w:t>
      </w:r>
    </w:p>
    <w:p>
      <w:pPr>
        <w:pStyle w:val="TextBody"/>
        <w:bidi w:val="0"/>
        <w:spacing w:lineRule="auto" w:line="288" w:before="6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339 full-time employees. In addition to the risks associated with a reduction in force, as our finances, development and commercialization plans and strategies evolve, we may choose to expand or contract our employee base for managerial, operational, manufacturing, financial and other resources. Future growth or additional contraction would impose significant costs as well as added responsibilities on members of management, including the potential need to identify, recruit, maintain, motivate and integrate additional employees. Also, our management may need to divert a disproportionate amount of their attention away from our day-to-day activities and devote a substantial amount of time to managing either growth or contraction activities. We may not be able to effectively manage our operations which may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weaknesses in our infrastructure, give rise to operational errors, loss of business opportunities, loss of employees and reduced productivity among remaining employees.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Growth could require significant capital expenditures and may divert financial resources from other projects, such as the development of existing and additional product candidates. If our management is unable to effectively manage such growth, our expenses may increase more than expected, our ability to generate and/or grow revenue could be reduced and we may not be able to implement our business strategy. Our future financial performance and our ability to commercialize MARGENZA, our product candidates and compete effectively with others in our industry will depend, in part, on our ability to effectively manage any such growth.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been and may in the future be subject to securities litigation, which is expensive and could divert management attention and adversely impact our business. </w:t>
      </w:r>
    </w:p>
    <w:p>
      <w:pPr>
        <w:pStyle w:val="TextBody"/>
        <w:bidi w:val="0"/>
        <w:spacing w:lineRule="auto" w:line="288" w:before="0" w:after="180"/>
        <w:jc w:val="left"/>
        <w:rPr/>
      </w:pPr>
      <w:r>
        <w:rPr>
          <w:color w:val="000000"/>
        </w:rPr>
        <w:t>    </w:t>
      </w:r>
      <w:r>
        <w:rPr>
          <w:rFonts w:ascii="Times New Roman;sans-serif" w:hAnsi="Times New Roman;sans-serif"/>
          <w:b w:val="false"/>
          <w:color w:val="000000"/>
          <w:sz w:val="20"/>
        </w:rPr>
        <w:t xml:space="preserve">The market price of our common stock has been and may continue to be volatile. Companies that have experienced volatility in the market price of their common stock are often subject to securities class action litigation. For example, on September 13, 2019, a securities class action complaint was filed against us, and certain of our officers and/or directors in the U.S. District Court for the District of Maryland. On September 29, 2021, the District Court issued an Order dismissing the case, with prejudice, and on March 2, 2023 the Fourth Circuit affirmed the District Court’s dismissal.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or any future securities litigation brought by private parties or government enforcement agencies could result in substantial costs and diversion of management’s attention and resources, which could adversely impact our business. Any adverse determination in litigation could also subject us to significant liabilities.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stock may fluctuate unpredictably in response to factors unrelated to our operating performance.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Some of the factors that may cause the market price of our common stock to fluctuate include: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results and timing of our clinical trials and clinical trials of our competitors’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failure or discontinuation of any of our development programs;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issues in manufacturing our product candidates or future approved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regulatory developments or enforcement in the United States and foreign countries with respect to our product candidates or our competitors’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competition from existing products or new products that may emerge;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developments or disputes concerning patents or other proprietary rights;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introduction of technological innovations or new commercial products by us or our competitors;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announcements by us, our collaborators or our competitors of significant acquisitions, strategic partnerships, joint ventures, collaborations or capital commitments;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changes in estimates or recommendations by securities analysts, if any cover our common stock;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fluctuations in the valuation of companies perceived by investors to be comparable to us;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public concern over our product candidates or any future approved products;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threatened or actual litigation;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future or anticipated sales of our common stock;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share price and volume fluctuations attributable to inconsistent trading volume levels of our shares;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additions or departures of key personnel;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changes in the structure of health care payment systems in the United States or overseas;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failure of any of MARGENZA or our product candidates, if approved, to achieve commercial success;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economic and other external factors or other disasters or crises;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period-to-period fluctuations in our financial condition and results of operations, including the timing of receipt of any milestone or other payments under commercialization or licensing agreements;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general market conditions and market conditions for biopharmaceutical stocks;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overall fluctuations in U.S. equity markets.</w:t>
      </w:r>
    </w:p>
    <w:p>
      <w:pPr>
        <w:pStyle w:val="TextBody"/>
        <w:bidi w:val="0"/>
        <w:spacing w:lineRule="auto" w:line="288" w:before="6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past, when the market price of a stock has been volatile, holders of that stock have sometimes instituted securities class action litigation against the company that issued the stock. For example, one such securities class action lawsuit was brought against us. We could incur substantial costs defending this or similar lawsuits, as well as diversion of the time and attention of our management, any or all of which could seriously harm our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Provisions of our charter, bylaws, third-party agreements and Delaware law may make an acquisition of us or a change in our management more difficult.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of our restated certificate of incorporation and amended and restated bylaws could discourage, delay, or prevent a merger, acquisition, or other change in control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since our board of directors is responsible for appointing the members of our management team, these provisions could prevent or frustrate attempts by our stockholders to replace or remove our management by making it more difficult for stockholders to replace members of our board of directors. These provisions: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allow the authorized number of directors to be changed only by resolution of our board of directors;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establish a classified board of directors, providing that not all members of the board of directors be elected at one time;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authorize our board of directors to issue without stockholder approval blank check preferred stock that, if issued, could operate as a "poison pill" to dilute the stock ownership of a potential hostile acquirer to prevent an acquisition that is not approved by our board of directors;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require that stockholder actions must be effected at a duly called stockholder meeting and prohibit stockholder action by written consent;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establish advance notice requirements for stockholder nominations to our board of directors or for stockholder proposals that can be acted on at stockholder meetings;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limit who may call stockholder meetings;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require the approval of the holders of 75% of the outstanding shares of our capital stock entitled to vote in order to amend certain provisions of our restated certificate of incorporation and restated bylaws.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in the ordinary course of our business, from time to time we discuss and enter into collaborations, licenses and other transactions with various third parties, including other pharmaceutical companies and biotechnology companies. When we deem it appropriate, our agreements with such third parties may include standstill provisions. These standstill provisions, several of which may be in force from time-to-time, typically prohibit such parties from acquiring our securities for a period of time, which may discourage such parties from acquiring MacroGenics even if doing so would be beneficial to our stockholders.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 This provision could have the effect of delaying or preventing a change of control, whether or not it is desired by or beneficial to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(Information Systems and Data).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security function, which is led by our Executive Director of Information Technology, with support from our Senior Information Security Manager, our legal team, a management-level Technology Steering Committee, and the Audit Committee of the Board, helps identify, assess, and manage the Company’s cybersecurity threats and risks. We identify and assess cybersecurity risks by monitoring and evaluating our threat environment using various methods including, for example using automated tools, subscribing to reports and services that identify cybersecurity threats, evaluating threats reported to us, evaluating our and our industry’s risk profile, analyzing reports of threats and actors, audits, conducting vulnerability assessments, and conducting tabletop incident response exercises.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environment and system, we implement and maintain various technical, physical, and organizational measures, processes, and policies designed to manage and mitigate material risks from cybersecurity threats to our Information Systems and Data, including: an incident response plan and procedures, incident detection and response playbook, business continuity plans, encryption of certain data, network security controls, identity management and access controls, physical security controls, 24/7 systems monitoring, vendor risk management processes, employee cybersecurity and privacy training, penetration testing, cybersecurity insurance, and dedicated cybersecurity staff.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assessment and management of material risks from cybersecurity threats are integrated into our overall risk management processes. For example, (1) cybersecurity risk is addressed as a component of our enterprise risk management program and identified in our risk register; (2) the information security function works with management to prioritize our risk management processes and mitigate cybersecurity threats that are more likely to lead to a material impact to our business; (3) our Technology Steering Committee evaluates material risks from cybersecurity threats against our overall business objectives and reports to the Audit Committee of the board of directors, which evaluates our overall enterprise risk.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assist us to identify, assess, and manage material risks from cybersecurity threats, including professional services firms, cybersecurity consultants, cybersecurity software providers, managed cybersecurity service providers, penetration testing firms, and dark web monitoring services.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perform a variety of functions throughout our business, such as application providers, hosting companies, contract research organizations, distributors, and supply chain management resources. We have vendor management processes to manage cybersecurity risks associated with our use of certain of these providers, such as reviewing security questionnaires, reviewing the vendor’s written security program, conducting risk assessments for certain vendors, arranging security assessment calls with the vendor’s security personnel, reviewing security assessments, or imposing contractual obligations on the vendor. Depending on the nature of the services provided, the sensitivity of the Information Systems and Data at issue, and the identity of the provider, our vendor management process may involve different levels of assessment designed to help identify and mitigate cybersecurity risks associated with a provider.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risks from cybersecurity threats that may materially affect the Company and how they may do so, see our risk factors under Part 1. Item 1A. Risk Factors in this Annual Report on Form 10-K.</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addresses the Company’s cybersecurity risk management as part of its general oversight function. The board of directors’ Audit Committee and management’s Technology Steering Committee are responsible for overseeing the Company’s cybersecurity risk management processes, including oversight and mitigation of risks from cybersecurity threats.</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assessment and management processes are implemented and maintained by certain Company management, including our Executive Director, Information Technology, who has fourteen years of information security experience and holds a Certified Information Systems Security Professional (CISSP) certification. Our Senior Information Security Manager holds CISSP certification, an MSc. in Information Security, and has over 20 years government and industry cybersecurity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management is responsible for hiring appropriate personnel, helping to integrate cybersecurity risk considerations into the Company’s overall risk management strategy, and communicating key priorities to relevant personnel. Company management is also responsible for approving budgets, helping prepare for cybersecurity incidents, approving cybersecurity processes, and reviewing security assessments and other security-related reports.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incident response processes are designed to escalate certain cybersecurity incidents to members of management depending on the circumstances and incident severity, including our Executive Director Information Technology who works with the Company’s incident response team to help the Company mitigate and remediate cybersecurity incidents. In addition, the Company’s incident response process includes reporting to the audit and technology steering committees of the board of directors for certain cybersecurity incidents. </w:t>
      </w:r>
    </w:p>
    <w:p>
      <w:pPr>
        <w:pStyle w:val="TextBody"/>
        <w:bidi w:val="0"/>
        <w:spacing w:lineRule="auto" w:line="288" w:before="18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Audit Committee receives periodic reports from our Executive Director Information Technolog concerning the Company’s significant cybersecurity threats and risk and the processes the Company has implemented to address them. The board of directors also receives regular reports, summaries or presentations related to cybersecurity threats, risk, and mitigation.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lease a total of approximately 205,000 square feet of manufacturing, office, laboratory and warehouse space in Maryland. Our headquarters building in Rockville, Maryland currently houses laboratory, office and manufacturing operations to support clinical and commercial quantities and scale. This location is occupied under a lease that expires in 2035. Our leases each have one or more five-year options to renew. We believe that our properties are generally in good condition, well maintained, suitable and adequate to carry on our business. We believe our capital resources are sufficient to lease any additional facilities required to meet our expected growth needs.</w:t>
      </w:r>
    </w:p>
    <w:p>
      <w:pPr>
        <w:pStyle w:val="TextBody"/>
        <w:bidi w:val="0"/>
        <w:spacing w:before="0" w:after="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"MGNX". As of March 1, 2024, we had 62,432,013 shares of common stock outstanding held by approximately 57 holders of record, which include shares held by a broker, bank or other nominee. We have never declared or paid any cash dividends. We do not anticipate declaring or paying cash dividends for the foreseeable future. Instead, we will retain our earnings, if any, for the future operation and expansion of our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five-year cumulative total return of our common stock with the Nasdaq Composite Index (U.S.) and the Nasdaq Biotechnology Index. The comparison assumes a $100 investment on December 31, 2018 in our common stock, the stocks comprising the Nasdaq Composite Index, and the stocks comprising the Nasdaq Biotechnology Index, and assumes reinvestment of the full amount of all dividends, if any. Historical stockholder return is not necessarily indicative of the performance to be expected for any future periods.</w:t>
      </w:r>
    </w:p>
    <w:p>
      <w:pPr>
        <w:pStyle w:val="TextBody"/>
        <w:bidi w:val="0"/>
        <w:spacing w:before="0" w:after="180"/>
        <w:jc w:val="center"/>
        <w:rPr/>
      </w:pPr>
      <w:r>
        <w:rPr/>
        <w:drawing>
          <wp:inline distT="0" distB="0" distL="0" distR="0">
            <wp:extent cx="6191250" cy="3619500"/>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4"/>
                    <a:stretch>
                      <a:fillRect/>
                    </a:stretch>
                  </pic:blipFill>
                  <pic:spPr bwMode="auto">
                    <a:xfrm>
                      <a:off x="0" y="0"/>
                      <a:ext cx="6191250" cy="3619500"/>
                    </a:xfrm>
                    <a:prstGeom prst="rect">
                      <a:avLst/>
                    </a:prstGeom>
                  </pic:spPr>
                </pic:pic>
              </a:graphicData>
            </a:graphic>
          </wp:inline>
        </w:drawing>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the heading "Performance Graph" shall not be deemed to be "soliciting material" or to be "filed" with the SEC or subject to liabilities of Section 18 of the Exchange Act, except to the extent that we specifically request that such information be treated as soliciting material or specifically be incorporated by reference into a filing under the Securities Act of 1933, as amended, or the Exchange Act.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8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80"/>
        <w:ind w:left="0" w:right="0" w:hanging="1440"/>
        <w:jc w:val="left"/>
        <w:rPr/>
      </w:pPr>
      <w:r>
        <w:rPr>
          <w:rFonts w:ascii="Times New Roman;sans-serif" w:hAnsi="Times New Roman;sans-serif"/>
          <w:b/>
          <w:color w:val="000000"/>
          <w:sz w:val="20"/>
        </w:rPr>
        <w:t>ITEM 7.    MANAGEMENT'S DISCUSSION AND ANALYSIS OF FINANCIAL CONDITION AND RESULTS OF OPERATIONS</w:t>
      </w:r>
      <w:r>
        <w:rPr>
          <w:color w:val="000000"/>
        </w:rPr>
        <w:t>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should be read together with our selected consolidated financial data and the consolidated financial statements and related notes included elsewhere herein. This discussion contains forward-looking statements that involve risks and uncertainties. As a result of many factors including, but not limited to, those set forth under the sections entitled "Risk Factors" and "Forward-Looking Statements", our actual results may differ materially from those anticipated in such forward-looking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discussion of our financial condition and results of operations for the year ended December 31, 2022 compared to the year ended December 31, 2021, please refer to Part II, Item 7, "Management's Discussion and Analysis of Financial Condition and Results of Operations" in our Annual Report on Form 10-K for the year ended December 31, 2022 filed with the SEC on March 15,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discovering, developing, manufacturing and commercializing innovative antibody-based therapeutics for the treatment of cancer. We have a pipeline of product candidates designed to target either various tumor-associated antigens or immune checkpoint molecules. These candidates are being evaluated in clinical trials sponsored by us or our collaborators or are in preclinical development. Our clinical product candidates include multiple oncology programs which have either been created using our proprietary, antibody-based technology platforms or enabled through our technology licensing arrangements with other companies.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In November 2022, the FDA approved TZIELD™ (teplizumab-mzwv) to delay the onset of Stage 3 Type 1 Diabetes (T1D) in adult and pediatric patients aged 8 years and older with Stage 2 T1D. Teplizumab was acquired from us by Provention Bio, Inc. (Provention) in 2018, pursuant to an asset purchase agreement (Provention APA). In March 2023, the FDA approved ZYNYZ™ (retifanlimab-dlwr), a humanized monoclonal antibody targeting programmed death receptor-1 (PD-1). Retifanlimab was previously developed by us and licensed to Incyte Corporation (Incyte) pursuant to an exclusive global collaboration and license agreement in October 2017.</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December 31, 2023,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vobramitamab duocarmazine (vobra duo) in metastatic castration-resistant prostate cancer (mCRPC), our Phase 2 LORIKEET study of lorigerlimab in mCRPC as well as our other clinical and preclinical studies currently ongoing.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December 31, 2023, we had an accumulated deficit of $1.1 billion. We expect that over the next several years this deficit will increase as we continue to incur research and development expense in connection with our ongoing activities and several clinical trials.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Macroeconomic Conditions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credit markets and financial markets have and may continue to experience significant volatility as a result of significant worldwide events, including adverse events involving financial institutions or the financial services industry, inflation and rising interest rates and geopolitical upheaval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i/>
          <w:color w:val="000000"/>
          <w:sz w:val="20"/>
        </w:rPr>
        <w:t xml:space="preserve">Incyte. </w:t>
      </w:r>
      <w:r>
        <w:rPr>
          <w:rFonts w:ascii="Times New Roman;sans-serif" w:hAnsi="Times New Roman;sans-serif"/>
          <w:b w:val="false"/>
          <w:color w:val="000000"/>
          <w:sz w:val="20"/>
        </w:rPr>
        <w:t>We have an exclusive global collaboration and license agreement with Incyte for retifanlimab, an investigational monoclonal antibody that inhibits PD-1(Incyte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$115.0 million from Incyte through December 31, 2023, including $15.0 million upon the FDA approval of ZYNYZ (retifanlimab-dlwr) in March 2023</w:t>
      </w:r>
      <w:r>
        <w:rPr>
          <w:rFonts w:ascii="Calibri;sans-serif" w:hAnsi="Calibri;sans-serif"/>
          <w:b w:val="false"/>
          <w:color w:val="008080"/>
          <w:sz w:val="24"/>
        </w:rPr>
        <w:t>.</w:t>
      </w:r>
      <w:r>
        <w:rPr>
          <w:color w:val="000000"/>
        </w:rPr>
        <w:t xml:space="preserve"> </w:t>
      </w:r>
      <w:r>
        <w:rPr>
          <w:rFonts w:ascii="Times New Roman;sans-serif" w:hAnsi="Times New Roman;sans-serif"/>
          <w:b w:val="false"/>
          <w:color w:val="000000"/>
          <w:sz w:val="20"/>
        </w:rPr>
        <w:t>We are eligible to receive an additional $320.0 million in development and regulatory milestones and $330.0 million in commercial milestones. We are also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i/>
          <w:color w:val="000000"/>
          <w:sz w:val="20"/>
        </w:rPr>
        <w:t>Gilead</w:t>
      </w:r>
      <w:r>
        <w:rPr>
          <w:rFonts w:ascii="Times New Roman;sans-serif" w:hAnsi="Times New Roman;sans-serif"/>
          <w:b w:val="false"/>
          <w:color w:val="000000"/>
          <w:sz w:val="20"/>
        </w:rPr>
        <w:t xml:space="preserve">. In October 2022, we and Gilead Sciences, Inc. (Gilead) entered into an exclusive option and collaboration agreement (Gilead Agreement) to develop and commercialize MGD024 </w:t>
      </w:r>
      <w:r>
        <w:rPr>
          <w:rFonts w:ascii="Times New Roman;sans-serif" w:hAnsi="Times New Roman;sans-serif"/>
          <w:b w:val="false"/>
          <w:color w:val="000000"/>
          <w:sz w:val="20"/>
          <w:shd w:fill="FFFFFF" w:val="clear"/>
        </w:rPr>
        <w:t>and create bispecific cancer antibodies using our DART platform and undertake their early development under a maximum of two separate bispecific cancer target research programs. Under t</w:t>
      </w:r>
      <w:r>
        <w:rPr>
          <w:rFonts w:ascii="Times New Roman;sans-serif" w:hAnsi="Times New Roman;sans-serif"/>
          <w:b w:val="false"/>
          <w:color w:val="000000"/>
          <w:sz w:val="20"/>
        </w:rPr>
        <w:t xml:space="preserve">he Gilead Agreement, we </w:t>
      </w:r>
      <w:r>
        <w:rPr>
          <w:rFonts w:ascii="Times New Roman;sans-serif" w:hAnsi="Times New Roman;sans-serif"/>
          <w:b w:val="false"/>
          <w:color w:val="000000"/>
          <w:sz w:val="20"/>
          <w:shd w:fill="FFFFFF" w:val="clear"/>
        </w:rPr>
        <w:t>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shd w:fill="FFFFFF" w:val="clear"/>
        </w:rPr>
        <w:t>, during which Gilead will have the right to exercise an option granted to Gilead to obtain an exclusive license to develop and commercialize MGD024 and other bispecific antibodies of ours that bind CD123 and CD3</w:t>
      </w:r>
      <w:r>
        <w:rPr>
          <w:color w:val="000000"/>
        </w:rPr>
        <w:t xml:space="preserve"> </w:t>
      </w:r>
      <w:r>
        <w:rPr>
          <w:rFonts w:ascii="Times New Roman;sans-serif" w:hAnsi="Times New Roman;sans-serif"/>
          <w:b w:val="false"/>
          <w:color w:val="000000"/>
          <w:sz w:val="20"/>
        </w:rPr>
        <w:t xml:space="preserve">(CD123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w:t>
      </w:r>
      <w:r>
        <w:rPr>
          <w:rFonts w:ascii="Times New Roman;sans-serif" w:hAnsi="Times New Roman;sans-serif"/>
          <w:b w:val="false"/>
          <w:color w:val="000000"/>
          <w:sz w:val="20"/>
          <w:shd w:fill="FFFFFF" w:val="clear"/>
        </w:rPr>
        <w:t>and products result from the two additional research programs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Assuming exercise of the CD123 Option, w</w:t>
      </w:r>
      <w:r>
        <w:rPr>
          <w:rFonts w:ascii="Times New Roman;sans-serif" w:hAnsi="Times New Roman;sans-serif"/>
          <w:b w:val="false"/>
          <w:color w:val="000000"/>
          <w:sz w:val="20"/>
        </w:rPr>
        <w:t xml:space="preserve">e will also be eligible to receive tiered, low double-digit royalties on worldwide net sales of MGD024 </w:t>
      </w:r>
      <w:r>
        <w:rPr>
          <w:rFonts w:ascii="Times New Roman;sans-serif" w:hAnsi="Times New Roman;sans-serif"/>
          <w:b w:val="false"/>
          <w:color w:val="000000"/>
          <w:sz w:val="20"/>
          <w:shd w:fill="FFFFFF" w:val="clear"/>
        </w:rPr>
        <w:t xml:space="preserve">(or other CD123 products developed under the agreement)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assuming exercise of the </w:t>
      </w:r>
      <w:r>
        <w:rPr>
          <w:rFonts w:ascii="Times New Roman;sans-serif" w:hAnsi="Times New Roman;sans-serif"/>
          <w:b w:val="false"/>
          <w:color w:val="000000"/>
          <w:sz w:val="20"/>
        </w:rPr>
        <w:t>Research Program Option, a flat royalty on worldwide net sales of any products resulting from the two research programs.</w:t>
      </w:r>
      <w:r>
        <w:rPr>
          <w:color w:val="008080"/>
        </w:rPr>
        <w:t xml:space="preserve"> </w:t>
      </w:r>
      <w:r>
        <w:rPr>
          <w:rFonts w:ascii="Times New Roman;sans-serif" w:hAnsi="Times New Roman;sans-serif"/>
          <w:b w:val="false"/>
          <w:color w:val="000000"/>
          <w:sz w:val="20"/>
        </w:rPr>
        <w:t xml:space="preserve">In September 2023, Gilead nominated the first of the two research programs contemplated in the Gilead Agreement (First Research Program), we granted Gilead a research license, and the parties agreed on a research plan for the First Research Program under which we will provide research and development services. Gilead paid us a $15.7 million nomination fee in October 2023. </w:t>
      </w:r>
    </w:p>
    <w:p>
      <w:pPr>
        <w:pStyle w:val="TextBody"/>
        <w:bidi w:val="0"/>
        <w:spacing w:before="0" w:after="0"/>
        <w:jc w:val="left"/>
        <w:rPr/>
      </w:pPr>
      <w:r>
        <w:rPr/>
      </w:r>
    </w:p>
    <w:p>
      <w:pPr>
        <w:pStyle w:val="TextBody"/>
        <w:bidi w:val="0"/>
        <w:spacing w:lineRule="auto" w:line="288" w:before="0" w:after="0"/>
        <w:ind w:left="0" w:right="0" w:hanging="360"/>
        <w:jc w:val="left"/>
        <w:rPr/>
      </w:pPr>
      <w:r>
        <w:rPr>
          <w:color w:val="252525"/>
        </w:rPr>
        <w:t>•</w:t>
      </w:r>
      <w:r>
        <w:rPr>
          <w:rFonts w:ascii="Times New Roman;sans-serif" w:hAnsi="Times New Roman;sans-serif"/>
          <w:b w:val="false"/>
          <w:i/>
          <w:color w:val="000000"/>
          <w:sz w:val="20"/>
        </w:rPr>
        <w:t>Provention</w:t>
      </w:r>
      <w:r>
        <w:rPr>
          <w:rFonts w:ascii="Times New Roman;sans-serif" w:hAnsi="Times New Roman;sans-serif"/>
          <w:b w:val="false"/>
          <w:color w:val="000000"/>
          <w:sz w:val="20"/>
        </w:rPr>
        <w:t xml:space="preserve">. In 2018, we entered into the Provention APA pursuant to which Provention acquired our interest in teplizumab. Under the Provention APA, if Provention successfully develops, obtains regulatory approval for, and commercializes teplizumab, we will be eligible to receive up to $170.0 million in regulatory milestones, and up to $225.0 million in commercial milestones. In November 2022, the FDA approved TZIELD (teplizumab-mzwv) to delay the onset of Stage 3 T1D in adult and pediatric patients aged 8 years and older with Stage 2 T1D, and we recognized $60.0 million in milestone revenue during the year ended December 31, 2022. In November 2022 we and Provention amended the Provention APA. Under the amended Provention APA, the $60.0 million milestone for a first approval was split into four $15.0 million payments, all of which were received prior to June 30, 2023. Under the Provention APA we are also eligible to receive single-digit royalties on net sales of TZIELD. Provention has also agreed to pay third-party obligations, including low single-digit royalties, a portion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 creditable against royalties payable to us, aggregate milestone payments of up to approximately $1.3 million and other consideration, for certain third-party intellectual property under agreements Provention assumed pursuant to the Provention APA. Further, Provention is required to pay us a low double-digit percentage of certain consideration to the extent it is received in connection with a grant of rights by Provention to a third party.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we sold our single-digit royalty interest in TZIELD (Royalty Interest) to a wholly-owned subsidiary of DRI Healthcare Trust (DRI) and received a $100.0 million payment from DRI under a Royalty Purchase Agreement. We retain our other economic interests related to TZIELD, including future potential regulatory and commercial milestones. We retain the right to receive a 50% share of the royalty on global net sales above a certain annual threshold (Retained Interest). In addition, we received $50.0 million upon the occurrence of the primary endpoint milestone event in September 2023, and we are also eligible to receive an additional $50.0 million if TZIELD achieves a certain level of net sales (the Sales Milestone Payment). In April 2023, we entered into an agreement (the Tripartite Agreement) with DRI and a subsidiary of Sanofi S.A. (Sanofi), whereby we consented to the sale of DRI’s Royalty Interest and the related milestone payment obligations to Sanofi. The Tripartite Agreement eliminated our obligation to deliver payments to DRI related to the Royalty Interest and removed all of our other obligations under the Royalty Purchase Agreement. The Royalty Interest will be paid directly to Sanofi by Provention, therefore we no longer have any obligation to pay DRI. There was no modification to our Retained Interest in the Tripartite Agreement.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we and Sanofi executed Amendment No. 2 to the Provention APA to incorporate the Sales Milestone Payment obligation from the Royalty Purchase Agreement into the Provention APA and terminated the Royalty Purchase Agreement. As a result, the remaining $50.0 million Sales Milestone Payment under the Royalty Purchase Agreement was incorporated into the Provention APA.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consists of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revenue from collaborative and other agreements which includes amounts recognized relating to upfront nonrefundable payments for licenses or options to obtain future licenses, amounts earned by performing development and manufacturing services, research and development funding and milestone payments earned under our collaboration and license agreements with our strategic collaborators;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product sales, net which reflects sales of MARGENZA which was launched in 2021. Product revenue is recorded net of applicable reserves for variable consideration, including discounts and other allowances;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contract manufacturing revenue which is earned from manufacturing third parties’ drug substance;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government agreements revenue which reflects amounts earned through grants and/or contracts with the U.S. government and other research institutions on behalf of the U.S. government, primarily with respect to research and development activities related to infectious disease product candidates. </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sales relates to sales of MARGENZA. These costs include materials and manufacturing costs, as well as royalties payable on net sales of MARGENZA and inventory reserves. All product costs incurred prior to FDA approval of MARGENZA in December 2020 were expensed as research and development expense. We expect cost of product sales to continue to be positively impacted for the next four to five years as we sell through inventory that was expensed prior to FDA approval of MARGENZA.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Cost of Manufacturing Services</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services consists of the costs to provide manufacturing services to produce certain bulk drug substance under manufacturing and clinical supply agreements with third parties, including salaries and benefits and related stock-based compensation, materials, overhead and other related costs.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consists of expenses incurred in performing research and development activities. These expenses include conducting preclinical experiments and studies, clinical trials, manufacturing efforts and regulatory filings for all product candidates, and other indirect expenses in support of our research and development activities. We capture research and development expense on a program-by-program basis for our product candidates and recognize these expenses as they are incurred. The following are items we include in research and development expense: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employee-related expenses, such as salaries and benefits;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employee-related overhead expenses, such as facilities and other allocated items;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stock-based compensation expense to employees engaged in research and development activities;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depreciation of laboratory and manufacturing equipment, computers and leasehold improvements;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fees paid to consultants, subcontractors, clinical research organizations (CROs) and other third party vendors for work performed under our preclinical and clinical trials including, but not limited to, investigator grants, laboratory work and analysis, database management, statistical analysis, and other items;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amounts paid to vendors and suppliers for laboratory supplies;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internal and third party costs related to manufacturing clinical trial materials, including vialing, packaging and testing;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license fees and other third party vendor payments related to in-licensed product candidates and technology;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costs related to compliance with regulatory requirements.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consists of salaries and related benefit costs for employees in our executive, finance, legal and intellectual property, business development, human resources, information technology and other support functions. Selling, general and administrative expense also includes costs incurred under the arrangement with our commercialization partner, Eversana Life Science Services, LLC, and other legal and professional fees.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Gain on Royalty Monetization Arrangement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we entered into the Tripartite Agreement with DRI and Sanofi, whereby we consented to the sale of DRI’s Royalty Interest and the related milestone payment obligations to Sanofi. The execution of the Tripartite Agreement resulted in a modification to the liability related to future royalties, and we recognized a $100.9 million gain on royalty monetization arrangement. In July 2023, Sanofi reported achievement of the primary endpoint milestone event related to a $50.0 million milestone, which resulted in an additional $50.0 million gain on royalty monetization arrangement. In September 2023, we amended the Provention APA and terminated the Royalty Purchase Agreement with DRI. See Note 7, Royalty Monetization Arrangement, of the Notes to Consolidated Financial Statements, for additional information.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financial conditions and results of operations is based on our consolidated financial statements, which have been prepared in accordance with accounting principles generally accepted in the United States of America (GAAP). The preparation of these consolidated financial statements requires us to make estimates, judgments and assumptions that affect the reported amounts of assets and liabilities and disclosure of contingent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 of the date of the balance sheets and the reported amount of the revenue and expenses recorded during the reporting period.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revenues and expenses. Actual results and experiences may differ from these estimates. We did not make any material changes to these assumptions during the year ended December 31, 2023, and do not expect any material changes in the near term to the underlying assumptions. If we were to adjust our assumptions, the results of any material revisions would be reflected in the consolidated financial statements prospectively from the date of the change in estimate. Management considers an accounting estimate to be critical if:</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it requires a significant level of estimation uncertainty;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the estimate are reasonably likely to have a material effect on our financial condition or results of operations.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a summary of significant accounting policies is described fully in Note 2 in our consolidated financial statements, we believe that the following accounting policies are the most critical to assist you in fully understanding and evaluating our financial results and the effect of the estimates and judgments we used in preparing our consolidated financial statements.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liability related to future royalties is presented net of unamortized issuance costs on our consolidated balance sheets. Interest expense on the liability related to future royalties is recognized using the effective interest rate method over the life of the arrangement. We calculate an effective interest rate which will amortize our related obligation to zero over the anticipated repayment period. The liability related to future royalties and the related interest expense are based on our current estimates of future royalties expected to be received over the life of the arrangement, which we determine by using internal sales projections and external information from market data sources, which are considered Level 3 inputs. We periodically assess the expected payments and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 </w:t>
      </w:r>
    </w:p>
    <w:p>
      <w:pPr>
        <w:pStyle w:val="TextBody"/>
        <w:bidi w:val="0"/>
        <w:spacing w:lineRule="auto" w:line="26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changes in facts and circumstances, for example as a result of a modification to the existing agreements, we re-evaluate our rights and obligations and account for the change in accordance with the respective accounting guidance.</w:t>
      </w:r>
    </w:p>
    <w:p>
      <w:pPr>
        <w:pStyle w:val="TextBody"/>
        <w:bidi w:val="0"/>
        <w:spacing w:lineRule="auto" w:line="26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We recognize revenue under Accounting Standards Codification (ASC) Topic 606, </w:t>
      </w:r>
      <w:r>
        <w:rPr>
          <w:rFonts w:ascii="Times New Roman;sans-serif" w:hAnsi="Times New Roman;sans-serif"/>
          <w:b w:val="false"/>
          <w:i/>
          <w:color w:val="000000"/>
          <w:sz w:val="20"/>
        </w:rPr>
        <w:t>Revenue from Contracts with Customer</w:t>
      </w:r>
      <w:r>
        <w:rPr>
          <w:rFonts w:ascii="Times New Roman;sans-serif" w:hAnsi="Times New Roman;sans-serif"/>
          <w:b w:val="false"/>
          <w:color w:val="000000"/>
          <w:sz w:val="20"/>
        </w:rPr>
        <w:t xml:space="preserve">s, (ASC 606) when our customer obtains control of promised goods or services, in an amount that reflects the consideration which we expect to receive in exchange for those goods or services. To determine revenue recognition for arrangements that we determine are within the scope of ASC 606, management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recognize as revenue the amount of the transaction price that is allocated to the respective performance obligation when (or as) the performance obligation is satisfied. </w:t>
      </w:r>
    </w:p>
    <w:p>
      <w:pPr>
        <w:pStyle w:val="TextBody"/>
        <w:bidi w:val="0"/>
        <w:spacing w:lineRule="auto" w:line="288" w:before="0" w:after="18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Collaborative and other agreements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licensing agreements that are within the scope of ASC 606, under which we may license rights to research, develop, manufacture and commercialize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We may also enter into development and manufacturing service agreements with our collaborators.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arrangement that results in revenues, we identify all performance obligations, which may include a license to intellectual property and know-how, research and development activities, transition activities and/or manufacturing services. In order to determine the transaction price, in addition to any upfront payment, management estimates the amount of variable consideration at the outset of the contract either utilizing the expected value or most likely amount method, depending on the facts and circumstances relative to the contract. We constrain (reduce) the estimates of variable consideration such that it is probable that a significant reversal of previously recognized revenue will not occur. When determining if variable consideration should be constrained, management considers whether there are factors outside our control that could result in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reversal of revenue. In making these assessments, management considers the likelihood and magnitude of a potential reversal of revenue. These estimates are re-assessed each reporting period as required.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Once the estimated transaction price is established, amounts are allocated to the performance obligations that have been identified. The transaction price is generally allocated to each separate performance obligation on a relative standalone selling price basis. We must develop assumptions that require judgment to determine the standalone selling price in order to account for these agreements. To determine the standalone selling price, management’s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We do not include a financing component to its estimated transaction price at contract inception unless we estimate that certain performance obligations will not be satisfied within one year.</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 xml:space="preserve">Licenses. </w:t>
      </w:r>
      <w:r>
        <w:rPr>
          <w:rFonts w:ascii="Times New Roman;sans-serif" w:hAnsi="Times New Roman;sans-serif"/>
          <w:b w:val="false"/>
          <w:color w:val="252525"/>
          <w:sz w:val="20"/>
        </w:rPr>
        <w:t xml:space="preserve">When we grant a license to our intellectual property, we </w:t>
      </w:r>
      <w:r>
        <w:rPr>
          <w:rFonts w:ascii="Times New Roman;sans-serif" w:hAnsi="Times New Roman;sans-serif"/>
          <w:b w:val="false"/>
          <w:color w:val="000000"/>
          <w:sz w:val="20"/>
        </w:rPr>
        <w:t xml:space="preserve">determine whether the </w:t>
      </w:r>
      <w:r>
        <w:rPr>
          <w:rFonts w:ascii="Times New Roman;sans-serif" w:hAnsi="Times New Roman;sans-serif"/>
          <w:b w:val="false"/>
          <w:color w:val="252525"/>
          <w:sz w:val="20"/>
        </w:rPr>
        <w:t xml:space="preserve">nature of the intellectual property to which the customer 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 license is transferred to the customer. Revenue from symbolic IP is recognized over the access period to our intellectual property. </w:t>
      </w:r>
      <w:r>
        <w:rPr>
          <w:rFonts w:ascii="Times New Roman;sans-serif" w:hAnsi="Times New Roman;sans-serif"/>
          <w:b w:val="false"/>
          <w:color w:val="000000"/>
          <w:sz w:val="20"/>
        </w:rPr>
        <w:t xml:space="preserve">If the license to our intellectual property is determined to be distinct from the other promises or performance obligations identified in the arrangement, we recognize revenue from non-refundable, upfront fees allocated to the license when the license is transferred to the customer and when (or as) the customer is able to use and benefit from the license. In assessing whether a promise or performance obligation is distinct from the other promises, we consider factors such as the research, development, manufacturing and commercialization capabilities of the licensee and the availability of the associated expertise in the general marketplace. In addition, we consider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management utilizes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Research, Development and/or Manufacturing Services. </w:t>
      </w:r>
      <w:r>
        <w:rPr>
          <w:rFonts w:ascii="Times New Roman;sans-serif" w:hAnsi="Times New Roman;sans-serif"/>
          <w:b w:val="false"/>
          <w:color w:val="000000"/>
          <w:sz w:val="20"/>
        </w:rPr>
        <w:t xml:space="preserve">The promises under our agreements may include research and development or manufacturing services to be performed by us on behalf of the counterparty. If these services are determined to be distinct from the other promises or performance obligations identified in the arrangement, we recognize the transaction price allocated to these services as revenue over time based on an appropriate measure of progress when the performance by us does not create an asset with an alternative use and we have an enforceable right to payment for the performance completed to date. If these services are determined not to be distinct from the other promises or performance obligations identified in the arrangement, we recognize the transaction price allocated to the combined performance obligation as the related performance obligations are satisfied.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Customer Options. </w:t>
      </w:r>
      <w:r>
        <w:rPr>
          <w:rFonts w:ascii="Times New Roman;sans-serif" w:hAnsi="Times New Roman;sans-serif"/>
          <w:b w:val="false"/>
          <w:color w:val="000000"/>
          <w:sz w:val="20"/>
        </w:rPr>
        <w:t xml:space="preserve">If an arrangement contains customer options, we evaluate whether the options are material rights because they allow the customer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or expires. If the options are deemed not to be a material right, they are excluded as performance obligations at the outset of the arrangement.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Milestone Payments. </w:t>
      </w:r>
      <w:r>
        <w:rPr>
          <w:rFonts w:ascii="Times New Roman;sans-serif" w:hAnsi="Times New Roman;sans-serif"/>
          <w:b w:val="false"/>
          <w:color w:val="000000"/>
          <w:sz w:val="20"/>
        </w:rPr>
        <w:t xml:space="preserve">At the inception of each arrangement that includes development milestone payments, management evaluates whether the milestones are considered probable of being achieved and estimates the amount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management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Royalties. </w:t>
      </w:r>
      <w:r>
        <w:rPr>
          <w:rFonts w:ascii="Times New Roman;sans-serif" w:hAnsi="Times New Roman;sans-serif"/>
          <w:b w:val="false"/>
          <w:color w:val="000000"/>
          <w:sz w:val="20"/>
        </w:rPr>
        <w:t>For arrangements that include sales-based royalties which are the result of a customer-vendor 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analyze our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management. We account for certain components of the collaboration agreement that are reflective of a vendor-customer relationship (e.g., licensing arrangement) based on ASC 606. We account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pStyle w:val="TextBody"/>
        <w:bidi w:val="0"/>
        <w:spacing w:lineRule="auto" w:line="288" w:before="18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sales, net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limited number of arrangements with specialty distributors in the United States to distribute MARGENZA. The delivery of our product represents a single performance obligation for these transactions and we record net product revenue when control is transferred to the customer, generally upon receipt by the customer. The transaction price for net product revenue represents the amount we expect to receive, which is net of estimated government-mandated rebates and chargebacks, distribution fees, estimated product returns, and other deductions. Accruals are established for these deductions, and actual amounts incurred are offset against applicable accruals. Customer discounts are recorded as reductions of accounts receivable on the consolidated balance sheets. Allowance for product returns, provider chargebacks, government and other rebates and service fees are recorded as a component of accrued expenses and other current liabilities on the consolidated balance sheets. Sales deductions are based on management's estimates that consider payor mix in target markets and experience to-date. These estimates involve a substantial degree of judgment, in particular, for government-mandated rebates and chargebacks, such as for the Medicaid and 340B programs.</w:t>
      </w:r>
    </w:p>
    <w:p>
      <w:pPr>
        <w:pStyle w:val="TextBody"/>
        <w:bidi w:val="0"/>
        <w:spacing w:lineRule="auto" w:line="288" w:before="180" w:after="18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manufacturing revenue</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We enter into agreements with third parties to manufacture their drug substance at our GMP facility. The terms of these arrangements typically include an upfront payment to us to reserve manufacturing capacity, scheduled payments during the manufacturing process and reimbursement for materials used to manufacture product.</w:t>
      </w:r>
      <w:r>
        <w:rPr>
          <w:color w:val="000000"/>
        </w:rPr>
        <w:t xml:space="preserve"> </w:t>
      </w:r>
      <w:r>
        <w:rPr>
          <w:rFonts w:ascii="Times New Roman;sans-serif" w:hAnsi="Times New Roman;sans-serif"/>
          <w:b w:val="false"/>
          <w:color w:val="000000"/>
          <w:sz w:val="20"/>
        </w:rPr>
        <w:t>We recognize revenue over time on a straight-line basis as the manufacturing services are performed, as we believe that our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r>
        <w:rPr>
          <w:color w:val="000000"/>
        </w:rPr>
        <w:t xml:space="preserv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 Including Clinical Trial Accruals/Expenses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Research and development expense consists of costs we incur for our own research and development activities and costs incurred by our collaborators under cost sharing arrangements. Research and development costs consist of salaries and benefits, including related stock-based compensation, laboratory supplies and facility costs, as well as fees paid to other entities that conduct certain research and development activities on our behalf, such as </w:t>
      </w:r>
      <w:r>
        <w:rPr>
          <w:rFonts w:ascii="Times New Roman;sans-serif" w:hAnsi="Times New Roman;sans-serif"/>
          <w:b w:val="false"/>
          <w:color w:val="000000"/>
          <w:sz w:val="20"/>
          <w:shd w:fill="FFFFFF" w:val="clear"/>
        </w:rPr>
        <w:t xml:space="preserve">CROs, and the cost of acquiring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manufacturing clinical trial materials, including costs incurred under agreements with </w:t>
      </w:r>
      <w:r>
        <w:rPr>
          <w:rFonts w:ascii="Times New Roman;sans-serif" w:hAnsi="Times New Roman;sans-serif"/>
          <w:b w:val="false"/>
          <w:color w:val="000000"/>
          <w:sz w:val="20"/>
        </w:rPr>
        <w:t xml:space="preserve">contract manufacturing organizations (CMOs). Research and development costs are expensed as incurred. We receive estimates from our collaborators when we are sharing development expenses, and use these estimates to record an increase or decrease in research and development expense, depending on how much we have each spent during the period.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shd w:fill="FFFFFF" w:val="clear"/>
        </w:rPr>
        <w:t xml:space="preserve">Clinical trial expenses are a significant component of research and development expense, and we outsource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w:t>
      </w:r>
      <w:r>
        <w:rPr>
          <w:rFonts w:ascii="Times New Roman;sans-serif" w:hAnsi="Times New Roman;sans-serif"/>
          <w:b w:val="false"/>
          <w:color w:val="000000"/>
          <w:sz w:val="20"/>
        </w:rPr>
        <w:t>Payments for these activities are based on the terms of the individual arrangements, which may differ from the pattern of costs incurred, and are reflected on the consolidated balance sheets as a prepaid asset or accrued expenses. These third party agreements are generally cancelable, and related costs are recorded as research and development expense as incurred. Non-refundable advance clinical payments for goods or services that will be used or rendered for future research and development activities are recorded as a prepaid asset and recognized as expense as the related goods are delivered or the related services are</w:t>
      </w:r>
      <w:r>
        <w:rPr>
          <w:color w:val="000000"/>
          <w:shd w:fill="FFFFFF" w:val="clear"/>
        </w:rPr>
        <w:t xml:space="preserve"> </w:t>
      </w:r>
      <w:r>
        <w:rPr>
          <w:rFonts w:ascii="Times New Roman;sans-serif" w:hAnsi="Times New Roman;sans-serif"/>
          <w:b w:val="false"/>
          <w:color w:val="000000"/>
          <w:sz w:val="20"/>
          <w:shd w:fill="FFFFFF" w:val="clear"/>
        </w:rPr>
        <w:t>performed.</w:t>
      </w:r>
      <w:r>
        <w:rPr>
          <w:color w:val="000000"/>
        </w:rPr>
        <w:t xml:space="preserve"> </w:t>
      </w:r>
      <w:r>
        <w:rPr>
          <w:rFonts w:ascii="Times New Roman;sans-serif" w:hAnsi="Times New Roman;sans-serif"/>
          <w:b w:val="false"/>
          <w:color w:val="000000"/>
          <w:sz w:val="20"/>
        </w:rPr>
        <w:t>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pStyle w:val="TextBody"/>
        <w:bidi w:val="0"/>
        <w:spacing w:lineRule="auto" w:line="276" w:before="0" w:after="180"/>
        <w:ind w:left="0" w:right="0" w:hanging="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to the consolidated financial statements for information under the caption "Recent Accounting Pronouncements."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pPr>
      <w:r>
        <w:rPr>
          <w:rFonts w:ascii="Times New Roman;sans-serif" w:hAnsi="Times New Roman;sans-serif"/>
          <w:b/>
          <w:i/>
          <w:color w:val="000000"/>
          <w:sz w:val="20"/>
        </w:rPr>
        <w:t>Revenue</w:t>
      </w:r>
      <w:r>
        <w:rPr>
          <w:color w:val="000000"/>
        </w:rPr>
        <w:t>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revenue for the years ended December 31, 2023 and 2022 (dollars in millions):</w:t>
      </w:r>
    </w:p>
    <w:tbl>
      <w:tblPr>
        <w:tblW w:w="7673" w:type="dxa"/>
        <w:jc w:val="left"/>
        <w:tblInd w:w="0" w:type="dxa"/>
        <w:tblLayout w:type="fixed"/>
        <w:tblCellMar>
          <w:top w:w="28" w:type="dxa"/>
          <w:left w:w="28" w:type="dxa"/>
          <w:bottom w:w="28" w:type="dxa"/>
          <w:right w:w="28" w:type="dxa"/>
        </w:tblCellMar>
      </w:tblPr>
      <w:tblGrid>
        <w:gridCol w:w="1091"/>
        <w:gridCol w:w="960"/>
        <w:gridCol w:w="963"/>
        <w:gridCol w:w="232"/>
        <w:gridCol w:w="563"/>
        <w:gridCol w:w="120"/>
        <w:gridCol w:w="120"/>
        <w:gridCol w:w="120"/>
        <w:gridCol w:w="120"/>
        <w:gridCol w:w="232"/>
        <w:gridCol w:w="679"/>
        <w:gridCol w:w="120"/>
        <w:gridCol w:w="109"/>
        <w:gridCol w:w="109"/>
        <w:gridCol w:w="109"/>
        <w:gridCol w:w="216"/>
        <w:gridCol w:w="602"/>
        <w:gridCol w:w="112"/>
        <w:gridCol w:w="112"/>
        <w:gridCol w:w="112"/>
        <w:gridCol w:w="112"/>
        <w:gridCol w:w="218"/>
        <w:gridCol w:w="218"/>
        <w:gridCol w:w="32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agreements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manufacturing </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agreements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of $90.3 million in revenue from collaborative and other agreements for the year ended December 31, 2023 compared to the year ended December 31, 2022 was primarily due to:</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color w:val="252525"/>
          <w:sz w:val="20"/>
        </w:rPr>
        <w:t>a net decrease of $54.5 million in revenue recognized under the</w:t>
      </w:r>
      <w:r>
        <w:rPr>
          <w:color w:val="000000"/>
        </w:rPr>
        <w:t xml:space="preserve"> </w:t>
      </w:r>
      <w:r>
        <w:rPr>
          <w:rFonts w:ascii="Times New Roman;sans-serif" w:hAnsi="Times New Roman;sans-serif"/>
          <w:b w:val="false"/>
          <w:color w:val="000000"/>
          <w:sz w:val="20"/>
        </w:rPr>
        <w:t>Provention APA due to the recognition of a $60.0 million milestone</w:t>
      </w:r>
      <w:r>
        <w:rPr>
          <w:color w:val="252525"/>
        </w:rPr>
        <w:t xml:space="preserve"> </w:t>
      </w:r>
      <w:r>
        <w:rPr>
          <w:rFonts w:ascii="Times New Roman;sans-serif" w:hAnsi="Times New Roman;sans-serif"/>
          <w:b w:val="false"/>
          <w:color w:val="252525"/>
          <w:sz w:val="20"/>
        </w:rPr>
        <w:t xml:space="preserve">in 2022 compared to $5.5 million recognized in 2023 related to other consideration under the </w:t>
      </w:r>
      <w:r>
        <w:rPr>
          <w:rFonts w:ascii="Times New Roman;sans-serif" w:hAnsi="Times New Roman;sans-serif"/>
          <w:b w:val="false"/>
          <w:color w:val="000000"/>
          <w:sz w:val="20"/>
        </w:rPr>
        <w:t>Provention APA</w:t>
      </w:r>
      <w:r>
        <w:rPr>
          <w:color w:val="252525"/>
        </w:rPr>
        <w:t xml:space="preserve"> </w:t>
      </w:r>
      <w:r>
        <w:rPr>
          <w:rFonts w:ascii="Times New Roman;sans-serif" w:hAnsi="Times New Roman;sans-serif"/>
          <w:b w:val="false"/>
          <w:color w:val="252525"/>
          <w:sz w:val="20"/>
        </w:rPr>
        <w:t>and Side Letter Agreement;</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color w:val="000000"/>
          <w:sz w:val="20"/>
        </w:rPr>
        <w:t xml:space="preserve">a decrease of </w:t>
      </w:r>
      <w:r>
        <w:rPr>
          <w:rFonts w:ascii="Times New Roman;sans-serif" w:hAnsi="Times New Roman;sans-serif"/>
          <w:b w:val="false"/>
          <w:color w:val="252525"/>
          <w:sz w:val="20"/>
        </w:rPr>
        <w:t>$22.1 million in revenue recognized under our agreements with Zai Lab;</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color w:val="252525"/>
          <w:sz w:val="20"/>
        </w:rPr>
        <w:t xml:space="preserve">a decrease of $10.0 million in revenue recognized under the </w:t>
      </w:r>
      <w:r>
        <w:rPr>
          <w:rFonts w:ascii="Times New Roman;sans-serif" w:hAnsi="Times New Roman;sans-serif"/>
          <w:b w:val="false"/>
          <w:color w:val="000000"/>
          <w:sz w:val="20"/>
        </w:rPr>
        <w:t>Incyte License Agreement; and</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color w:val="000000"/>
          <w:sz w:val="20"/>
        </w:rPr>
        <w:t>a decrease of $5.1 million in revenue recognized under the I-Mab License Agreement.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 an increase of $2.2 million in revenue recognized under the Gilead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product sales, net is primarily due to an increase in volume. Revenue from product sales is recorded net of applicable provisions for rebates, chargebacks and discounts, distribution-related fees and other sales-related deductions. The table below includes a reconciliation of the accounts associated with these deductions (in millions):</w:t>
      </w:r>
    </w:p>
    <w:tbl>
      <w:tblPr>
        <w:tblW w:w="10205" w:type="dxa"/>
        <w:jc w:val="left"/>
        <w:tblInd w:w="0" w:type="dxa"/>
        <w:tblLayout w:type="fixed"/>
        <w:tblCellMar>
          <w:top w:w="28" w:type="dxa"/>
          <w:left w:w="28" w:type="dxa"/>
          <w:bottom w:w="28" w:type="dxa"/>
          <w:right w:w="28" w:type="dxa"/>
        </w:tblCellMar>
      </w:tblPr>
      <w:tblGrid>
        <w:gridCol w:w="1097"/>
        <w:gridCol w:w="943"/>
        <w:gridCol w:w="950"/>
        <w:gridCol w:w="643"/>
        <w:gridCol w:w="1238"/>
        <w:gridCol w:w="334"/>
        <w:gridCol w:w="109"/>
        <w:gridCol w:w="109"/>
        <w:gridCol w:w="109"/>
        <w:gridCol w:w="1036"/>
        <w:gridCol w:w="1997"/>
        <w:gridCol w:w="538"/>
        <w:gridCol w:w="109"/>
        <w:gridCol w:w="109"/>
        <w:gridCol w:w="109"/>
        <w:gridCol w:w="211"/>
        <w:gridCol w:w="406"/>
        <w:gridCol w:w="158"/>
      </w:tblGrid>
      <w:tr>
        <w:trPr/>
        <w:tc>
          <w:tcPr>
            <w:tcW w:w="109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Rebates and chargebacks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Distribution fees, product returns and 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Total </w:t>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Payments/credits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prior year sales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Payments/credits </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pPr>
      <w:r>
        <w:rPr>
          <w:rFonts w:ascii="Times New Roman;sans-serif" w:hAnsi="Times New Roman;sans-serif"/>
          <w:b w:val="false"/>
          <w:color w:val="252525"/>
          <w:sz w:val="20"/>
        </w:rPr>
        <w:t xml:space="preserve">Contract manufacturing revenue </w:t>
      </w:r>
      <w:r>
        <w:rPr>
          <w:rFonts w:ascii="Times New Roman;sans-serif" w:hAnsi="Times New Roman;sans-serif"/>
          <w:b w:val="false"/>
          <w:color w:val="000000"/>
          <w:sz w:val="20"/>
        </w:rPr>
        <w:t xml:space="preserve">for the years ended December 31, 2023 and 2022 consists of revenue recognized from providing manufacturing services under the Incyte Manufacturing and Clinical Supply Agreement. </w:t>
      </w:r>
      <w:r>
        <w:rPr>
          <w:rFonts w:ascii="Times New Roman;sans-serif" w:hAnsi="Times New Roman;sans-serif"/>
          <w:b w:val="false"/>
          <w:color w:val="252525"/>
          <w:sz w:val="20"/>
        </w:rPr>
        <w:t xml:space="preserve">Contract manufacturing revenue </w:t>
      </w:r>
      <w:r>
        <w:rPr>
          <w:rFonts w:ascii="Times New Roman;sans-serif" w:hAnsi="Times New Roman;sans-serif"/>
          <w:b w:val="false"/>
          <w:color w:val="000000"/>
          <w:sz w:val="20"/>
        </w:rPr>
        <w:t>for the year ended December 31, 2022 also includes revenue recognized from providing manufacturing services under the Provention Manufacturing and Clinical Supply Agreement.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was $0.6 million and $3.4 million for the years ended December 31, 2023 and 2022, respectively. Cost of product sales includes product royalties and fill finish costs for both years, and cost of product sales for 2022 also includes reserves for unsaleable inventory. Product sold during both periods consisted of drug product that was previously charged to research and development expense prior to FDA approval of MARGENZA, which favorably impacted our gross margin. We expect cost of product sales to continue to be positively impacted as we sell through this drug product.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Manufacturing Services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manufacturing services was $7.6 million and $4.0 million for the years ended December 31, 2023 and 2022, respectively. Cost of manufacturing services includes the costs to provide manufacturing services to produce certain Incyte bulk drug substance under the Incyte Manufacturing and Clinical Supply Agreement for both years. Cost of manufacturing services for the year ended December 31, 2022 also includes costs to provide manufacturing services to produce certain bulk drug substance under the Provention Manufacturing and Clinical Supply Agreement. We expect cost of manufacturing services to vary from period to period based on the agreed-upon manufacturing schedule. </w:t>
      </w:r>
    </w:p>
    <w:p>
      <w:pPr>
        <w:pStyle w:val="TextBody"/>
        <w:bidi w:val="0"/>
        <w:spacing w:lineRule="auto" w:line="288" w:before="0" w:after="180"/>
        <w:jc w:val="left"/>
        <w:rPr/>
      </w:pPr>
      <w:r>
        <w:rPr>
          <w:rFonts w:ascii="Times New Roman;sans-serif" w:hAnsi="Times New Roman;sans-serif"/>
          <w:b/>
          <w:i/>
          <w:color w:val="000000"/>
          <w:sz w:val="20"/>
        </w:rPr>
        <w:t>Research and Development Expense</w:t>
      </w:r>
      <w:r>
        <w:rPr>
          <w:color w:val="000000"/>
        </w:rPr>
        <w: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research and development expense for the years ended December 31, 2023 and 2022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8814" w:type="dxa"/>
        <w:jc w:val="left"/>
        <w:tblInd w:w="0" w:type="dxa"/>
        <w:tblLayout w:type="fixed"/>
        <w:tblCellMar>
          <w:top w:w="28" w:type="dxa"/>
          <w:left w:w="28" w:type="dxa"/>
          <w:bottom w:w="28" w:type="dxa"/>
          <w:right w:w="28" w:type="dxa"/>
        </w:tblCellMar>
      </w:tblPr>
      <w:tblGrid>
        <w:gridCol w:w="1493"/>
        <w:gridCol w:w="1315"/>
        <w:gridCol w:w="1317"/>
        <w:gridCol w:w="221"/>
        <w:gridCol w:w="647"/>
        <w:gridCol w:w="114"/>
        <w:gridCol w:w="114"/>
        <w:gridCol w:w="114"/>
        <w:gridCol w:w="114"/>
        <w:gridCol w:w="221"/>
        <w:gridCol w:w="647"/>
        <w:gridCol w:w="114"/>
        <w:gridCol w:w="109"/>
        <w:gridCol w:w="109"/>
        <w:gridCol w:w="109"/>
        <w:gridCol w:w="216"/>
        <w:gridCol w:w="602"/>
        <w:gridCol w:w="112"/>
        <w:gridCol w:w="112"/>
        <w:gridCol w:w="112"/>
        <w:gridCol w:w="112"/>
        <w:gridCol w:w="233"/>
        <w:gridCol w:w="233"/>
        <w:gridCol w:w="324"/>
      </w:tblGrid>
      <w:tr>
        <w:trPr/>
        <w:tc>
          <w:tcPr>
            <w:tcW w:w="149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Vobramitamab duocarmazine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Lorigerlimab</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Margetuximab</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MGC028</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MGC026</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antibody-drug conjugates (ADCs)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Next-generation T-cell engagers (a)</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MGD024</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Tebotelimab</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Enoblituzumab</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Retifanlimab</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Flotetuzumab</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IMGC936</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DART molecules under HIV government contract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 (a)</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research and discovery projects, as well as early preclinical molecules and molecules not advanced to clinical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year ended December 31, 2023 decreased by $40.4 million compared to the year ended December 31, 2022. This decrease was primarily attributable to:</w:t>
      </w:r>
    </w:p>
    <w:p>
      <w:pPr>
        <w:pStyle w:val="TextBody"/>
        <w:bidi w:val="0"/>
        <w:spacing w:lineRule="auto" w:line="288" w:before="180" w:after="283"/>
        <w:ind w:left="0" w:right="0" w:hanging="360"/>
        <w:jc w:val="left"/>
        <w:rPr/>
      </w:pPr>
      <w:r>
        <w:rPr>
          <w:color w:val="252525"/>
        </w:rPr>
        <w:t>•</w:t>
      </w:r>
      <w:r>
        <w:rPr>
          <w:rFonts w:ascii="Times New Roman;sans-serif" w:hAnsi="Times New Roman;sans-serif"/>
          <w:b w:val="false"/>
          <w:color w:val="000000"/>
          <w:sz w:val="20"/>
        </w:rPr>
        <w:t>decreased manufacturing related costs for vobra duo;</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decreased development and clinical trial costs related to margetuximab, including expenses under the 2018 Zai Lab Agreement;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decreased development and clinical trial costs related to flotetuzumab due to discontinued development of this molecule;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enoblituzumab;</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tebotelimab;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decreased development costs related to other programs.</w:t>
      </w:r>
    </w:p>
    <w:p>
      <w:pPr>
        <w:pStyle w:val="TextBody"/>
        <w:bidi w:val="0"/>
        <w:spacing w:lineRule="auto" w:line="288" w:before="180" w:after="18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color w:val="252525"/>
          <w:sz w:val="20"/>
        </w:rPr>
        <w:t>increased development costs related to MGC026 and MGC028; and</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color w:val="252525"/>
          <w:sz w:val="20"/>
        </w:rPr>
        <w:t>increased clinical trial costs related to lorigerlimab.</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uncertainties associated with our research and development expenses for future periods which are impacted by multiple variables, including timing of wind down activities for recently closed studies and current and expected expenditures associated with our ongoing clinical studies.</w:t>
      </w:r>
    </w:p>
    <w:p>
      <w:pPr>
        <w:pStyle w:val="TextBody"/>
        <w:bidi w:val="0"/>
        <w:spacing w:lineRule="auto" w:line="288" w:before="0" w:after="180"/>
        <w:jc w:val="left"/>
        <w:rPr/>
      </w:pPr>
      <w:r>
        <w:rPr>
          <w:rFonts w:ascii="Times New Roman;sans-serif" w:hAnsi="Times New Roman;sans-serif"/>
          <w:b/>
          <w:i/>
          <w:color w:val="000000"/>
          <w:sz w:val="20"/>
        </w:rPr>
        <w:t>Selling, General and Administrative Expense</w:t>
      </w:r>
      <w:r>
        <w:rPr>
          <w:color w:val="000000"/>
        </w:rPr>
        <w: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were $52.2 million and $58.9 million for the years ended December 31, 2023 and 2022, respectively. The decrease is primarily due to decreased MARGENZA-related selling expenses.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Gain on Royalty Monetization Arrangement</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we entered into the Tripartite Agreement with DRI and Sanofi, whereby we consented to the sale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DRI’s Royalty Interest and the related milestone payment obligations to Sanofi. The execution of the Tripartite Agreement resulted in a modification to the liability related to future royalties, and we recognized a $100.9 million gain on royalty monetization arrangement. In July 2023, Sanofi reported achievement of the primary endpoint milestone event related to a $50.0 million milestone, which resulted in an additional $50.0 million gain on royalty monetization arrangement. In September 2023, we amended the Provention APA and terminated the Royalty Purchase Agreement with DRI. See Note 7, Royalty Monetization Arrangement, of the Notes to Consolidated Financial Statements, for additional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and Other Income</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of $8.0 million in interest and other income for the year ended December 31, 2023 compared to the year ended December 31, 2022 is primarily due to increased investment balances and higher interest rates.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summary of our cash flows for the years ended December 31, 2023 and 2022 (dollars in millions):</w:t>
      </w:r>
    </w:p>
    <w:tbl>
      <w:tblPr>
        <w:tblW w:w="8154" w:type="dxa"/>
        <w:jc w:val="left"/>
        <w:tblInd w:w="0" w:type="dxa"/>
        <w:tblLayout w:type="fixed"/>
        <w:tblCellMar>
          <w:top w:w="28" w:type="dxa"/>
          <w:left w:w="28" w:type="dxa"/>
          <w:bottom w:w="28" w:type="dxa"/>
          <w:right w:w="28" w:type="dxa"/>
        </w:tblCellMar>
      </w:tblPr>
      <w:tblGrid>
        <w:gridCol w:w="1266"/>
        <w:gridCol w:w="1112"/>
        <w:gridCol w:w="1116"/>
        <w:gridCol w:w="227"/>
        <w:gridCol w:w="633"/>
        <w:gridCol w:w="117"/>
        <w:gridCol w:w="117"/>
        <w:gridCol w:w="117"/>
        <w:gridCol w:w="117"/>
        <w:gridCol w:w="227"/>
        <w:gridCol w:w="633"/>
        <w:gridCol w:w="117"/>
        <w:gridCol w:w="109"/>
        <w:gridCol w:w="109"/>
        <w:gridCol w:w="109"/>
        <w:gridCol w:w="241"/>
        <w:gridCol w:w="464"/>
        <w:gridCol w:w="124"/>
        <w:gridCol w:w="124"/>
        <w:gridCol w:w="124"/>
        <w:gridCol w:w="124"/>
        <w:gridCol w:w="232"/>
        <w:gridCol w:w="234"/>
        <w:gridCol w:w="361"/>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p>
      <w:pPr>
        <w:pStyle w:val="TextBody"/>
        <w:bidi w:val="0"/>
        <w:spacing w:lineRule="auto" w:line="288" w:before="240" w:after="180"/>
        <w:jc w:val="left"/>
        <w:rPr/>
      </w:pPr>
      <w:r>
        <w:rPr>
          <w:rFonts w:ascii="Times New Roman;sans-serif" w:hAnsi="Times New Roman;sans-serif"/>
          <w:b w:val="false"/>
          <w:i/>
          <w:color w:val="000000"/>
          <w:sz w:val="20"/>
        </w:rPr>
        <w:t>Operating Activities</w:t>
      </w:r>
      <w:r>
        <w:rPr>
          <w:color w:val="000000"/>
        </w:rPr>
        <w: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consists of our net loss adjusted for non-cash items such as depreciation and amortization expense and stock-based compensation, gain on royalty monetization arrangement which is classified as a financing activity, and changes in working capital. Net cash used in operating activities for the year ended December 31, 2023 benefited from $45.0 million in milestone payments received from Provention and a $15.0 million milestone payment received from Incyte under the Incyte License Agreement. Net cash used in operating activities for the year ended December 31, 2022 benefited from the $60.0 million upfront payment under the Gilead Agreement, a $30.0 million milestone payment received from Incyte, and $15.0 million received from Provention.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2023 is primarily due to purchases of marketable securities, partially offset by maturities of marketable securities. Net cash provided by investing activities during the year ended December 31, 2022 is primarily due to maturities of marketable securities, partially offset by purchases of marketable securities.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2023 includes net cash proceeds from our Royalty Purchase Agreement with DRI of $149.7 million.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As a biotechnology company, we have primarily funded our operations with proceeds from the sale of our common stock in equity offerings and revenue from our multiple collaboration agreements.</w:t>
      </w:r>
      <w:r>
        <w:rPr>
          <w:color w:val="000000"/>
        </w:rPr>
        <w:t xml:space="preserve"> </w:t>
      </w:r>
      <w:r>
        <w:rPr>
          <w:rFonts w:ascii="Times New Roman;sans-serif" w:hAnsi="Times New Roman;sans-serif"/>
          <w:b w:val="false"/>
          <w:color w:val="000000"/>
          <w:sz w:val="20"/>
        </w:rPr>
        <w:t xml:space="preserve">Management regularly reviews our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0"/>
        </w:rPr>
        <w:t>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sans-serif" w:hAnsi="Times New Roman;sans-serif"/>
          <w:b w:val="false"/>
          <w:color w:val="EE2724"/>
          <w:sz w:val="20"/>
        </w:rPr>
        <w:t xml:space="preserve">. </w:t>
      </w:r>
      <w:r>
        <w:rPr>
          <w:rFonts w:ascii="Times New Roman;sans-serif" w:hAnsi="Times New Roman;sans-serif"/>
          <w:b w:val="false"/>
          <w:color w:val="000000"/>
          <w:sz w:val="20"/>
        </w:rPr>
        <w:t xml:space="preserve">Although it is difficult to predict our funding requirements, we anticipate that our cash, cash equivalents and marketable securities as of December 31, 2023,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 duo in mCRPC, our Phase 2 study of lorigerlimab in mCRPC as well as our other clinical and preclinical studies currently ongoing. </w:t>
      </w:r>
    </w:p>
    <w:p>
      <w:pPr>
        <w:pStyle w:val="TextBody"/>
        <w:bidi w:val="0"/>
        <w:spacing w:lineRule="auto" w:line="288" w:before="0" w:after="180"/>
        <w:jc w:val="left"/>
        <w:rPr>
          <w:rFonts w:ascii="Times New Roman;sans-serif" w:hAnsi="Times New Roman;sans-serif"/>
          <w:b/>
          <w:i/>
          <w:color w:val="252525"/>
          <w:sz w:val="20"/>
        </w:rPr>
      </w:pPr>
      <w:r>
        <w:rPr>
          <w:rFonts w:ascii="Times New Roman;sans-serif" w:hAnsi="Times New Roman;sans-serif"/>
          <w:b/>
          <w:i/>
          <w:color w:val="252525"/>
          <w:sz w:val="20"/>
        </w:rPr>
        <w:t>Material Cash Requirements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short-term and long-term material cash requirements consist of operational and capital expenditures, some of which contain contractual obligations. Our primary uses of cash relate to paying salaries and benefits, administering clinical trials and providing the technology and facilities necessary to support our operations. The most significant contractual obligations are the operating leases at our facilities in Maryland. Our future minimum lease payments as of December 31, 2023 totaled $4.0 million related to short-term lease liabilities, and $66.3 million related to long-term lease liabilities. See Note 6, Commitments and Contingencies, in the Notes to the Financial Statements in this Annual Report on Form 10-K for additional information about our contractual obligations. We expect to fund these requirements with current cash, cash equivalents and marketable securities as well as anticipated and potential collaboration payments, and product revenues.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as defined under the rules and regulations of the Securities and Exchange Commission.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December 31, 2023, we had cash, cash equivalents and marketable securities of $229.8 million. Our primary exposure to market risk is related to changes in interest rates. </w:t>
      </w:r>
      <w:r>
        <w:rPr>
          <w:rFonts w:ascii="Times New Roman;sans-serif" w:hAnsi="Times New Roman;sans-serif"/>
          <w:b w:val="false"/>
          <w:color w:val="252525"/>
          <w:sz w:val="20"/>
        </w:rPr>
        <w:t>Due to the short-term maturities of our cash equivalents and marketable securities and the low risk profile of our marketable securities, an immediate 100 basis point change in interest rates would not have a material effect on the fair market value of our cash equivalents and marketable securities. We have the ability to hold our marketable securities until maturity, and we therefore do not expect a change in market interest rates to affect our operating results or cash flows to any significant degree.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beginning on page F-1 in this Annual Report on Form 10-K.</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1440"/>
        <w:jc w:val="left"/>
        <w:rPr/>
      </w:pPr>
      <w:r>
        <w:rPr>
          <w:rFonts w:ascii="Times New Roman;sans-serif" w:hAnsi="Times New Roman;sans-serif"/>
          <w:b/>
          <w:color w:val="000000"/>
          <w:sz w:val="20"/>
        </w:rPr>
        <w:t>ITEM 9.    CHANGES AND DISAGREEMENTS WITH ACCOUNTANTS ON ACCOUNTING AND</w:t>
      </w:r>
      <w:r>
        <w:rPr>
          <w:color w:val="000000"/>
        </w:rPr>
        <w:t> </w:t>
      </w:r>
      <w:r>
        <w:rPr>
          <w:rFonts w:ascii="Times New Roman;sans-serif" w:hAnsi="Times New Roman;sans-serif"/>
          <w:b/>
          <w:color w:val="000000"/>
          <w:sz w:val="20"/>
        </w:rPr>
        <w:t>FINANCIAL DISCLOSURE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88" w:before="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principal executive and principal financial officers, has evaluated the effectiveness of our disclosure controls and procedures as of December 31, 2023. Our disclosure controls and procedures are designed to provide reasonable assurance that the information required to be disclosed in this Annual Report on Form 10-K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evaluation, our principal executive and principal financial officers have concluded that our disclosure controls and procedures are effective at the reasonable assurance level.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0" w:after="160"/>
        <w:ind w:left="0" w:right="0" w:firstLine="720"/>
        <w:jc w:val="left"/>
        <w:rPr/>
      </w:pPr>
      <w:r>
        <w:rPr>
          <w:rFonts w:ascii="Times New Roman;sans-serif" w:hAnsi="Times New Roman;sans-serif"/>
          <w:b w:val="false"/>
          <w:color w:val="252525"/>
          <w:sz w:val="20"/>
        </w:rPr>
        <w:t xml:space="preserve">Our management, including our principal executive and principal financial officers, has evaluated any changes in our internal control over financial reporting that occurred during the quarterly period ended </w:t>
      </w:r>
      <w:r>
        <w:rPr>
          <w:rFonts w:ascii="Times New Roman;sans-serif" w:hAnsi="Times New Roman;sans-serif"/>
          <w:b w:val="false"/>
          <w:color w:val="000000"/>
          <w:sz w:val="20"/>
        </w:rPr>
        <w:t>December 31, 2023</w:t>
      </w:r>
      <w:r>
        <w:rPr>
          <w:rFonts w:ascii="Times New Roman;sans-serif" w:hAnsi="Times New Roman;sans-serif"/>
          <w:b w:val="false"/>
          <w:color w:val="252525"/>
          <w:sz w:val="20"/>
        </w:rPr>
        <w:t>, and has concluded that there was no change that occurred during the quarterly period ended</w:t>
      </w:r>
      <w:r>
        <w:rPr>
          <w:color w:val="000000"/>
        </w:rPr>
        <w:t xml:space="preserve"> </w:t>
      </w:r>
      <w:r>
        <w:rPr>
          <w:rFonts w:ascii="Times New Roman;sans-serif" w:hAnsi="Times New Roman;sans-serif"/>
          <w:b w:val="false"/>
          <w:color w:val="000000"/>
          <w:sz w:val="20"/>
        </w:rPr>
        <w:t>December 31, 2023 that have materially affected, or are reasonably likely to materially effect, the Company's internal control over financial reporting.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of the Company is responsible for establishing and maintaining adequate internal control over financial reporting.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pertain to the management of records that in reasonable detail accurately and fairly reflect the transactions and dispositions of the assets of the Company;</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assessed the effectiveness of the Company's internal control over financial reporting as of December 31, 2023. In making this assessment, the Company's management used the criteria set forth by the Committee of Sponsoring Organizations of the Treadway Commission (2013 framework) (COSO) in Internal Control-Integrated Framework. Based on our assessment, management believes that, as of December 31, 2023, the Company's internal control over financial reporting is effective based on those criteria.</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Ernst &amp; Young, LLP, an independent registered public accounting firm, as stated in their report which is included herein on page 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8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10b5-1 Trading Plans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 following Section 16 officer and directors adopted, modified or terminated a “Rule 10b5-1 trading arrangement” (as defined in Item 408 of Regulation S-K of the Exchange Act):</w:t>
      </w:r>
    </w:p>
    <w:p>
      <w:pPr>
        <w:pStyle w:val="TextBody"/>
        <w:bidi w:val="0"/>
        <w:spacing w:before="0" w:after="0"/>
        <w:ind w:left="0" w:right="0" w:firstLine="270"/>
        <w:jc w:val="left"/>
        <w:rPr/>
      </w:pPr>
      <w:r>
        <w:rPr/>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James Karrels, Senior Vice President and Chief Financial Officer, adopted a new trading plan on December 8, 2023 (with the first trade possible under the new plan no sooner than April 16, 2024). The trading plan will be effective until April 15, 2025 and covers the potential sale of up to 490,000 shares of common stock. (1)</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Jeffrey Peters, Senior Vice President and General Counsel, adopted a new trading plan on December 8, 2023 (with the first trade possible under the new plan no sooner than April 4, 2024). The trading plan will be effective until March 20, 2025 and covers the potential sale of up to 370,842 shares of common stock. (2)</w:t>
      </w:r>
    </w:p>
    <w:p>
      <w:pPr>
        <w:pStyle w:val="TextBody"/>
        <w:bidi w:val="0"/>
        <w:spacing w:lineRule="auto" w:line="288" w:before="0" w:after="60"/>
        <w:ind w:left="0" w:right="0" w:hanging="27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 xml:space="preserve">Mr. Karrels’ plan as adopted December 8, 2023 covered the potential sale of additional shares that were since sold under a prior existing plan. The total provided here reflects the maximum remaining shares available to sell under the December 8, 2023 plan as of March 5,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Mr. Peters’ plan as adopted December 8, 2023 covered the potential sale of additional shares that were since sold under a prior existing plan. The total provided here reflects the maximum remaining shares available to sell under the December 8, 2023 plan as of March 5,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417" w:before="0" w:after="1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60" w:after="160"/>
        <w:jc w:val="center"/>
        <w:rPr/>
      </w:pPr>
      <w:r>
        <w:rPr/>
      </w:r>
    </w:p>
    <w:p>
      <w:pPr>
        <w:pStyle w:val="TextBody"/>
        <w:bidi w:val="0"/>
        <w:spacing w:lineRule="auto" w:line="417"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MacroGenics, Inc. </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MacroGenics, Inc.’s internal control over financial reporting as of December 31, 2023, based on criteria established in Internal Control-Integrated Framework issued by the Committee of Sponsoring Organizations of the Treadway Commission (2013 framework) (the COSO criteria). In our opinion, MacroGenics, Inc. (the Company) maintained, in all material respects, effective internal control over financial reporting as of December 31, 2023, based on the COSO criteria.</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2023 and 2022, the related consolidated statements of operations and comprehensive loss, stockholders’ equity and cash flows for each of the three years in the period ended December 31, 2023, and the related notes and our report dated March 7, 2024, expressed an unqualified opinion thereon.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Tysons, Virginia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 herein by reference the relevant information concerning directors, executive officers and corporate governance to be included in our definitive proxy statement for the 2024 annual meeting of stockholders (the 2024 Proxy Statement) under the captions "Directors and Nominees" "Corporate Governance," "Executive Officers," and "Delinquent Section 16(a) Reports".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(the “Code”) that applies to all of our employees, officers and directors. The Code is available under the Corporate Governance section of our website at http://ir.macrogenics.com/governance. We expect that any amendments to the Code, or any waivers of its requirements, will be disclosed on our website.</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 herein by reference the relevant information concerning executive compensation to be included in the 2024 Proxy Statement under the captions "Executive Compensation Information," CEO Pay Ratio Disclosure," and "Director Compensation".</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 herein by reference the relevant information concerning security ownership of certain beneficial owners and management to be included in the 2024 Proxy Statement under the captions "Security Ownership of Certain Beneficial Owners and Management" and "Information About Equity Compensation Plans".</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 herein by reference the relevant information concerning certain other relationships and related transactions to be included in the 2024 Proxy Statement under the captions "Corporate Governance" and "Certain Relationships and Related Party Transactions".</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 herein by reference the relevant information concerning principal accountant fees and services to be included in the 2024 Proxy Statement under the caption "Principal Accountant Fees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Annual Report on Form 10-K:</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w:t>
      </w:r>
    </w:p>
    <w:tbl>
      <w:tblPr>
        <w:tblW w:w="7064" w:type="dxa"/>
        <w:jc w:val="left"/>
        <w:tblInd w:w="0" w:type="dxa"/>
        <w:tblLayout w:type="fixed"/>
        <w:tblCellMar>
          <w:top w:w="28" w:type="dxa"/>
          <w:left w:w="28" w:type="dxa"/>
          <w:bottom w:w="28" w:type="dxa"/>
          <w:right w:w="28" w:type="dxa"/>
        </w:tblCellMar>
      </w:tblPr>
      <w:tblGrid>
        <w:gridCol w:w="2371"/>
        <w:gridCol w:w="2086"/>
        <w:gridCol w:w="2098"/>
        <w:gridCol w:w="149"/>
        <w:gridCol w:w="149"/>
        <w:gridCol w:w="211"/>
      </w:tblGrid>
      <w:tr>
        <w:trPr/>
        <w:tc>
          <w:tcPr>
            <w:tcW w:w="237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Ernst &amp; Young LLP, Independent Registered Public Accounting Firm</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af560e98645139c7ed7af73a9eafe_118">
              <w:r>
                <w:rPr>
                  <w:rStyle w:val="InternetLink"/>
                  <w:rFonts w:ascii="Times New Roman;sans-serif" w:hAnsi="Times New Roman;sans-serif"/>
                  <w:b w:val="false"/>
                  <w:strike w:val="false"/>
                  <w:dstrike w:val="false"/>
                  <w:color w:val="000080"/>
                  <w:sz w:val="20"/>
                  <w:u w:val="single"/>
                  <w:effect w:val="none"/>
                </w:rPr>
                <w:t xml:space="preserve">F - </w:t>
              </w:r>
            </w:hyperlink>
            <w:hyperlink w:anchor="i69aaf560e98645139c7ed7af73a9eafe_118">
              <w:r>
                <w:rPr>
                  <w:rStyle w:val="InternetLink"/>
                  <w:rFonts w:ascii="Times New Roman;sans-serif" w:hAnsi="Times New Roman;sans-serif"/>
                  <w:b w:val="false"/>
                  <w:strike w:val="false"/>
                  <w:dstrike w:val="false"/>
                  <w:color w:val="000080"/>
                  <w:sz w:val="20"/>
                  <w:u w:val="single"/>
                  <w:effect w:val="none"/>
                </w:rPr>
                <w:t>1</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af560e98645139c7ed7af73a9eafe_121">
              <w:r>
                <w:rPr>
                  <w:rStyle w:val="InternetLink"/>
                  <w:rFonts w:ascii="Times New Roman;sans-serif" w:hAnsi="Times New Roman;sans-serif"/>
                  <w:b w:val="false"/>
                  <w:strike w:val="false"/>
                  <w:dstrike w:val="false"/>
                  <w:color w:val="000080"/>
                  <w:sz w:val="20"/>
                  <w:u w:val="single"/>
                  <w:effect w:val="none"/>
                </w:rPr>
                <w:t xml:space="preserve">F - </w:t>
              </w:r>
            </w:hyperlink>
            <w:hyperlink w:anchor="i69aaf560e98645139c7ed7af73a9eafe_121">
              <w:r>
                <w:rPr>
                  <w:rStyle w:val="InternetLink"/>
                  <w:rFonts w:ascii="Times New Roman;sans-serif" w:hAnsi="Times New Roman;sans-serif"/>
                  <w:b w:val="false"/>
                  <w:strike w:val="false"/>
                  <w:dstrike w:val="false"/>
                  <w:color w:val="000080"/>
                  <w:sz w:val="20"/>
                  <w:u w:val="single"/>
                  <w:effect w:val="none"/>
                </w:rPr>
                <w:t>3</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Loss</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af560e98645139c7ed7af73a9eafe_124">
              <w:r>
                <w:rPr>
                  <w:rStyle w:val="InternetLink"/>
                  <w:rFonts w:ascii="Times New Roman;sans-serif" w:hAnsi="Times New Roman;sans-serif"/>
                  <w:b w:val="false"/>
                  <w:strike w:val="false"/>
                  <w:dstrike w:val="false"/>
                  <w:color w:val="000080"/>
                  <w:sz w:val="20"/>
                  <w:u w:val="single"/>
                  <w:effect w:val="none"/>
                </w:rPr>
                <w:t xml:space="preserve">F - </w:t>
              </w:r>
            </w:hyperlink>
            <w:hyperlink w:anchor="i69aaf560e98645139c7ed7af73a9eafe_124">
              <w:r>
                <w:rPr>
                  <w:rStyle w:val="InternetLink"/>
                  <w:rFonts w:ascii="Times New Roman;sans-serif" w:hAnsi="Times New Roman;sans-serif"/>
                  <w:b w:val="false"/>
                  <w:strike w:val="false"/>
                  <w:dstrike w:val="false"/>
                  <w:color w:val="000080"/>
                  <w:sz w:val="20"/>
                  <w:u w:val="single"/>
                  <w:effect w:val="none"/>
                </w:rPr>
                <w:t>4</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af560e98645139c7ed7af73a9eafe_127">
              <w:r>
                <w:rPr>
                  <w:rStyle w:val="InternetLink"/>
                  <w:rFonts w:ascii="Times New Roman;sans-serif" w:hAnsi="Times New Roman;sans-serif"/>
                  <w:b w:val="false"/>
                  <w:strike w:val="false"/>
                  <w:dstrike w:val="false"/>
                  <w:color w:val="000080"/>
                  <w:sz w:val="20"/>
                  <w:u w:val="single"/>
                  <w:effect w:val="none"/>
                </w:rPr>
                <w:t xml:space="preserve">F - </w:t>
              </w:r>
            </w:hyperlink>
            <w:hyperlink w:anchor="i69aaf560e98645139c7ed7af73a9eafe_127">
              <w:r>
                <w:rPr>
                  <w:rStyle w:val="InternetLink"/>
                  <w:rFonts w:ascii="Times New Roman;sans-serif" w:hAnsi="Times New Roman;sans-serif"/>
                  <w:b w:val="false"/>
                  <w:strike w:val="false"/>
                  <w:dstrike w:val="false"/>
                  <w:color w:val="000080"/>
                  <w:sz w:val="20"/>
                  <w:u w:val="single"/>
                  <w:effect w:val="none"/>
                </w:rPr>
                <w:t>5</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af560e98645139c7ed7af73a9eafe_130">
              <w:r>
                <w:rPr>
                  <w:rStyle w:val="InternetLink"/>
                  <w:rFonts w:ascii="Times New Roman;sans-serif" w:hAnsi="Times New Roman;sans-serif"/>
                  <w:b w:val="false"/>
                  <w:strike w:val="false"/>
                  <w:dstrike w:val="false"/>
                  <w:color w:val="000080"/>
                  <w:sz w:val="20"/>
                  <w:u w:val="single"/>
                  <w:effect w:val="none"/>
                </w:rPr>
                <w:t xml:space="preserve">F - </w:t>
              </w:r>
            </w:hyperlink>
            <w:hyperlink w:anchor="i69aaf560e98645139c7ed7af73a9eafe_130">
              <w:r>
                <w:rPr>
                  <w:rStyle w:val="InternetLink"/>
                  <w:rFonts w:ascii="Times New Roman;sans-serif" w:hAnsi="Times New Roman;sans-serif"/>
                  <w:b w:val="false"/>
                  <w:strike w:val="false"/>
                  <w:dstrike w:val="false"/>
                  <w:color w:val="000080"/>
                  <w:sz w:val="20"/>
                  <w:u w:val="single"/>
                  <w:effect w:val="none"/>
                </w:rPr>
                <w:t>6</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af560e98645139c7ed7af73a9eafe_133">
              <w:r>
                <w:rPr>
                  <w:rStyle w:val="InternetLink"/>
                  <w:rFonts w:ascii="Times New Roman;sans-serif" w:hAnsi="Times New Roman;sans-serif"/>
                  <w:b w:val="false"/>
                  <w:strike w:val="false"/>
                  <w:dstrike w:val="false"/>
                  <w:color w:val="000080"/>
                  <w:sz w:val="20"/>
                  <w:u w:val="single"/>
                  <w:effect w:val="none"/>
                </w:rPr>
                <w:t xml:space="preserve">F - </w:t>
              </w:r>
            </w:hyperlink>
            <w:hyperlink w:anchor="i69aaf560e98645139c7ed7af73a9eafe_133">
              <w:r>
                <w:rPr>
                  <w:rStyle w:val="InternetLink"/>
                  <w:rFonts w:ascii="Times New Roman;sans-serif" w:hAnsi="Times New Roman;sans-serif"/>
                  <w:b w:val="false"/>
                  <w:strike w:val="false"/>
                  <w:dstrike w:val="false"/>
                  <w:color w:val="000080"/>
                  <w:sz w:val="20"/>
                  <w:u w:val="single"/>
                  <w:effect w:val="none"/>
                </w:rPr>
                <w:t>7</w:t>
              </w:r>
            </w:hyperlink>
          </w:p>
        </w:tc>
      </w:tr>
    </w:tbl>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not applicable, not required or the information required is shown in the financial statements or the notes thereto.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filed as part of this Annual Report on Form 10-K are set forth on the Exhibit Index immediately following our consolidated financial statements. The Exhibit Index is incorporated herein by reference.</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8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Act of 1934, the registrant has duly caused this report to be signed on its behalf by the undersigned, thereunto duly authorized:</w:t>
      </w:r>
    </w:p>
    <w:tbl>
      <w:tblPr>
        <w:tblW w:w="3915" w:type="dxa"/>
        <w:jc w:val="left"/>
        <w:tblInd w:w="0" w:type="dxa"/>
        <w:tblLayout w:type="fixed"/>
        <w:tblCellMar>
          <w:top w:w="28" w:type="dxa"/>
          <w:left w:w="28" w:type="dxa"/>
          <w:bottom w:w="28" w:type="dxa"/>
          <w:right w:w="28" w:type="dxa"/>
        </w:tblCellMar>
      </w:tblPr>
      <w:tblGrid>
        <w:gridCol w:w="124"/>
        <w:gridCol w:w="109"/>
        <w:gridCol w:w="109"/>
        <w:gridCol w:w="251"/>
        <w:gridCol w:w="251"/>
        <w:gridCol w:w="251"/>
        <w:gridCol w:w="818"/>
        <w:gridCol w:w="818"/>
        <w:gridCol w:w="1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Koenig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CEO and Director</w:t>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as amended, this Report has been signed by the following persons on behalf of the registrant and in the capacities and on the dates indicated:</w:t>
      </w:r>
    </w:p>
    <w:tbl>
      <w:tblPr>
        <w:tblW w:w="7612" w:type="dxa"/>
        <w:jc w:val="left"/>
        <w:tblInd w:w="0" w:type="dxa"/>
        <w:tblLayout w:type="fixed"/>
        <w:tblCellMar>
          <w:top w:w="28" w:type="dxa"/>
          <w:left w:w="28" w:type="dxa"/>
          <w:bottom w:w="28" w:type="dxa"/>
          <w:right w:w="28" w:type="dxa"/>
        </w:tblCellMar>
      </w:tblPr>
      <w:tblGrid>
        <w:gridCol w:w="824"/>
        <w:gridCol w:w="725"/>
        <w:gridCol w:w="730"/>
        <w:gridCol w:w="109"/>
        <w:gridCol w:w="109"/>
        <w:gridCol w:w="109"/>
        <w:gridCol w:w="1110"/>
        <w:gridCol w:w="1110"/>
        <w:gridCol w:w="1125"/>
        <w:gridCol w:w="109"/>
        <w:gridCol w:w="109"/>
        <w:gridCol w:w="109"/>
        <w:gridCol w:w="389"/>
        <w:gridCol w:w="389"/>
        <w:gridCol w:w="556"/>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Koenig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Karrels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Chief </w:t>
              <w:br/>
              <w:t xml:space="preserve">Financial Officer and Secretary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Lynn Cilinski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Controller and Treasurer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Lynn Cilinski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Karen Ferrante,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Ferrante,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Heiden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Heiden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Hurwitz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Hurwitz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Meenu Chhabra Karson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Meenu Chhabra Karson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Margaret A. Liu,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Margaret A. Liu,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Federica O’Brien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Federica O’Brien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Siegel,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Siegel,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Stump,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Stump,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3415"/>
        <w:gridCol w:w="2987"/>
        <w:gridCol w:w="3005"/>
        <w:gridCol w:w="233"/>
        <w:gridCol w:w="233"/>
        <w:gridCol w:w="332"/>
      </w:tblGrid>
      <w:tr>
        <w:trPr/>
        <w:tc>
          <w:tcPr>
            <w:tcW w:w="3415"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18">
              <w:r>
                <w:rPr>
                  <w:rStyle w:val="InternetLink"/>
                  <w:rFonts w:ascii="Times New Roman;sans-serif" w:hAnsi="Times New Roman;sans-serif"/>
                  <w:b w:val="false"/>
                  <w:color w:val="0000FF"/>
                  <w:sz w:val="20"/>
                  <w:u w:val="single"/>
                </w:rPr>
                <w:t xml:space="preserve">Report of Ernst &amp; Young LLP, Independent Registered Public Accounting Firm (PCAOB ID: </w:t>
              </w:r>
            </w:hyperlink>
            <w:r>
              <w:rPr>
                <w:rFonts w:ascii="Times New Roman;sans-serif" w:hAnsi="Times New Roman;sans-serif"/>
                <w:b w:val="false"/>
                <w:color w:val="0E32E1"/>
                <w:sz w:val="20"/>
                <w:u w:val="single"/>
              </w:rPr>
              <w:t>42</w:t>
            </w:r>
            <w:hyperlink w:anchor="i69aaf560e98645139c7ed7af73a9eafe_118">
              <w:r>
                <w:rPr>
                  <w:rStyle w:val="InternetLink"/>
                  <w:rFonts w:ascii="Times New Roman;sans-serif" w:hAnsi="Times New Roman;sans-serif"/>
                  <w:b w:val="false"/>
                  <w:color w:val="0000FF"/>
                  <w:sz w:val="20"/>
                  <w:u w:val="single"/>
                </w:rPr>
                <w:t>)</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18">
              <w:r>
                <w:rPr>
                  <w:rStyle w:val="InternetLink"/>
                  <w:rFonts w:ascii="Times New Roman;sans-serif" w:hAnsi="Times New Roman;sans-serif"/>
                  <w:b w:val="false"/>
                  <w:color w:val="000080"/>
                  <w:sz w:val="20"/>
                  <w:u w:val="single"/>
                </w:rPr>
                <w:t xml:space="preserve">F - </w:t>
              </w:r>
            </w:hyperlink>
            <w:hyperlink w:anchor="i69aaf560e98645139c7ed7af73a9eafe_118">
              <w:r>
                <w:rPr>
                  <w:rStyle w:val="InternetLink"/>
                  <w:rFonts w:ascii="Times New Roman;sans-serif" w:hAnsi="Times New Roman;sans-serif"/>
                  <w:b w:val="false"/>
                  <w:color w:val="000080"/>
                  <w:sz w:val="20"/>
                  <w:u w:val="single"/>
                </w:rPr>
                <w:t>1</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21">
              <w:r>
                <w:rPr>
                  <w:rStyle w:val="InternetLink"/>
                  <w:rFonts w:ascii="Times New Roman;sans-serif" w:hAnsi="Times New Roman;sans-serif"/>
                  <w:b w:val="false"/>
                  <w:color w:val="0000FF"/>
                  <w:sz w:val="20"/>
                  <w:u w:val="single"/>
                </w:rPr>
                <w:t>Consolidated Balance Sheets at December 31, 2023 and December 31, 2022</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21">
              <w:r>
                <w:rPr>
                  <w:rStyle w:val="InternetLink"/>
                  <w:rFonts w:ascii="Times New Roman;sans-serif" w:hAnsi="Times New Roman;sans-serif"/>
                  <w:b w:val="false"/>
                  <w:color w:val="000080"/>
                  <w:sz w:val="20"/>
                  <w:u w:val="single"/>
                </w:rPr>
                <w:t xml:space="preserve">F - </w:t>
              </w:r>
            </w:hyperlink>
            <w:hyperlink w:anchor="i69aaf560e98645139c7ed7af73a9eafe_121">
              <w:r>
                <w:rPr>
                  <w:rStyle w:val="InternetLink"/>
                  <w:rFonts w:ascii="Times New Roman;sans-serif" w:hAnsi="Times New Roman;sans-serif"/>
                  <w:b w:val="false"/>
                  <w:color w:val="000080"/>
                  <w:sz w:val="20"/>
                  <w:u w:val="single"/>
                </w:rPr>
                <w:t>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24">
              <w:r>
                <w:rPr>
                  <w:rStyle w:val="InternetLink"/>
                  <w:rFonts w:ascii="Times New Roman;sans-serif" w:hAnsi="Times New Roman;sans-serif"/>
                  <w:b w:val="false"/>
                  <w:color w:val="0000FF"/>
                  <w:sz w:val="20"/>
                  <w:u w:val="single"/>
                </w:rPr>
                <w:t>Consolidated Statements of Operations and Comprehensive Loss for the years ended December 31, 2023, 2022 and 2021</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24">
              <w:r>
                <w:rPr>
                  <w:rStyle w:val="InternetLink"/>
                  <w:rFonts w:ascii="Times New Roman;sans-serif" w:hAnsi="Times New Roman;sans-serif"/>
                  <w:b w:val="false"/>
                  <w:color w:val="000080"/>
                  <w:sz w:val="20"/>
                  <w:u w:val="single"/>
                </w:rPr>
                <w:t xml:space="preserve">F - </w:t>
              </w:r>
            </w:hyperlink>
            <w:hyperlink w:anchor="i69aaf560e98645139c7ed7af73a9eafe_124">
              <w:r>
                <w:rPr>
                  <w:rStyle w:val="InternetLink"/>
                  <w:rFonts w:ascii="Times New Roman;sans-serif" w:hAnsi="Times New Roman;sans-serif"/>
                  <w:b w:val="false"/>
                  <w:color w:val="000080"/>
                  <w:sz w:val="20"/>
                  <w:u w:val="single"/>
                </w:rPr>
                <w:t>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27">
              <w:r>
                <w:rPr>
                  <w:rStyle w:val="InternetLink"/>
                  <w:rFonts w:ascii="Times New Roman;sans-serif" w:hAnsi="Times New Roman;sans-serif"/>
                  <w:b w:val="false"/>
                  <w:color w:val="0000FF"/>
                  <w:sz w:val="20"/>
                  <w:u w:val="single"/>
                </w:rPr>
                <w:t>Consolidated Statements of Stockholders' Equity for the years ended December 31, 2023, 2022 and 2021</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27">
              <w:r>
                <w:rPr>
                  <w:rStyle w:val="InternetLink"/>
                  <w:rFonts w:ascii="Times New Roman;sans-serif" w:hAnsi="Times New Roman;sans-serif"/>
                  <w:b w:val="false"/>
                  <w:color w:val="000080"/>
                  <w:sz w:val="20"/>
                  <w:u w:val="single"/>
                </w:rPr>
                <w:t xml:space="preserve">F - </w:t>
              </w:r>
            </w:hyperlink>
            <w:hyperlink w:anchor="i69aaf560e98645139c7ed7af73a9eafe_127">
              <w:r>
                <w:rPr>
                  <w:rStyle w:val="InternetLink"/>
                  <w:rFonts w:ascii="Times New Roman;sans-serif" w:hAnsi="Times New Roman;sans-serif"/>
                  <w:b w:val="false"/>
                  <w:color w:val="000080"/>
                  <w:sz w:val="20"/>
                  <w:u w:val="single"/>
                </w:rPr>
                <w:t>5</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30">
              <w:r>
                <w:rPr>
                  <w:rStyle w:val="InternetLink"/>
                  <w:rFonts w:ascii="Times New Roman;sans-serif" w:hAnsi="Times New Roman;sans-serif"/>
                  <w:b w:val="false"/>
                  <w:color w:val="0000FF"/>
                  <w:sz w:val="20"/>
                  <w:u w:val="single"/>
                </w:rPr>
                <w:t>Consolidated Statements of Cash Flows for the years ended December 31, 2023, 2022 and 2021</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30">
              <w:r>
                <w:rPr>
                  <w:rStyle w:val="InternetLink"/>
                  <w:rFonts w:ascii="Times New Roman;sans-serif" w:hAnsi="Times New Roman;sans-serif"/>
                  <w:b w:val="false"/>
                  <w:color w:val="000080"/>
                  <w:sz w:val="20"/>
                  <w:u w:val="single"/>
                </w:rPr>
                <w:t xml:space="preserve">F - </w:t>
              </w:r>
            </w:hyperlink>
            <w:hyperlink w:anchor="i69aaf560e98645139c7ed7af73a9eafe_130">
              <w:r>
                <w:rPr>
                  <w:rStyle w:val="InternetLink"/>
                  <w:rFonts w:ascii="Times New Roman;sans-serif" w:hAnsi="Times New Roman;sans-serif"/>
                  <w:b w:val="false"/>
                  <w:color w:val="000080"/>
                  <w:sz w:val="20"/>
                  <w:u w:val="single"/>
                </w:rPr>
                <w:t>6</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af560e98645139c7ed7af73a9eafe_133">
              <w:r>
                <w:rPr>
                  <w:rStyle w:val="InternetLink"/>
                  <w:rFonts w:ascii="Times New Roman;sans-serif" w:hAnsi="Times New Roman;sans-serif"/>
                  <w:b w:val="false"/>
                  <w:color w:val="0000FF"/>
                  <w:sz w:val="20"/>
                  <w:u w:val="single"/>
                </w:rPr>
                <w:t>Notes to Consolidated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aaf560e98645139c7ed7af73a9eafe_133">
              <w:r>
                <w:rPr>
                  <w:rStyle w:val="InternetLink"/>
                  <w:rFonts w:ascii="Times New Roman;sans-serif" w:hAnsi="Times New Roman;sans-serif"/>
                  <w:b w:val="false"/>
                  <w:color w:val="000080"/>
                  <w:sz w:val="20"/>
                  <w:u w:val="single"/>
                </w:rPr>
                <w:t xml:space="preserve">F - </w:t>
              </w:r>
            </w:hyperlink>
            <w:hyperlink w:anchor="i69aaf560e98645139c7ed7af73a9eafe_133">
              <w:r>
                <w:rPr>
                  <w:rStyle w:val="InternetLink"/>
                  <w:rFonts w:ascii="Times New Roman;sans-serif" w:hAnsi="Times New Roman;sans-serif"/>
                  <w:b w:val="false"/>
                  <w:color w:val="000080"/>
                  <w:sz w:val="20"/>
                  <w:u w:val="single"/>
                </w:rPr>
                <w:t>7</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MacroGenics, Inc.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180"/>
        <w:jc w:val="left"/>
        <w:rPr/>
      </w:pPr>
      <w:r>
        <w:rPr>
          <w:rFonts w:ascii="Times New Roman;sans-serif" w:hAnsi="Times New Roman;sans-serif"/>
          <w:b w:val="false"/>
          <w:color w:val="000000"/>
          <w:sz w:val="20"/>
        </w:rPr>
        <w:t>We have audited the accompanying consolidated balance sheets of MacroGenics, Inc. (the Company) as of December 31, 2023 and 2022, the related consolidated statements of operations and comprehensive loss, stockholders’ equity and cash flows for each of the three years in the period ended December 31, 2023, and the related notes (collectively referred to as the “consolidated financial statements”). In our opinion, the consolidated</w:t>
      </w:r>
      <w:r>
        <w:rPr>
          <w:color w:val="000000"/>
        </w:rPr>
        <w:t xml:space="preserve"> </w:t>
      </w:r>
      <w:r>
        <w:rPr>
          <w:rFonts w:ascii="Times New Roman;sans-serif" w:hAnsi="Times New Roman;sans-serif"/>
          <w:b w:val="false"/>
          <w:color w:val="000000"/>
          <w:sz w:val="20"/>
        </w:rPr>
        <w:t>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7, 2024 expressed an unqualified opinion thereon.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Critical Audit Matter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tbl>
      <w:tblPr>
        <w:tblW w:w="10205" w:type="dxa"/>
        <w:jc w:val="left"/>
        <w:tblInd w:w="0" w:type="dxa"/>
        <w:tblLayout w:type="fixed"/>
        <w:tblCellMar>
          <w:top w:w="28" w:type="dxa"/>
          <w:left w:w="28" w:type="dxa"/>
          <w:bottom w:w="28" w:type="dxa"/>
          <w:right w:w="28" w:type="dxa"/>
        </w:tblCellMar>
      </w:tblPr>
      <w:tblGrid>
        <w:gridCol w:w="712"/>
        <w:gridCol w:w="280"/>
        <w:gridCol w:w="280"/>
        <w:gridCol w:w="2773"/>
        <w:gridCol w:w="2773"/>
        <w:gridCol w:w="3387"/>
      </w:tblGrid>
      <w:tr>
        <w:trPr/>
        <w:tc>
          <w:tcPr>
            <w:tcW w:w="7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Accounting for the Royalty Monetization Arrangement</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3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7 of the consolidated financial statements, on March 8, 2023, the Company entered into a Purchase and Sale Agreement to sell its royalty interest on future global sales of TZIELD (teplizumab-mzwv) to a wholly-owned subsidiary of DRI Healthcare Trust (“DRI”) for consideration of up to $200 million (“Royalty Monetization Arrangement”). The Company accounted for the Royalty Monetization Arrangement as a financing transaction. Subsequent transactions among various parties amended the Royalty Monetization Agreement.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for the Royalty Monetization Arrangement and related amendments required the Company to make significant judgments, including but not limited to the evaluation of the key terms of the Royalty Monetization Arrangement and other related amendments to determine the applicable accounting. As a result, auditing the Royalty Monetization Arrangement and related amendments required especially complex auditor judgment.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4"/>
        <w:gridCol w:w="408"/>
        <w:gridCol w:w="409"/>
        <w:gridCol w:w="2609"/>
        <w:gridCol w:w="2609"/>
        <w:gridCol w:w="3706"/>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addressing the risks of material misstatement relating to the accounting for the Royalty Monetization Arrangement. For example, we tested controls over management's process for performing technical accounting analyses and related evaluations of the applicable authoritative guidance.</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audit the Company’s accounting for the Royalty Monetization Arrangement and related amendments, we performed audit procedures that included, among others, inspecting the executed agreements and related accounting analyses performed by management and evaluating the conclusions. In addition, we obtained representations from management and performed inquiries of external and internal legal counsel to corroborate the Company’s interpretation of the terms of the Royalty Monetization Arrangement and related amendments. We also involved our subject matter resources to assist with auditing the significant and judgmental conclusions reached by management including the evaluation of the terms of the agreements and the application of the related accounting guidance.</w:t>
            </w:r>
          </w:p>
          <w:p>
            <w:pPr>
              <w:pStyle w:val="TableContents"/>
              <w:bidi w:val="0"/>
              <w:spacing w:before="0" w:after="0"/>
              <w:jc w:val="left"/>
              <w:rPr/>
            </w:pPr>
            <w:r>
              <w:rPr/>
            </w:r>
          </w:p>
        </w:tc>
      </w:tr>
    </w:tbl>
    <w:tbl>
      <w:tblPr>
        <w:tblW w:w="4827" w:type="dxa"/>
        <w:jc w:val="left"/>
        <w:tblInd w:w="0" w:type="dxa"/>
        <w:tblLayout w:type="fixed"/>
        <w:tblCellMar>
          <w:top w:w="28" w:type="dxa"/>
          <w:left w:w="28" w:type="dxa"/>
          <w:bottom w:w="28" w:type="dxa"/>
          <w:right w:w="28" w:type="dxa"/>
        </w:tblCellMar>
      </w:tblPr>
      <w:tblGrid>
        <w:gridCol w:w="1612"/>
        <w:gridCol w:w="1417"/>
        <w:gridCol w:w="1426"/>
        <w:gridCol w:w="109"/>
        <w:gridCol w:w="109"/>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Tysons, Virginia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50"/>
        <w:gridCol w:w="2357"/>
        <w:gridCol w:w="2320"/>
        <w:gridCol w:w="211"/>
        <w:gridCol w:w="831"/>
        <w:gridCol w:w="109"/>
        <w:gridCol w:w="109"/>
        <w:gridCol w:w="109"/>
        <w:gridCol w:w="109"/>
        <w:gridCol w:w="211"/>
        <w:gridCol w:w="831"/>
        <w:gridCol w:w="158"/>
      </w:tblGrid>
      <w:tr>
        <w:trPr/>
        <w:tc>
          <w:tcPr>
            <w:tcW w:w="2850"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222,180 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 of current portion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-- 125,000,000 shares authorized, 62,070,627 and 61,701,467 shares outstanding at December 31, 2023 and December 31, 2022, respectively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9655" w:type="dxa"/>
        <w:jc w:val="center"/>
        <w:tblInd w:w="0" w:type="dxa"/>
        <w:tblLayout w:type="fixed"/>
        <w:tblCellMar>
          <w:top w:w="28" w:type="dxa"/>
          <w:left w:w="28" w:type="dxa"/>
          <w:bottom w:w="28" w:type="dxa"/>
          <w:right w:w="28" w:type="dxa"/>
        </w:tblCellMar>
      </w:tblPr>
      <w:tblGrid>
        <w:gridCol w:w="1927"/>
        <w:gridCol w:w="1688"/>
        <w:gridCol w:w="1709"/>
        <w:gridCol w:w="244"/>
        <w:gridCol w:w="837"/>
        <w:gridCol w:w="109"/>
        <w:gridCol w:w="109"/>
        <w:gridCol w:w="109"/>
        <w:gridCol w:w="109"/>
        <w:gridCol w:w="211"/>
        <w:gridCol w:w="901"/>
        <w:gridCol w:w="109"/>
        <w:gridCol w:w="109"/>
        <w:gridCol w:w="109"/>
        <w:gridCol w:w="109"/>
        <w:gridCol w:w="211"/>
        <w:gridCol w:w="901"/>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agreements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manufacturing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agreements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61,929,198 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776"/>
        <w:gridCol w:w="323"/>
        <w:gridCol w:w="324"/>
        <w:gridCol w:w="540"/>
        <w:gridCol w:w="541"/>
        <w:gridCol w:w="196"/>
        <w:gridCol w:w="109"/>
        <w:gridCol w:w="109"/>
        <w:gridCol w:w="109"/>
        <w:gridCol w:w="211"/>
        <w:gridCol w:w="466"/>
        <w:gridCol w:w="109"/>
        <w:gridCol w:w="109"/>
        <w:gridCol w:w="109"/>
        <w:gridCol w:w="109"/>
        <w:gridCol w:w="211"/>
        <w:gridCol w:w="976"/>
        <w:gridCol w:w="109"/>
        <w:gridCol w:w="109"/>
        <w:gridCol w:w="109"/>
        <w:gridCol w:w="109"/>
        <w:gridCol w:w="211"/>
        <w:gridCol w:w="994"/>
        <w:gridCol w:w="109"/>
        <w:gridCol w:w="109"/>
        <w:gridCol w:w="109"/>
        <w:gridCol w:w="109"/>
        <w:gridCol w:w="456"/>
        <w:gridCol w:w="586"/>
        <w:gridCol w:w="236"/>
        <w:gridCol w:w="109"/>
        <w:gridCol w:w="109"/>
        <w:gridCol w:w="109"/>
        <w:gridCol w:w="211"/>
        <w:gridCol w:w="826"/>
        <w:gridCol w:w="159"/>
      </w:tblGrid>
      <w:tr>
        <w:trPr/>
        <w:tc>
          <w:tcPr>
            <w:tcW w:w="7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Paid-In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56,244,771 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61,307,428 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61,701,467 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62,070,627 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48"/>
        <w:gridCol w:w="1879"/>
        <w:gridCol w:w="1892"/>
        <w:gridCol w:w="211"/>
        <w:gridCol w:w="826"/>
        <w:gridCol w:w="109"/>
        <w:gridCol w:w="109"/>
        <w:gridCol w:w="109"/>
        <w:gridCol w:w="109"/>
        <w:gridCol w:w="211"/>
        <w:gridCol w:w="899"/>
        <w:gridCol w:w="109"/>
        <w:gridCol w:w="109"/>
        <w:gridCol w:w="109"/>
        <w:gridCol w:w="109"/>
        <w:gridCol w:w="211"/>
        <w:gridCol w:w="899"/>
        <w:gridCol w:w="157"/>
      </w:tblGrid>
      <w:tr>
        <w:trPr/>
        <w:tc>
          <w:tcPr>
            <w:tcW w:w="2148"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(143,830)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and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equipment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 of offering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 and ESPP 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royalty monetization arrangement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operating and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or accruals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MacroGenics, Inc. (the Company) is incorporated in the state of Delaware. The Company is a biopharmaceutical company focused on discovering, developing, manufacturing and commercializing innovative antibody-based therapeutics for the treatment of cancer. The Company has a pipeline of product candidates designed to target either various tumor-associated antigens or immune checkpoint molecules. These candidates are being evaluated in clinical trials sponsored by the Company or its collaborators or are in preclinical development. The Company’s clinical product candidates include multiple oncology programs which have either been created using its proprietary, antibody-based technology platforms or enabled through its technology licensing arrangements with other companies. The Company believes its product candidates have the potential, if approved for marketing by regulatory authorities, to have a meaningful effect on treating patients' unmet medical needs as monotherapy or, in some cases, in combination with other therapeutic agents. To date, three products originating from the Company’s pipeline of proprietary or partnered product candidates have received U.S. Food and Drug Administration (FDA) approval.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(teplizumab-mzwv) to delay the onset of Stage 3 Type 1 Diabetes (T1D) in adult and pediatric patients aged 8 years and older with Stage 2 T1D. Teplizumab was acquired from the Company by Provention Bio, Inc. (Provention) in May 2018, pursuant to an asset purchase agreement. In March 2023, the FDA approved ZYNYZ™ (retifanlimab-dlwr), a humanized monoclonal antibody targeting programmed death receptor-1 (PD-1). Retifanlimab was previously developed by the Company and licensed to Incyte Corporation (Incyte) pursuant to an exclusive global collaboration and license agreement in October 2017.</w:t>
      </w:r>
    </w:p>
    <w:p>
      <w:pPr>
        <w:pStyle w:val="TextBody"/>
        <w:bidi w:val="0"/>
        <w:spacing w:lineRule="auto" w:line="288" w:before="100" w:after="12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multiple product candidates currently under development will require significant additional research and development efforts that include extensive preclinical studies and clinical testing, and regulatory approval prior to commercial use.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As a biotechnology company, the Company has primarily funded its operations with proceeds from the sale of its common stock in equity offerings and revenue from its multiple collaboration agreements.</w:t>
      </w:r>
      <w:r>
        <w:rPr>
          <w:color w:val="000000"/>
        </w:rPr>
        <w:t xml:space="preserve"> </w:t>
      </w:r>
      <w:r>
        <w:rPr>
          <w:rFonts w:ascii="Times New Roman;sans-serif" w:hAnsi="Times New Roman;sans-serif"/>
          <w:b w:val="false"/>
          <w:color w:val="000000"/>
          <w:sz w:val="20"/>
        </w:rPr>
        <w:t>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product sales and royalties.</w:t>
      </w:r>
      <w:r>
        <w:rPr>
          <w:color w:val="000000"/>
        </w:rPr>
        <w:t xml:space="preserve"> </w:t>
      </w:r>
      <w:r>
        <w:rPr>
          <w:rFonts w:ascii="Times New Roman;sans-serif" w:hAnsi="Times New Roman;sans-serif"/>
          <w:b w:val="false"/>
          <w:color w:val="000000"/>
          <w:sz w:val="20"/>
        </w:rPr>
        <w:t>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Annual Report on Form 10-K was filed.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 to the 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adverse events involving financial institutions or the financial services industry, inflation and rising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wholly owned subsidiaries, MacroGenics UK Limited and MacroGenics Limited. All intercompany accounts and transactions have been eliminated in consolidation. The Company currently operates in one operating segment. Operating segments are defined as components of an enterprise about which separate discrete information is available for the chief operating decision maker, or decision making group, in deciding how to allocate resources and assessing performance. The Company views its operations and manages its business in one segment, which is developing and commercializing monoclonal antibody-based therapeutics.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financial statements in accordance with generally accepted accounting principles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fair values of assets, inventory, preclinical study and clinical trial accruals and other contingencies. Management bases its estimates on historical experience or on various other assumptions that it believes to be reasonable under the circumstances. Although actual results could differ from these estimates, management does not believe that such differences would be material.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Marketable Securities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investments in highly liquid financial instruments with a maturity of 90 days or less at the date of purchase to be cash equivalents. Cash and cash equivalents includes investments in money market funds with commercial banks and financial institutions, securities issued by the U.S. government and its agencies, Government Sponsored Enterprise agency debt obligations and corporate debt obligations. Cash equivalents are stated at amortized cost, plus accrued interest, which approximates fair value.</w:t>
      </w:r>
    </w:p>
    <w:p>
      <w:pPr>
        <w:pStyle w:val="TextBody"/>
        <w:bidi w:val="0"/>
        <w:spacing w:lineRule="auto" w:line="288" w:before="0" w:after="180"/>
        <w:ind w:left="0" w:right="0" w:firstLine="720"/>
        <w:jc w:val="left"/>
        <w:rPr/>
      </w:pPr>
      <w:r>
        <w:rPr>
          <w:rFonts w:ascii="Times New Roman;sans-serif" w:hAnsi="Times New Roman;sans-serif"/>
          <w:b w:val="false"/>
          <w:color w:val="252525"/>
          <w:sz w:val="20"/>
        </w:rPr>
        <w:t xml:space="preserve">The Company carries marketable securities classified as available-for-sale at fair value as determined by prices for identical or similar securities at the balance sheet date. </w:t>
      </w:r>
      <w:r>
        <w:rPr>
          <w:rFonts w:ascii="Times New Roman;sans-serif" w:hAnsi="Times New Roman;sans-serif"/>
          <w:b w:val="false"/>
          <w:color w:val="000000"/>
          <w:sz w:val="20"/>
        </w:rPr>
        <w:t xml:space="preserve">Classification of marketable securities between current and non-current is dependent upon the maturity date at the balance sheet date taking into consideration the Company’s ability and intent to hold the investment to maturity. </w:t>
      </w:r>
      <w:r>
        <w:rPr>
          <w:rFonts w:ascii="Times New Roman;sans-serif" w:hAnsi="Times New Roman;sans-serif"/>
          <w:b w:val="false"/>
          <w:color w:val="252525"/>
          <w:sz w:val="20"/>
        </w:rPr>
        <w:t>Marketable securities consist of Level 2 financial instruments in the fair-value hierarchy. The Company records unrealized gains and losses as a component of other comprehensive loss within the statements of operations and comprehensive loss and as a separate component of stockholders' equity. Realized gains or losses on available-for-sale securities are determined using the specific identification method and the Company includes net realized gains and losses in other income, along with interest income and amortization of premiums and discounts.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arise from product sales, amounts due from the Company’s collaborative partners and contract manufacturing work performed by the Company. The amount from product sales represents amounts due from specialty distributors. Accounts receivable that management has the intent and ability to collect are reported in the consolidated balance sheets at outstanding amounts, less an allowance for doubtful accounts. The Company writes off uncollectible receivables when the likelihood of collection is remote.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collectability of accounts receivable on a regular basis. The allowance, if any, is based upon various factors including the financial condition and payment history of customers, an overall review of collections experience on other accounts and economic factors or events expected to affect future collections experience. No allowance was recorded as of December 31, 2023 or 2022, as the Company has a history of collecting on all outstanding accounts.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180"/>
        <w:ind w:left="0" w:right="0" w:firstLine="720"/>
        <w:jc w:val="left"/>
        <w:rPr/>
      </w:pPr>
      <w:r>
        <w:rPr>
          <w:rFonts w:ascii="Times New Roman;sans-serif" w:hAnsi="Times New Roman;sans-serif"/>
          <w:b w:val="false"/>
          <w:color w:val="252525"/>
          <w:sz w:val="20"/>
        </w:rPr>
        <w:t>The Company's financial instruments consist of cash and cash equivalents, marketable securities, accounts receivable, accounts payable and accrued expenses.</w:t>
      </w:r>
      <w:r>
        <w:rPr>
          <w:color w:val="000000"/>
        </w:rPr>
        <w:t xml:space="preserve"> </w:t>
      </w:r>
      <w:r>
        <w:rPr>
          <w:rFonts w:ascii="Times New Roman;sans-serif" w:hAnsi="Times New Roman;sans-serif"/>
          <w:b w:val="false"/>
          <w:color w:val="252525"/>
          <w:sz w:val="20"/>
        </w:rPr>
        <w:t>The carrying amount of accounts receivable, accounts payable and accrued expenses are generally considered to be representative of their respective fair values because of their short-term nature. </w:t>
      </w:r>
      <w:r>
        <w:rPr>
          <w:rFonts w:ascii="Times New Roman;sans-serif" w:hAnsi="Times New Roman;sans-serif"/>
          <w:b w:val="false"/>
          <w:color w:val="000000"/>
          <w:sz w:val="20"/>
        </w:rPr>
        <w:t xml:space="preserve">The Company accounts for recurring and non-recurring fair value measurements in accordance with the Financial Accounting Standards Board (FASB) Accounting Standards Codification (ASC)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1 – Fair value is determined by using unadjusted quoted prices that are available in active markets for identical assets and liabilities.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sans-serif" w:hAnsi="Times New Roman;sans-serif"/>
          <w:b w:val="false"/>
          <w:color w:val="252525"/>
          <w:sz w:val="20"/>
        </w:rPr>
        <w:t xml:space="preserve">There were no transfers between levels during the periods presented.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at fair value on a recurring basis were as follows (in thousands):</w:t>
      </w:r>
    </w:p>
    <w:tbl>
      <w:tblPr>
        <w:tblW w:w="7204" w:type="dxa"/>
        <w:jc w:val="left"/>
        <w:tblInd w:w="0" w:type="dxa"/>
        <w:tblLayout w:type="fixed"/>
        <w:tblCellMar>
          <w:top w:w="28" w:type="dxa"/>
          <w:left w:w="28" w:type="dxa"/>
          <w:bottom w:w="28" w:type="dxa"/>
          <w:right w:w="28" w:type="dxa"/>
        </w:tblCellMar>
      </w:tblPr>
      <w:tblGrid>
        <w:gridCol w:w="1354"/>
        <w:gridCol w:w="854"/>
        <w:gridCol w:w="866"/>
        <w:gridCol w:w="216"/>
        <w:gridCol w:w="848"/>
        <w:gridCol w:w="111"/>
        <w:gridCol w:w="111"/>
        <w:gridCol w:w="111"/>
        <w:gridCol w:w="111"/>
        <w:gridCol w:w="216"/>
        <w:gridCol w:w="740"/>
        <w:gridCol w:w="111"/>
        <w:gridCol w:w="111"/>
        <w:gridCol w:w="111"/>
        <w:gridCol w:w="111"/>
        <w:gridCol w:w="216"/>
        <w:gridCol w:w="848"/>
        <w:gridCol w:w="158"/>
      </w:tblGrid>
      <w:tr>
        <w:trPr/>
        <w:tc>
          <w:tcPr>
            <w:tcW w:w="13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 at December 31, 2023</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assets measured at fair value </w:t>
            </w:r>
            <w:r>
              <w:rPr>
                <w:rFonts w:ascii="Times New Roman;sans-serif" w:hAnsi="Times New Roman;sans-serif"/>
                <w:b w:val="false"/>
                <w:color w:val="000000"/>
                <w:sz w:val="13"/>
              </w:rPr>
              <w:t>(a)</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27" w:type="dxa"/>
        <w:jc w:val="left"/>
        <w:tblInd w:w="0" w:type="dxa"/>
        <w:tblLayout w:type="fixed"/>
        <w:tblCellMar>
          <w:top w:w="28" w:type="dxa"/>
          <w:left w:w="28" w:type="dxa"/>
          <w:bottom w:w="28" w:type="dxa"/>
          <w:right w:w="28" w:type="dxa"/>
        </w:tblCellMar>
      </w:tblPr>
      <w:tblGrid>
        <w:gridCol w:w="1116"/>
        <w:gridCol w:w="980"/>
        <w:gridCol w:w="994"/>
        <w:gridCol w:w="228"/>
        <w:gridCol w:w="781"/>
        <w:gridCol w:w="118"/>
        <w:gridCol w:w="118"/>
        <w:gridCol w:w="118"/>
        <w:gridCol w:w="118"/>
        <w:gridCol w:w="228"/>
        <w:gridCol w:w="781"/>
        <w:gridCol w:w="118"/>
        <w:gridCol w:w="118"/>
        <w:gridCol w:w="118"/>
        <w:gridCol w:w="118"/>
        <w:gridCol w:w="228"/>
        <w:gridCol w:w="781"/>
        <w:gridCol w:w="166"/>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 at December 31, 2022</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assets measured at fair value </w:t>
            </w:r>
            <w:r>
              <w:rPr>
                <w:rFonts w:ascii="Times New Roman;sans-serif" w:hAnsi="Times New Roman;sans-serif"/>
                <w:b w:val="false"/>
                <w:color w:val="000000"/>
                <w:sz w:val="13"/>
              </w:rPr>
              <w:t>(b)</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 Total assets measured at fair value at December 31, 2023 includes approximately $91.7 million reported as cash and cash equivalents and $128.8 million reported as marketable securities on the balance sheet.</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 Total assets measured at fair value at December 31, 2022 includes approximately $46.5 million reported as cash and cash equivalents and $45.5 million reported as marketable securities on the balance sheet.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Financial instruments that potentially subject the Company to concentrations of credit risk consist principally of cash, cash equivalents, marketable securities and accounts receivable. </w:t>
      </w:r>
      <w:r>
        <w:rPr>
          <w:rFonts w:ascii="Times New Roman;sans-serif" w:hAnsi="Times New Roman;sans-serif"/>
          <w:b w:val="false"/>
          <w:color w:val="252525"/>
          <w:sz w:val="20"/>
        </w:rPr>
        <w:t>The Company maintains its cash and money market funds with financial institutions that are federally insured. While balances deposited in these institutions often exceed Federal Deposit Insurance Corporation limits, the Company has not experienced any losses on related accounts to date. The Company's investment policy limits investments to certain types of debt securities issued by the U.S. government, its agencies and institutions with investment-grade credit ratings and places restrictions on maturities and concentration by type and issuer.</w:t>
      </w:r>
      <w:r>
        <w:rPr>
          <w:color w:val="000000"/>
        </w:rPr>
        <w:t xml:space="preserve"> </w:t>
      </w:r>
      <w:r>
        <w:rPr>
          <w:rFonts w:ascii="Times New Roman;sans-serif" w:hAnsi="Times New Roman;sans-serif"/>
          <w:b w:val="false"/>
          <w:color w:val="000000"/>
          <w:sz w:val="20"/>
        </w:rPr>
        <w:t>The counterparties are various corporations, financial institutions and government agencies of high credit standing.</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relates to agreements with various collaborators, MARGENZA net product sales and contracts and research grants received from U.S. government agencies. The following table includes those counterparties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that represent more than 10% of total revenue earned in the periods indicated:</w:t>
      </w:r>
    </w:p>
    <w:tbl>
      <w:tblPr>
        <w:tblW w:w="10110" w:type="dxa"/>
        <w:jc w:val="left"/>
        <w:tblInd w:w="0" w:type="dxa"/>
        <w:tblLayout w:type="fixed"/>
        <w:tblCellMar>
          <w:top w:w="28" w:type="dxa"/>
          <w:left w:w="28" w:type="dxa"/>
          <w:bottom w:w="28" w:type="dxa"/>
          <w:right w:w="28" w:type="dxa"/>
        </w:tblCellMar>
      </w:tblPr>
      <w:tblGrid>
        <w:gridCol w:w="2734"/>
        <w:gridCol w:w="2407"/>
        <w:gridCol w:w="2434"/>
        <w:gridCol w:w="175"/>
        <w:gridCol w:w="175"/>
        <w:gridCol w:w="176"/>
        <w:gridCol w:w="152"/>
        <w:gridCol w:w="152"/>
        <w:gridCol w:w="152"/>
        <w:gridCol w:w="175"/>
        <w:gridCol w:w="175"/>
        <w:gridCol w:w="176"/>
        <w:gridCol w:w="152"/>
        <w:gridCol w:w="152"/>
        <w:gridCol w:w="152"/>
        <w:gridCol w:w="167"/>
        <w:gridCol w:w="167"/>
        <w:gridCol w:w="237"/>
      </w:tblGrid>
      <w:tr>
        <w:trPr/>
        <w:tc>
          <w:tcPr>
            <w:tcW w:w="2734"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Incyte</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Plasma &amp; Biologics and McKesson Specialty Care Distribution LLC (McKesson)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ASD Healthcare and Oncology Supply (ASD)</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Provention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Zai Lab Limited (Zai Lab)</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I-Mab Biopharma (I-Mab)</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Amount is less than 10% for the period indicated.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those counterparties that represent more than 10% of accounts receivable at the date indicated:</w:t>
      </w:r>
    </w:p>
    <w:tbl>
      <w:tblPr>
        <w:tblW w:w="3266" w:type="dxa"/>
        <w:jc w:val="left"/>
        <w:tblInd w:w="0" w:type="dxa"/>
        <w:tblLayout w:type="fixed"/>
        <w:tblCellMar>
          <w:top w:w="28" w:type="dxa"/>
          <w:left w:w="28" w:type="dxa"/>
          <w:bottom w:w="28" w:type="dxa"/>
          <w:right w:w="28" w:type="dxa"/>
        </w:tblCellMar>
      </w:tblPr>
      <w:tblGrid>
        <w:gridCol w:w="633"/>
        <w:gridCol w:w="559"/>
        <w:gridCol w:w="563"/>
        <w:gridCol w:w="175"/>
        <w:gridCol w:w="175"/>
        <w:gridCol w:w="176"/>
        <w:gridCol w:w="138"/>
        <w:gridCol w:w="138"/>
        <w:gridCol w:w="138"/>
        <w:gridCol w:w="167"/>
        <w:gridCol w:w="167"/>
        <w:gridCol w:w="237"/>
      </w:tblGrid>
      <w:tr>
        <w:trPr/>
        <w:tc>
          <w:tcPr>
            <w:tcW w:w="6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Incyte</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ASD</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Zai Lab</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Provention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Balance is less than 10% as of the date indicated.</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the Company believes regulatory approval is probable and expects future economic benefit from the sales of a product candidate to be realized, the Company capitalizes manufacturing costs (whether internally produced or through third-party contract manufacturing organizations) as inventory. Prior to receiving its first approval from the FDA in December 2020, the Company expensed all costs incurred related to the manufacture of MARGENZA as research and development expense because of the inherent risks associated with the development of a product candidate, the uncertainty about the regulatory approval process and the lack of history for the Company of regulatory approval of drug candidates. Subsequent to FDA approval in December 2020, the Company began capitalizing its MARGENZA third-party contract manufacturing inventory costs.</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is composed of raw materials, work-in-process, and finished goods, which are goods that are available for sale. The Company values its inventories at the lower of cost or estimated net realizable value. The Company determines the cost of its inventories, which includes amounts related to materials and third-party contract manufacturing costs, on a first-in, first-out basis. The Company performs an assessment of the recoverability of capitalized inventory during each reporting period, and it writes down any excess, obsolete or unsaleable inventories to their estimated realizable value in the period in which the impairment is first identified. Such write downs, should they occur, are recorded within the cost of product sales in the statement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Property, Equipment and Software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are stated at cost. Upon retirement or sale, the cost of assets disposed of and the related accumulated depreciation or amortization are removed from the accounts and any resulting gain or loss is credited or charged to operations. Repairs and maintenance costs are expensed as incurred. Depreciation and amortization are computed using the straight-line method over the following estimated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- 10</w:t>
                      </w:r>
                    </w:p>
                  </w:txbxContent>
                </v:textbox>
                <w10:wrap type="none"/>
              </v:rect>
            </w:pict>
          </mc:Fallback>
        </mc:AlternateContent>
      </w:r>
    </w:p>
    <w:p>
      <w:pPr>
        <w:pStyle w:val="TextBody"/>
        <w:bidi w:val="0"/>
        <w:spacing w:before="0" w:after="0"/>
        <w:jc w:val="left"/>
        <w:rPr/>
      </w:pPr>
      <w:r>
        <w:rPr/>
      </w:r>
    </w:p>
    <w:tbl>
      <w:tblPr>
        <w:tblW w:w="5654" w:type="dxa"/>
        <w:jc w:val="left"/>
        <w:tblInd w:w="0" w:type="dxa"/>
        <w:tblLayout w:type="fixed"/>
        <w:tblCellMar>
          <w:top w:w="28" w:type="dxa"/>
          <w:left w:w="28" w:type="dxa"/>
          <w:bottom w:w="28" w:type="dxa"/>
          <w:right w:w="28" w:type="dxa"/>
        </w:tblCellMar>
      </w:tblPr>
      <w:tblGrid>
        <w:gridCol w:w="1011"/>
        <w:gridCol w:w="886"/>
        <w:gridCol w:w="892"/>
        <w:gridCol w:w="837"/>
        <w:gridCol w:w="837"/>
        <w:gridCol w:w="1191"/>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and office equipment</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useful life</w:t>
            </w:r>
          </w:p>
        </w:tc>
      </w:tr>
    </w:tbl>
    <w:p>
      <w:pPr>
        <w:pStyle w:val="TextBody"/>
        <w:bidi w:val="0"/>
        <w:spacing w:lineRule="auto" w:line="288" w:before="0" w:after="180"/>
        <w:jc w:val="left"/>
        <w:rPr/>
      </w:pPr>
      <w:r>
        <w:rPr>
          <w:rFonts w:ascii="Times New Roman;sans-serif" w:hAnsi="Times New Roman;sans-serif"/>
          <w:b/>
          <w:i/>
          <w:color w:val="000000"/>
          <w:sz w:val="20"/>
        </w:rPr>
        <w:t>Impairment of Long-Lived Assets</w:t>
      </w:r>
      <w:r>
        <w:rPr>
          <w:color w:val="000000"/>
        </w:rPr>
        <w:t>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assesses the recoverability of its long-lived assets in accordance with the provisions of ASC 360, </w:t>
      </w:r>
      <w:r>
        <w:rPr>
          <w:rFonts w:ascii="Times New Roman;sans-serif" w:hAnsi="Times New Roman;sans-serif"/>
          <w:b w:val="false"/>
          <w:i/>
          <w:color w:val="000000"/>
          <w:sz w:val="20"/>
        </w:rPr>
        <w:t xml:space="preserve">Property, Plant and Equipment </w:t>
      </w:r>
      <w:r>
        <w:rPr>
          <w:rFonts w:ascii="Times New Roman;sans-serif" w:hAnsi="Times New Roman;sans-serif"/>
          <w:b w:val="false"/>
          <w:color w:val="000000"/>
          <w:sz w:val="20"/>
        </w:rPr>
        <w:t>(ASC 360). ASC 360 requires that long-lived assets be reviewed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asset group. If carrying value exceeds the sum of undiscounted cash flows, the Company then determines the fair value of the underlying asset group. Any impairment to be recognized is measured by the amount by which the carrying amount of the asset group exceeds the estimated fair value of the asset group. Assets to be disposed of are reported at the lower of the carrying amount or fair value, less costs to sell. For the years ended December 31, 2023, and 2022, the Company determined that there were no impaired assets.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assesses the relevant accounting criteria under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(ASC 470) to determine whether the upfront payment received from the purchaser should be accounted for as debt or deferred income depending on the facts and circumstances. If the criteria in ASC 470 is met, the Company accounts for net proceeds from sales of its rights to receive future royalty payments as a liability that is amortized using the effective interest method over the term of the arrangement. The liability related to future royalties is presented net of unamortized issuance costs on the consolidated balance sheets. Interest expense on the liability related to future royalties is recognized using the effective interest rate method over the life of the arrangement. The Company calculates an effective interest rate which will amortize its related obligation to zero over the anticipated repayment period. The liability related to future royalties and the related interest expense are based on the Company’s current estimates of future royalties expected to be received over the life of the arrangement, which the Company determines by using internal sales projections and external information from market data sources, which are considered Level 3 inputs. The Company periodically assesses the expected payments and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Non-cash amortization is reflected as interest expense in the consolidated statements of operations and comprehensive loss.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changes in facts and circumstances, for example as a result of a modification to the existing agreements, the Company re-evaluates its rights and obligations and accounts for the change in accordance with the respective accounting guidance.</w:t>
      </w:r>
    </w:p>
    <w:p>
      <w:pPr>
        <w:pStyle w:val="TextBody"/>
        <w:bidi w:val="0"/>
        <w:spacing w:before="0" w:after="0"/>
        <w:ind w:left="0" w:right="0" w:firstLine="720"/>
        <w:jc w:val="both"/>
        <w:rPr/>
      </w:pPr>
      <w:r>
        <w:rPr/>
      </w:r>
    </w:p>
    <w:p>
      <w:pPr>
        <w:pStyle w:val="TextBody"/>
        <w:bidi w:val="0"/>
        <w:spacing w:lineRule="auto" w:line="288" w:before="0" w:after="180"/>
        <w:jc w:val="left"/>
        <w:rPr/>
      </w:pPr>
      <w:r>
        <w:rPr>
          <w:rFonts w:ascii="Times New Roman;sans-serif" w:hAnsi="Times New Roman;sans-serif"/>
          <w:b/>
          <w:i/>
          <w:color w:val="000000"/>
          <w:sz w:val="20"/>
        </w:rPr>
        <w:t>Revenue recognition</w:t>
      </w:r>
      <w:r>
        <w:rPr>
          <w:color w:val="000000"/>
        </w:rPr>
        <w:t> </w:t>
      </w:r>
    </w:p>
    <w:p>
      <w:pPr>
        <w:pStyle w:val="TextBody"/>
        <w:bidi w:val="0"/>
        <w:spacing w:lineRule="auto" w:line="288" w:before="180" w:after="180"/>
        <w:ind w:left="0" w:right="0" w:firstLine="810"/>
        <w:jc w:val="left"/>
        <w:rPr/>
      </w:pPr>
      <w:r>
        <w:rPr>
          <w:rFonts w:ascii="Times New Roman;sans-serif" w:hAnsi="Times New Roman;sans-serif"/>
          <w:b w:val="false"/>
          <w:color w:val="000000"/>
          <w:sz w:val="20"/>
        </w:rPr>
        <w:t xml:space="preserve">The Company recognizes revenue under ASC Topic 606, </w:t>
      </w:r>
      <w:r>
        <w:rPr>
          <w:rFonts w:ascii="Times New Roman;sans-serif" w:hAnsi="Times New Roman;sans-serif"/>
          <w:b w:val="false"/>
          <w:i/>
          <w:color w:val="000000"/>
          <w:sz w:val="20"/>
        </w:rPr>
        <w:t>Revenue from Contracts with Customer</w:t>
      </w:r>
      <w:r>
        <w:rPr>
          <w:rFonts w:ascii="Times New Roman;sans-serif" w:hAnsi="Times New Roman;sans-serif"/>
          <w:b w:val="false"/>
          <w:color w:val="000000"/>
          <w:sz w:val="20"/>
        </w:rPr>
        <w:t xml:space="preserve">s (ASC 606)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recognizes as revenue the amount of the transaction price that is allocated to the respective performance obligation when (or as) the performance obligation is satisfied. </w:t>
      </w:r>
    </w:p>
    <w:p>
      <w:pPr>
        <w:pStyle w:val="TextBody"/>
        <w:bidi w:val="0"/>
        <w:spacing w:lineRule="auto" w:line="288" w:before="0" w:after="18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Collaborative and other agreements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licensing agreements that are within the scope of ASC 606, under which it may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The Company may also enter into development and manufacturing service agreements with its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arrangement that results in revenues, the Company identifies all performance obligations, which may include a license to intellectual property and know-how, research and development activities, transition activities and/or manufacturing services. In order to determine the transaction price,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in order to account for these agreements. To determine the standalone selling price, the Company’s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w:t>
      </w:r>
    </w:p>
    <w:p>
      <w:pPr>
        <w:pStyle w:val="TextBody"/>
        <w:bidi w:val="0"/>
        <w:spacing w:lineRule="auto" w:line="288" w:before="0" w:after="180"/>
        <w:ind w:left="0" w:right="0" w:firstLine="720"/>
        <w:jc w:val="left"/>
        <w:rPr/>
      </w:pPr>
      <w:r>
        <w:rPr>
          <w:rFonts w:ascii="Times New Roman;sans-serif" w:hAnsi="Times New Roman;sans-serif"/>
          <w:b w:val="false"/>
          <w:i/>
          <w:color w:val="000000"/>
          <w:sz w:val="20"/>
        </w:rPr>
        <w:t xml:space="preserve">Licenses. </w:t>
      </w:r>
      <w:r>
        <w:rPr>
          <w:rFonts w:ascii="Times New Roman;sans-serif" w:hAnsi="Times New Roman;sans-serif"/>
          <w:b w:val="false"/>
          <w:color w:val="252525"/>
          <w:sz w:val="20"/>
        </w:rPr>
        <w:t xml:space="preserve">When the Company grants a license to its intellectual property, it </w:t>
      </w:r>
      <w:r>
        <w:rPr>
          <w:rFonts w:ascii="Times New Roman;sans-serif" w:hAnsi="Times New Roman;sans-serif"/>
          <w:b w:val="false"/>
          <w:color w:val="000000"/>
          <w:sz w:val="20"/>
        </w:rPr>
        <w:t xml:space="preserve">determines whether the </w:t>
      </w:r>
      <w:r>
        <w:rPr>
          <w:rFonts w:ascii="Times New Roman;sans-serif" w:hAnsi="Times New Roman;sans-serif"/>
          <w:b w:val="false"/>
          <w:color w:val="252525"/>
          <w:sz w:val="20"/>
        </w:rPr>
        <w:t>nature of the intellectual property to which the customer 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 license is transferred to the customer. Revenue from symbolic IP is recognized over the access period to the Company’s intellectual property</w:t>
      </w:r>
      <w:r>
        <w:rPr>
          <w:rFonts w:ascii="Times New Roman;sans-serif" w:hAnsi="Times New Roman;sans-serif"/>
          <w:b w:val="false"/>
          <w:color w:val="252525"/>
          <w:sz w:val="24"/>
        </w:rPr>
        <w:t xml:space="preserve">. </w:t>
      </w:r>
      <w:r>
        <w:rPr>
          <w:rFonts w:ascii="Times New Roman;sans-serif" w:hAnsi="Times New Roman;sans-serif"/>
          <w:b w:val="false"/>
          <w:color w:val="000000"/>
          <w:sz w:val="20"/>
        </w:rPr>
        <w:t xml:space="preserve">If the 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when (or as) the customer is able to use and benefit from the license. In assessing whether a promise or performance obligation is distinct from the other promises, the Company considers factors such as the research, development, manufacturing and commercialization capabilities of the licensee and the availability of the associated expertise in the general marketplace. In addition, the Company considers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Research, Development and/or Manufacturing Services. </w:t>
      </w:r>
      <w:r>
        <w:rPr>
          <w:rFonts w:ascii="Times New Roman;sans-serif" w:hAnsi="Times New Roman;sans-serif"/>
          <w:b w:val="false"/>
          <w:color w:val="000000"/>
          <w:sz w:val="20"/>
        </w:rPr>
        <w:t xml:space="preserve">The promises under the Company’s agreements may include research and development or manufacturing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Customer Options. </w:t>
      </w:r>
      <w:r>
        <w:rPr>
          <w:rFonts w:ascii="Times New Roman;sans-serif" w:hAnsi="Times New Roman;sans-serif"/>
          <w:b w:val="false"/>
          <w:color w:val="000000"/>
          <w:sz w:val="20"/>
        </w:rPr>
        <w:t xml:space="preserve">If an arrangement contains customer options, the Company evaluates whether the options are material rights because they allow the customer to acquire additional goods or services for free or at a discount. If the customer options are determined to represent a material right, the material right is recognized as a separate performance obligation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outset of the arrangement. The Company allocates the transaction price to material rights based on the relative standalone selling price, which is 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Milestone Payments. </w:t>
      </w:r>
      <w:r>
        <w:rPr>
          <w:rFonts w:ascii="Times New Roman;sans-serif" w:hAnsi="Times New Roman;sans-serif"/>
          <w:b w:val="false"/>
          <w:color w:val="000000"/>
          <w:sz w:val="20"/>
        </w:rPr>
        <w:t xml:space="preserve">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 xml:space="preserve">Royalties. </w:t>
      </w:r>
      <w:r>
        <w:rPr>
          <w:rFonts w:ascii="Times New Roman;sans-serif" w:hAnsi="Times New Roman;sans-serif"/>
          <w:b w:val="false"/>
          <w:color w:val="000000"/>
          <w:sz w:val="20"/>
        </w:rPr>
        <w:t xml:space="preserve">For arrangements that include sales-based royalties which are the result of a customer-vendor 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analyzes its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the Company. The Company accounts for certain components of the collaboration agreement that are reflective of a vendor-customer relationship (e.g., licensing arrangement) based on ASC 606. The Company accounts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complete discussion of accounting for revenue from collaborative and other agreements, see Note 9, Revenue.</w:t>
      </w:r>
    </w:p>
    <w:p>
      <w:pPr>
        <w:pStyle w:val="TextBody"/>
        <w:bidi w:val="0"/>
        <w:spacing w:lineRule="auto" w:line="288" w:before="180" w:after="18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sales, net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limited number of arrangements with specialty distributors in the United States to distribute MARGENZA. These arrangements are considered to be contracts with customers and are in the scope of ASC 606. The Company has written contracts with each of its customers that have a single performance obligation - to deliver products upon receipt of a customer order - and these obligations are satisfied when delivery occurs and the customer receives the product. The specialty distributors subsequently resell the Company’s product to healthcare providers. Product revenue is recorded net of applicable reserves for variable consideration, including discounts and other allowances. Shipping and handling costs for product shipments occur prior to the customer obtaining control of the goods and are recorded in cost of sales. </w:t>
      </w:r>
    </w:p>
    <w:p>
      <w:pPr>
        <w:pStyle w:val="TextBody"/>
        <w:bidi w:val="0"/>
        <w:spacing w:lineRule="auto" w:line="288" w:before="180" w:after="180"/>
        <w:ind w:left="0" w:right="0" w:firstLine="720"/>
        <w:jc w:val="left"/>
        <w:rPr/>
      </w:pPr>
      <w:r>
        <w:rPr>
          <w:rFonts w:ascii="Times New Roman;sans-serif" w:hAnsi="Times New Roman;sans-serif"/>
          <w:b w:val="false"/>
          <w:i/>
          <w:color w:val="000000"/>
          <w:sz w:val="20"/>
        </w:rPr>
        <w:t xml:space="preserve">Reserves for Variable Consideration. </w:t>
      </w:r>
      <w:r>
        <w:rPr>
          <w:rFonts w:ascii="Times New Roman;sans-serif" w:hAnsi="Times New Roman;sans-serif"/>
          <w:b w:val="false"/>
          <w:color w:val="000000"/>
          <w:sz w:val="20"/>
        </w:rPr>
        <w:t xml:space="preserve">Revenue from product sales is recorded at the net sales price, which includes estimates of variable 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 xml:space="preserve">Customer Discounts and Service Fees. </w:t>
      </w:r>
      <w:r>
        <w:rPr>
          <w:rFonts w:ascii="Times New Roman;sans-serif" w:hAnsi="Times New Roman;sans-serif"/>
          <w:b w:val="false"/>
          <w:color w:val="000000"/>
          <w:sz w:val="20"/>
        </w:rPr>
        <w:t xml:space="preserve">The Company may provide customers with discounts which are explicitly stated in the contracts. These discounts are recorded as a reduction of revenue in the period the related product revenue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recognized. In addition, these contracts may include written service arrangements whereby the Company pays fees to customers who provide services such as sales order management, data, contract administration and distribution services, at rates which the Company believes to be consistent with fair market value. The Company has determined such services received to date are not distinct from the Company’s sale of products to its customers and, therefore, these payments have been recorded as a reduction of revenue within the statement of operations. </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 xml:space="preserve">Product Returns. </w:t>
      </w:r>
      <w:r>
        <w:rPr>
          <w:rFonts w:ascii="Times New Roman;sans-serif" w:hAnsi="Times New Roman;sans-serif"/>
          <w:b w:val="false"/>
          <w:color w:val="000000"/>
          <w:sz w:val="20"/>
        </w:rPr>
        <w:t>Consistent with industry practice, the Company offers the specialty distributors product return rights pursuant to written contracts and/or Company returned goods policies. The Company estimates the amount of its product sales that may be returned by its customers and records an estimated liability and a reduction of revenue in the period the related product revenue is recognized. The Company currently estimates product returns using industry benchmarking as well as other information available, such as visibility into the inventory remaining in the distribution channel, since the Company does not have its own returns experience. The Company's estimates of product returns may be adjusted in the future based on actual returns experience, known or expected changes in the marketplace, or other factors.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 xml:space="preserve">Provider Chargebacks and Discounts. </w:t>
      </w:r>
      <w:r>
        <w:rPr>
          <w:rFonts w:ascii="Times New Roman;sans-serif" w:hAnsi="Times New Roman;sans-serif"/>
          <w:b w:val="false"/>
          <w:color w:val="000000"/>
          <w:sz w:val="20"/>
        </w:rPr>
        <w:t xml:space="preserve">Chargebacks for fees and discounts to healthcare providers represent the estimated obligations resulting from contractual commitments to sell products to qualified healthcare providers at prices lower than the list prices charged to customers who directly purchase the product from the Company. In such cases,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credit. </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 xml:space="preserve">Government Rebates. </w:t>
      </w:r>
      <w:r>
        <w:rPr>
          <w:rFonts w:ascii="Times New Roman;sans-serif" w:hAnsi="Times New Roman;sans-serif"/>
          <w:b w:val="false"/>
          <w:color w:val="000000"/>
          <w:sz w:val="20"/>
        </w:rPr>
        <w:t xml:space="preserve">The Company is subject to discount and/or rebate obligations under state Medicaid programs, Medicare and contractual agreements with and statutory obligations to certain Federal and State entities. These reserves are recorded in the same period the related revenue is recognized, resulting in a reduction of product revenue. The Company’s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Customer discounts are recorded as a reduction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pStyle w:val="TextBody"/>
        <w:bidi w:val="0"/>
        <w:spacing w:lineRule="auto" w:line="288" w:before="180" w:after="18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manufacturing revenue</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Company enters into agreements with third parties to manufacture their drug substance at its GMP facility. The terms of these arrangements typically include an upfront payment to the Company to reserve manufacturing capacity, scheduled payments during the manufacturing process and reimbursement for materials used to manufacture product.</w:t>
      </w:r>
      <w:r>
        <w:rPr>
          <w:color w:val="000000"/>
        </w:rPr>
        <w:t xml:space="preserve"> </w:t>
      </w:r>
      <w:r>
        <w:rPr>
          <w:rFonts w:ascii="Times New Roman;sans-serif" w:hAnsi="Times New Roman;sans-serif"/>
          <w:b w:val="false"/>
          <w:color w:val="000000"/>
          <w:sz w:val="20"/>
        </w:rPr>
        <w:t>The Company recognizes revenue over time on a straight-line basis as the manufacturing services are performed, as the Company believes that its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r>
        <w:rPr>
          <w:color w:val="000000"/>
        </w:rPr>
        <w:t xml:space="preserve">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sales relates to sales of MARGENZA. These costs include material, manufacturing and shipping costs, as well as royalties payable on net sales of MARGENZA and inventory reserves. All product costs incurred prior to FDA approval of MARGENZA in December 2020 were expensed as research and development expense. The Company expects cost of product sales to continue to be positively impacted for the next four to five years as the Company sells through inventory that was expensed prior to FDA approval of MARGENZA.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Cost of Manufacturing Services</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services consists of the costs to provide manufacturing services to produce certain bulk drug substance under manufacturing and clinical supply agreements with third parties, including salaries and benefits and related stock-based compensation, materials, overhead and other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 Including Clinical Trial Accruals/Expenses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expenditures are expensed as incurred. Research and development costs primarily consist of employee related expenses, including salaries and benefits, expenses incurred under agreements with contract research organizations (CROs), investigative sites and consultants that conduct the Company's clinical trials, the cost of acquiring and manufacturing clinical trial materials, including costs incurred under agreements with contract manufacturing organizations (CMOs), and other allocated expenses, license fees for and milestone payments related to in-licensed products and technologies, stock-based compensation expense, and costs associated with non-clinical activities and regulatory approvals.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Right-to-develop agreements may contain cost-sharing provisions whereby the Company and the collaborator share the cost of research and development activities. Reimbursement of research and development expenses received in connection with these agreements is recorded as a reduction of such expenses.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shd w:fill="FFFFFF" w:val="clear"/>
        </w:rPr>
        <w:t xml:space="preserve">Clinical trial expenses are a significant component of research and development expense, and the Company outsources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w:t>
      </w:r>
      <w:r>
        <w:rPr>
          <w:rFonts w:ascii="Times New Roman;sans-serif" w:hAnsi="Times New Roman;sans-serif"/>
          <w:b w:val="false"/>
          <w:color w:val="000000"/>
          <w:sz w:val="20"/>
        </w:rPr>
        <w:t>Payments for these activities are based on the terms of the individual arrangements, which may differ from the pattern of costs incurred, and are reflected on the consolidated balance sheets as a prepaid asset or accrued expenses. These third party agreements are generally cancellable, and related costs are recorded as research and development expenses as incurred</w:t>
      </w:r>
      <w:r>
        <w:rPr>
          <w:rFonts w:ascii="Times New Roman;sans-serif" w:hAnsi="Times New Roman;sans-serif"/>
          <w:b w:val="false"/>
          <w:color w:val="000000"/>
          <w:sz w:val="24"/>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Non-refundable advance clinical payments for goods or services that will be used or rendered for future research and development activities are recorded as a prepaid asset and recognized as expense as the related goods are delivered or the related services are performed.</w:t>
      </w:r>
      <w:r>
        <w:rPr>
          <w:color w:val="000000"/>
        </w:rPr>
        <w:t xml:space="preserve"> </w:t>
      </w:r>
      <w:r>
        <w:rPr>
          <w:rFonts w:ascii="Times New Roman;sans-serif" w:hAnsi="Times New Roman;sans-serif"/>
          <w:b w:val="false"/>
          <w:color w:val="000000"/>
          <w:sz w:val="20"/>
        </w:rPr>
        <w:t>When evaluating the adequacy of the accrued expenses, management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determines whether an arrangement is or contains a lease at the inception of an arrangement under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For leases where the Company is the lessee,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of the lease for which the rate is estimated. Certain adjustments to the ROU asset may be required for items such as initial direct costs paid or incentives received. The lease terms used to calculate the ROU asset and related lease liabilities include options to extend or terminate the lease when it is reasonably certain that the Company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0" w:after="180"/>
        <w:ind w:left="0" w:right="0" w:firstLine="720"/>
        <w:jc w:val="left"/>
        <w:rPr>
          <w:rFonts w:ascii="Times New Roman;sans-serif" w:hAnsi="Times New Roman;sans-serif"/>
          <w:b w:val="false"/>
          <w:color w:val="252525"/>
          <w:sz w:val="20"/>
        </w:rPr>
      </w:pPr>
      <w:r>
        <w:rPr>
          <w:rFonts w:ascii="Times New Roman;sans-serif" w:hAnsi="Times New Roman;sans-serif"/>
          <w:b w:val="false"/>
          <w:color w:val="252525"/>
          <w:sz w:val="20"/>
        </w:rPr>
        <w:t>Comprehensive loss represents net loss adjusted for the change during the periods attributed to unrealized gains and losses on available-for-sale debt securities.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common share is computed by dividing net loss by the weighted average number of common shares outstanding during the period. All stock options and restricted stock units (RSUs) are excluded from the per share calculations as such securities were anti-dilutive for all periods presented. The following table presents the number of stock options and RSUs that were excluded from the calculation of net loss per share:</w:t>
      </w:r>
    </w:p>
    <w:tbl>
      <w:tblPr>
        <w:tblW w:w="6044" w:type="dxa"/>
        <w:jc w:val="left"/>
        <w:tblInd w:w="0" w:type="dxa"/>
        <w:tblLayout w:type="fixed"/>
        <w:tblCellMar>
          <w:top w:w="28" w:type="dxa"/>
          <w:left w:w="28" w:type="dxa"/>
          <w:bottom w:w="28" w:type="dxa"/>
          <w:right w:w="28" w:type="dxa"/>
        </w:tblCellMar>
      </w:tblPr>
      <w:tblGrid>
        <w:gridCol w:w="753"/>
        <w:gridCol w:w="663"/>
        <w:gridCol w:w="668"/>
        <w:gridCol w:w="344"/>
        <w:gridCol w:w="344"/>
        <w:gridCol w:w="348"/>
        <w:gridCol w:w="152"/>
        <w:gridCol w:w="152"/>
        <w:gridCol w:w="152"/>
        <w:gridCol w:w="344"/>
        <w:gridCol w:w="344"/>
        <w:gridCol w:w="348"/>
        <w:gridCol w:w="152"/>
        <w:gridCol w:w="152"/>
        <w:gridCol w:w="152"/>
        <w:gridCol w:w="285"/>
        <w:gridCol w:w="285"/>
        <w:gridCol w:w="406"/>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RSUs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13,129,251</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10,514,013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8,395,421</w:t>
            </w:r>
          </w:p>
        </w:tc>
      </w:tr>
    </w:tbl>
    <w:p>
      <w:pPr>
        <w:pStyle w:val="TextBody"/>
        <w:bidi w:val="0"/>
        <w:spacing w:before="0" w:after="0"/>
        <w:ind w:left="0" w:right="0" w:firstLine="72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52525"/>
          <w:sz w:val="20"/>
        </w:rPr>
      </w:pPr>
      <w:r>
        <w:rPr>
          <w:rFonts w:ascii="Times New Roman;sans-serif" w:hAnsi="Times New Roman;sans-serif"/>
          <w:b w:val="false"/>
          <w:color w:val="252525"/>
          <w:sz w:val="20"/>
        </w:rPr>
        <w:t>The Company has implemented all applicable accounting pronouncements that are in effect. These pronouncements did not have any material impact on the financial statements unless otherwise disclosed, and the Company does not believe that there are any other new accounting pronouncements that have been issued that might have a material impact on its financial position or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252525"/>
          <w:sz w:val="20"/>
        </w:rPr>
      </w:pPr>
      <w:r>
        <w:rPr>
          <w:rFonts w:ascii="Times New Roman;sans-serif" w:hAnsi="Times New Roman;sans-serif"/>
          <w:b/>
          <w:color w:val="252525"/>
          <w:sz w:val="20"/>
        </w:rPr>
        <w:t>3. Marketable Securities</w:t>
      </w:r>
    </w:p>
    <w:p>
      <w:pPr>
        <w:pStyle w:val="TextBody"/>
        <w:bidi w:val="0"/>
        <w:spacing w:lineRule="auto" w:line="288" w:before="0" w:after="180"/>
        <w:ind w:left="0" w:right="0" w:firstLine="630"/>
        <w:jc w:val="left"/>
        <w:rPr>
          <w:rFonts w:ascii="Times New Roman;sans-serif" w:hAnsi="Times New Roman;sans-serif"/>
          <w:b w:val="false"/>
          <w:color w:val="252525"/>
          <w:sz w:val="20"/>
        </w:rPr>
      </w:pPr>
      <w:r>
        <w:rPr>
          <w:rFonts w:ascii="Times New Roman;sans-serif" w:hAnsi="Times New Roman;sans-serif"/>
          <w:b w:val="false"/>
          <w:color w:val="252525"/>
          <w:sz w:val="20"/>
        </w:rPr>
        <w:t>Available-for-sale marketable securities as of December 31, 2023 and 2022 were as follows (in thousands):</w:t>
      </w:r>
    </w:p>
    <w:tbl>
      <w:tblPr>
        <w:tblW w:w="8315" w:type="dxa"/>
        <w:jc w:val="left"/>
        <w:tblInd w:w="0" w:type="dxa"/>
        <w:tblLayout w:type="fixed"/>
        <w:tblCellMar>
          <w:top w:w="28" w:type="dxa"/>
          <w:left w:w="28" w:type="dxa"/>
          <w:bottom w:w="28" w:type="dxa"/>
          <w:right w:w="28" w:type="dxa"/>
        </w:tblCellMar>
      </w:tblPr>
      <w:tblGrid>
        <w:gridCol w:w="1059"/>
        <w:gridCol w:w="931"/>
        <w:gridCol w:w="935"/>
        <w:gridCol w:w="211"/>
        <w:gridCol w:w="826"/>
        <w:gridCol w:w="109"/>
        <w:gridCol w:w="109"/>
        <w:gridCol w:w="109"/>
        <w:gridCol w:w="109"/>
        <w:gridCol w:w="320"/>
        <w:gridCol w:w="549"/>
        <w:gridCol w:w="167"/>
        <w:gridCol w:w="109"/>
        <w:gridCol w:w="109"/>
        <w:gridCol w:w="109"/>
        <w:gridCol w:w="314"/>
        <w:gridCol w:w="559"/>
        <w:gridCol w:w="163"/>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05" w:type="dxa"/>
        <w:jc w:val="center"/>
        <w:tblInd w:w="0" w:type="dxa"/>
        <w:tblLayout w:type="fixed"/>
        <w:tblCellMar>
          <w:top w:w="28" w:type="dxa"/>
          <w:left w:w="28" w:type="dxa"/>
          <w:bottom w:w="28" w:type="dxa"/>
          <w:right w:w="28" w:type="dxa"/>
        </w:tblCellMar>
      </w:tblPr>
      <w:tblGrid>
        <w:gridCol w:w="1060"/>
        <w:gridCol w:w="931"/>
        <w:gridCol w:w="934"/>
        <w:gridCol w:w="211"/>
        <w:gridCol w:w="721"/>
        <w:gridCol w:w="109"/>
        <w:gridCol w:w="109"/>
        <w:gridCol w:w="109"/>
        <w:gridCol w:w="109"/>
        <w:gridCol w:w="379"/>
        <w:gridCol w:w="460"/>
        <w:gridCol w:w="197"/>
        <w:gridCol w:w="109"/>
        <w:gridCol w:w="109"/>
        <w:gridCol w:w="109"/>
        <w:gridCol w:w="314"/>
        <w:gridCol w:w="559"/>
        <w:gridCol w:w="163"/>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All of the Company's available-for-sale securities held at December 31, 2023 and 2022 had contractual maturities of less than one year. All of the Company’s available-for-sale marketable debt securities in an unrealized loss position as of </w:t>
      </w:r>
      <w:r>
        <w:rPr>
          <w:rFonts w:ascii="Times New Roman;sans-serif" w:hAnsi="Times New Roman;sans-serif"/>
          <w:b w:val="false"/>
          <w:color w:val="252525"/>
          <w:sz w:val="20"/>
        </w:rPr>
        <w:t>December 31, 2023</w:t>
      </w:r>
      <w:r>
        <w:rPr>
          <w:color w:val="000000"/>
        </w:rPr>
        <w:t xml:space="preserve"> </w:t>
      </w:r>
      <w:r>
        <w:rPr>
          <w:rFonts w:ascii="Times New Roman;sans-serif" w:hAnsi="Times New Roman;sans-serif"/>
          <w:b w:val="false"/>
          <w:color w:val="000000"/>
          <w:sz w:val="20"/>
        </w:rPr>
        <w:t xml:space="preserve">and 2022 were in a loss position for less than twelve months.  Unrealized losses on available-for-sale debt securities as of </w:t>
      </w:r>
      <w:r>
        <w:rPr>
          <w:rFonts w:ascii="Times New Roman;sans-serif" w:hAnsi="Times New Roman;sans-serif"/>
          <w:b w:val="false"/>
          <w:color w:val="252525"/>
          <w:sz w:val="20"/>
        </w:rPr>
        <w:t xml:space="preserve">December 31, 2023 and </w:t>
      </w:r>
      <w:r>
        <w:rPr>
          <w:rFonts w:ascii="Times New Roman;sans-serif" w:hAnsi="Times New Roman;sans-serif"/>
          <w:b w:val="false"/>
          <w:color w:val="000000"/>
          <w:sz w:val="20"/>
        </w:rPr>
        <w:t xml:space="preserve">2022 </w:t>
      </w:r>
      <w:r>
        <w:rPr>
          <w:rFonts w:ascii="Times New Roman;sans-serif" w:hAnsi="Times New Roman;sans-serif"/>
          <w:b w:val="false"/>
          <w:color w:val="252525"/>
          <w:sz w:val="20"/>
        </w:rPr>
        <w:t xml:space="preserve">were not </w:t>
      </w:r>
      <w:r>
        <w:rPr>
          <w:rFonts w:ascii="Times New Roman;sans-serif" w:hAnsi="Times New Roman;sans-serif"/>
          <w:b w:val="false"/>
          <w:color w:val="000000"/>
          <w:sz w:val="20"/>
        </w:rPr>
        <w:t xml:space="preserve">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the years ended </w:t>
      </w:r>
      <w:r>
        <w:rPr>
          <w:rFonts w:ascii="Times New Roman;sans-serif" w:hAnsi="Times New Roman;sans-serif"/>
          <w:b w:val="false"/>
          <w:color w:val="252525"/>
          <w:sz w:val="20"/>
        </w:rPr>
        <w:t xml:space="preserve">December 31, 2023 and </w:t>
      </w:r>
      <w:r>
        <w:rPr>
          <w:rFonts w:ascii="Times New Roman;sans-serif" w:hAnsi="Times New Roman;sans-serif"/>
          <w:b w:val="false"/>
          <w:color w:val="000000"/>
          <w:sz w:val="20"/>
        </w:rPr>
        <w:t>2022. The Company does not intend to sell these investments and it is not more likely than not that the Company will be required to sell the investments before recovery of their amortized cost bases, which may be at maturity.</w:t>
      </w:r>
      <w:r>
        <w:rPr>
          <w:color w:val="252525"/>
        </w:rPr>
        <w:t xml:space="preserve"> </w:t>
      </w:r>
      <w:r>
        <w:rPr>
          <w:rFonts w:ascii="Times New Roman;sans-serif" w:hAnsi="Times New Roman;sans-serif"/>
          <w:b w:val="false"/>
          <w:color w:val="000000"/>
          <w:sz w:val="20"/>
        </w:rPr>
        <w:t>The Company recorded interest income of $4.0 million, $1.7 million and $2.0 million during the years ended December 31, 2023, 2022 and 2021, respectively, which is included in interest and other income on the consolidated statements of operations and comprehensive loss.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4. Inventory, Net</w:t>
      </w:r>
    </w:p>
    <w:p>
      <w:pPr>
        <w:pStyle w:val="TextBody"/>
        <w:bidi w:val="0"/>
        <w:spacing w:lineRule="auto" w:line="288" w:before="18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inventory relates to the manufacturing of MARGENZA. The following table sets forth the Company's inventory, net of reserves (in thousands):</w:t>
      </w:r>
    </w:p>
    <w:tbl>
      <w:tblPr>
        <w:tblW w:w="4201" w:type="dxa"/>
        <w:jc w:val="left"/>
        <w:tblInd w:w="0" w:type="dxa"/>
        <w:tblLayout w:type="fixed"/>
        <w:tblCellMar>
          <w:top w:w="28" w:type="dxa"/>
          <w:left w:w="28" w:type="dxa"/>
          <w:bottom w:w="28" w:type="dxa"/>
          <w:right w:w="28" w:type="dxa"/>
        </w:tblCellMar>
      </w:tblPr>
      <w:tblGrid>
        <w:gridCol w:w="630"/>
        <w:gridCol w:w="552"/>
        <w:gridCol w:w="557"/>
        <w:gridCol w:w="211"/>
        <w:gridCol w:w="616"/>
        <w:gridCol w:w="109"/>
        <w:gridCol w:w="109"/>
        <w:gridCol w:w="109"/>
        <w:gridCol w:w="109"/>
        <w:gridCol w:w="211"/>
        <w:gridCol w:w="616"/>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December 31, 2023 and December 31, 2022 is net of a reserve of $3.1 million and $4.9 million, respectively, for unsaleable inventory. These reserves are reflected in cost of product sales during the period they are recorded. </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802"/>
        <w:gridCol w:w="705"/>
        <w:gridCol w:w="707"/>
        <w:gridCol w:w="467"/>
        <w:gridCol w:w="1362"/>
        <w:gridCol w:w="241"/>
        <w:gridCol w:w="109"/>
        <w:gridCol w:w="109"/>
        <w:gridCol w:w="109"/>
        <w:gridCol w:w="484"/>
        <w:gridCol w:w="1415"/>
        <w:gridCol w:w="250"/>
        <w:gridCol w:w="109"/>
        <w:gridCol w:w="109"/>
        <w:gridCol w:w="109"/>
        <w:gridCol w:w="229"/>
        <w:gridCol w:w="689"/>
        <w:gridCol w:w="120"/>
        <w:gridCol w:w="109"/>
        <w:gridCol w:w="109"/>
        <w:gridCol w:w="109"/>
        <w:gridCol w:w="376"/>
        <w:gridCol w:w="1097"/>
        <w:gridCol w:w="280"/>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Inventory Reserves (in thousands)</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Additions Charged to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End of Year</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5. Property, Equipment and Software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consists of the following (in thousands):</w:t>
      </w:r>
    </w:p>
    <w:tbl>
      <w:tblPr>
        <w:tblW w:w="6503" w:type="dxa"/>
        <w:jc w:val="left"/>
        <w:tblInd w:w="0" w:type="dxa"/>
        <w:tblLayout w:type="fixed"/>
        <w:tblCellMar>
          <w:top w:w="28" w:type="dxa"/>
          <w:left w:w="28" w:type="dxa"/>
          <w:bottom w:w="28" w:type="dxa"/>
          <w:right w:w="28" w:type="dxa"/>
        </w:tblCellMar>
      </w:tblPr>
      <w:tblGrid>
        <w:gridCol w:w="1466"/>
        <w:gridCol w:w="1287"/>
        <w:gridCol w:w="1296"/>
        <w:gridCol w:w="211"/>
        <w:gridCol w:w="721"/>
        <w:gridCol w:w="109"/>
        <w:gridCol w:w="109"/>
        <w:gridCol w:w="109"/>
        <w:gridCol w:w="109"/>
        <w:gridCol w:w="211"/>
        <w:gridCol w:w="721"/>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office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equipment and software for the years ended December 31, 2023, 2022 and 2021 was $9.6 million, $11.9 million and $11.3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pPr>
      <w:r>
        <w:rPr>
          <w:rFonts w:ascii="Times New Roman;sans-serif" w:hAnsi="Times New Roman;sans-serif"/>
          <w:b/>
          <w:color w:val="000000"/>
          <w:sz w:val="20"/>
        </w:rPr>
        <w:t>6. Commitments and Contingencies</w:t>
      </w:r>
      <w:r>
        <w:rPr>
          <w:color w:val="000000"/>
        </w:rPr>
        <w:t> </w:t>
      </w:r>
    </w:p>
    <w:p>
      <w:pPr>
        <w:pStyle w:val="TextBody"/>
        <w:bidi w:val="0"/>
        <w:spacing w:lineRule="auto" w:line="288" w:before="180" w:after="180"/>
        <w:jc w:val="left"/>
        <w:rPr/>
      </w:pPr>
      <w:r>
        <w:rPr>
          <w:rFonts w:ascii="Times New Roman;sans-serif" w:hAnsi="Times New Roman;sans-serif"/>
          <w:b/>
          <w:i/>
          <w:color w:val="000000"/>
          <w:sz w:val="20"/>
        </w:rPr>
        <w:t>Leases</w:t>
      </w:r>
      <w:r>
        <w:rPr>
          <w:color w:val="000000"/>
        </w:rPr>
        <w:t>    </w:t>
      </w:r>
    </w:p>
    <w:p>
      <w:pPr>
        <w:pStyle w:val="TextBody"/>
        <w:bidi w:val="0"/>
        <w:spacing w:lineRule="auto" w:line="288" w:before="0" w:after="180"/>
        <w:ind w:left="0" w:right="0" w:firstLine="720"/>
        <w:jc w:val="left"/>
        <w:rPr/>
      </w:pPr>
      <w:r>
        <w:rPr>
          <w:rFonts w:ascii="Times New Roman;sans-serif" w:hAnsi="Times New Roman;sans-serif"/>
          <w:b w:val="false"/>
          <w:color w:val="252525"/>
          <w:sz w:val="20"/>
        </w:rPr>
        <w:t>The Company has non-cancelable operating leases for manufacturing, laboratory, office and warehouse space in Maryland The Company’s leases each have one or more five-year options to renew</w:t>
      </w:r>
      <w:r>
        <w:rPr>
          <w:rFonts w:ascii="Times New Roman;sans-serif" w:hAnsi="Times New Roman;sans-serif"/>
          <w:b w:val="false"/>
          <w:color w:val="000000"/>
          <w:sz w:val="20"/>
        </w:rPr>
        <w:t>.</w:t>
      </w:r>
      <w:r>
        <w:rPr>
          <w:color w:val="252525"/>
        </w:rPr>
        <w:t xml:space="preserve"> </w:t>
      </w:r>
      <w:r>
        <w:rPr>
          <w:rFonts w:ascii="Times New Roman;sans-serif" w:hAnsi="Times New Roman;sans-serif"/>
          <w:b w:val="false"/>
          <w:color w:val="252525"/>
          <w:sz w:val="20"/>
        </w:rPr>
        <w:t xml:space="preserve">In December 2022, the Company amended the existing lease on its headquarters space to extend the lease term through 2035 in exchange for certain concessions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252525"/>
          <w:sz w:val="20"/>
        </w:rPr>
      </w:pPr>
      <w:r>
        <w:rPr>
          <w:rFonts w:ascii="Times New Roman;sans-serif" w:hAnsi="Times New Roman;sans-serif"/>
          <w:b w:val="false"/>
          <w:color w:val="252525"/>
          <w:sz w:val="20"/>
        </w:rPr>
        <w:t xml:space="preserve">lessor. This amendment was accounted for as a lease modification, and the right-of-use asset and lease liability were remeasured at the modification date, resulting in an increase to both balances of approximately $14.0 million. </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supplemental balance sheet information related to operating leases:</w:t>
      </w:r>
    </w:p>
    <w:tbl>
      <w:tblPr>
        <w:tblW w:w="6104" w:type="dxa"/>
        <w:jc w:val="left"/>
        <w:tblInd w:w="0" w:type="dxa"/>
        <w:tblLayout w:type="fixed"/>
        <w:tblCellMar>
          <w:top w:w="28" w:type="dxa"/>
          <w:left w:w="28" w:type="dxa"/>
          <w:bottom w:w="28" w:type="dxa"/>
          <w:right w:w="28" w:type="dxa"/>
        </w:tblCellMar>
      </w:tblPr>
      <w:tblGrid>
        <w:gridCol w:w="1495"/>
        <w:gridCol w:w="1312"/>
        <w:gridCol w:w="1317"/>
        <w:gridCol w:w="255"/>
        <w:gridCol w:w="256"/>
        <w:gridCol w:w="292"/>
        <w:gridCol w:w="109"/>
        <w:gridCol w:w="109"/>
        <w:gridCol w:w="109"/>
        <w:gridCol w:w="255"/>
        <w:gridCol w:w="256"/>
        <w:gridCol w:w="339"/>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pPr>
      <w:r>
        <w:rPr>
          <w:rFonts w:ascii="Times New Roman;sans-serif" w:hAnsi="Times New Roman;sans-serif"/>
          <w:b w:val="false"/>
          <w:color w:val="252525"/>
          <w:sz w:val="20"/>
        </w:rPr>
        <w:t>During the years ended December 31, 2023 and</w:t>
      </w:r>
      <w:r>
        <w:rPr>
          <w:color w:val="000000"/>
        </w:rPr>
        <w:t xml:space="preserve"> </w:t>
      </w:r>
      <w:r>
        <w:rPr>
          <w:rFonts w:ascii="Times New Roman;sans-serif" w:hAnsi="Times New Roman;sans-serif"/>
          <w:b w:val="false"/>
          <w:color w:val="000000"/>
          <w:sz w:val="20"/>
        </w:rPr>
        <w:t>2022, t</w:t>
      </w:r>
      <w:r>
        <w:rPr>
          <w:rFonts w:ascii="Times New Roman;sans-serif" w:hAnsi="Times New Roman;sans-serif"/>
          <w:b w:val="false"/>
          <w:color w:val="252525"/>
          <w:sz w:val="20"/>
        </w:rPr>
        <w:t xml:space="preserve">he Company made cash payments for operating leases of $5.9 million and $6.9 million, respectively. As of December 31, 2023 and </w:t>
      </w:r>
      <w:r>
        <w:rPr>
          <w:rFonts w:ascii="Times New Roman;sans-serif" w:hAnsi="Times New Roman;sans-serif"/>
          <w:b w:val="false"/>
          <w:color w:val="000000"/>
          <w:sz w:val="20"/>
        </w:rPr>
        <w:t>2022,</w:t>
      </w:r>
      <w:r>
        <w:rPr>
          <w:color w:val="252525"/>
        </w:rPr>
        <w:t xml:space="preserve"> </w:t>
      </w:r>
      <w:r>
        <w:rPr>
          <w:rFonts w:ascii="Times New Roman;sans-serif" w:hAnsi="Times New Roman;sans-serif"/>
          <w:b w:val="false"/>
          <w:color w:val="252525"/>
          <w:sz w:val="20"/>
        </w:rPr>
        <w:t>the Company’s ROU assets were valued at $23.8 million and $27.3 million, respectively.</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 xml:space="preserve">The components of lease cost for the years ended </w:t>
      </w:r>
      <w:r>
        <w:rPr>
          <w:rFonts w:ascii="Times New Roman;sans-serif" w:hAnsi="Times New Roman;sans-serif"/>
          <w:b w:val="false"/>
          <w:color w:val="252525"/>
          <w:sz w:val="20"/>
        </w:rPr>
        <w:t>December 31, 2023</w:t>
      </w:r>
      <w:r>
        <w:rPr>
          <w:color w:val="000000"/>
        </w:rPr>
        <w:t xml:space="preserve"> </w:t>
      </w:r>
      <w:r>
        <w:rPr>
          <w:rFonts w:ascii="Times New Roman;sans-serif" w:hAnsi="Times New Roman;sans-serif"/>
          <w:b w:val="false"/>
          <w:color w:val="000000"/>
          <w:sz w:val="20"/>
        </w:rPr>
        <w:t>and 2022 were as follows (in thousands):</w:t>
      </w:r>
    </w:p>
    <w:tbl>
      <w:tblPr>
        <w:tblW w:w="3999"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52525"/>
          <w:sz w:val="20"/>
        </w:rPr>
        <w:t>December 31, 2023</w:t>
      </w:r>
      <w:r>
        <w:rPr>
          <w:rFonts w:ascii="Times New Roman;sans-serif" w:hAnsi="Times New Roman;sans-serif"/>
          <w:b w:val="false"/>
          <w:color w:val="000000"/>
          <w:sz w:val="20"/>
        </w:rPr>
        <w:t xml:space="preserve">, the maturities of the Company’s operating lease liabilities were as follows (in thousands): </w:t>
      </w:r>
    </w:p>
    <w:tbl>
      <w:tblPr>
        <w:tblW w:w="2990" w:type="dxa"/>
        <w:jc w:val="left"/>
        <w:tblInd w:w="0" w:type="dxa"/>
        <w:tblLayout w:type="fixed"/>
        <w:tblCellMar>
          <w:top w:w="28" w:type="dxa"/>
          <w:left w:w="28" w:type="dxa"/>
          <w:bottom w:w="28" w:type="dxa"/>
          <w:right w:w="28" w:type="dxa"/>
        </w:tblCellMar>
      </w:tblPr>
      <w:tblGrid>
        <w:gridCol w:w="688"/>
        <w:gridCol w:w="604"/>
        <w:gridCol w:w="612"/>
        <w:gridCol w:w="211"/>
        <w:gridCol w:w="72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In-licensing arrangement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noBreakHyphen/>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The Company incurred $2.8 million and $1.0 million in expense under this agreement during the years ended December 31, 2023 and 2022, respectively.</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Royalty Monetization Arrangement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entered into a Purchase and Sale Agreement (Royalty Purchase Agreement) with DRI Healthcare Acquisitions LP (DRI), a wholly owned subsidiary of DRI Healthcare Trust, for the sale to DRI of the Company’s single-digit royalty interest on global net sales of TZIELD (teplizumab-mzwv) under the Company’s asset purchase agreement dated May 7, 2018, as amended (the Provention APA), with Provention. The Company retained its other economic interests related to TZIELD under the Provention APA, including future potential development, regulatory, and commercial milestones.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Royalty Purchase Agreement, the Company received $100.0 million from DRI for its single-digit royalty interest on global net sales of TZIELD under the Provention APA (the Royalty Interest). Additionally, the Company has the right to receive a 50% share of the royalty on global net sales above a certain annual threshold (the Retained Interest). In addition, the Company was eligible to receive up to $50.0 million upon the occurrence of pre-specified events tied to the advancement of TZIELD for the treatment of newly diagnosed type 1 diabetes. This milestone was achieved in July 2023 as described below. The Company is also eligible to receive an additional $50.0 million milestone if TZIELD achieves a certain level of net sales (Sales Milestone Payment).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$100.0 million proceeds received from DRI for the Royalty Interest were recorded as a liability related to future royalties, net of transaction costs of $0.3 million, which was to be amortized over the term of the arrangement using the effective interest rate method. At inception, the Company accounted for the Royalty Purchase Agreement as a financing arrangement because the Company had significant continuing involvement in the delivery of future royalty payments to DRI and other existing obligations under the Provention APA.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In April 2023, the Company entered into an agreement (the Tripartite Agreement) with DRI and a subsidiary of Sanofi S.A. (Sanofi), whereby the Company consented to the sale of DRI’s Royalty Interest and related milestone payment obligations to Sanofi. The Tripartite Agreement eliminated the Company’s obligation to deliver payments to DRI related to the Royalty Interest and removed all of the Company’s other obligations under the Royalty Purchase Agreement. The Royalty Interest will be paid directly to Sanofi by Provention. As a result, the Company’s royalty rights are only for the Retained Interest. This change in rights and obligations resulted in a change in the terms of the liability related to future royalties which was evaluated by the Company in accordance with ASC 470-50, </w:t>
      </w:r>
      <w:r>
        <w:rPr>
          <w:rFonts w:ascii="Times New Roman;sans-serif" w:hAnsi="Times New Roman;sans-serif"/>
          <w:b w:val="false"/>
          <w:i/>
          <w:color w:val="000000"/>
          <w:sz w:val="20"/>
        </w:rPr>
        <w:t>Debt — Modifications and Extinguishments</w:t>
      </w:r>
      <w:r>
        <w:rPr>
          <w:rFonts w:ascii="Times New Roman;sans-serif" w:hAnsi="Times New Roman;sans-serif"/>
          <w:b w:val="false"/>
          <w:color w:val="000000"/>
          <w:sz w:val="20"/>
        </w:rPr>
        <w:t>. The Company concluded that the execution of the Tripartite Agreement resulted in a modification to the liability related to future royalties.</w:t>
      </w:r>
      <w:r>
        <w:rPr>
          <w:color w:val="000000"/>
        </w:rPr>
        <w:t xml:space="preserve"> </w:t>
      </w:r>
      <w:r>
        <w:rPr>
          <w:rFonts w:ascii="Times New Roman;sans-serif" w:hAnsi="Times New Roman;sans-serif"/>
          <w:b w:val="false"/>
          <w:color w:val="000000"/>
          <w:sz w:val="20"/>
        </w:rPr>
        <w:t>The Company determined that the terms of the new liability related to the single-digit future royalties and the original liability related to future royalties were substantially different as the Company no longer receives payments for the Royalty Interest and therefore has a significantly reduced liability to make payments in accordance with the Royalty Purchase Agreement. The new liability related to future royalties was determined to be de minimis.</w:t>
      </w:r>
      <w:r>
        <w:rPr>
          <w:color w:val="000000"/>
        </w:rPr>
        <w:t xml:space="preserve"> </w:t>
      </w:r>
      <w:r>
        <w:rPr>
          <w:rFonts w:ascii="Times New Roman;sans-serif" w:hAnsi="Times New Roman;sans-serif"/>
          <w:b w:val="false"/>
          <w:color w:val="000000"/>
          <w:sz w:val="20"/>
        </w:rPr>
        <w:t>As a result, the Company recorded $100.9 million within other income on the statement of operations and comprehensive loss during the three months ended June 30, 2023. There was no modification to the Company's Retained Interest in the Tripartite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Sanofi reported achievement of the primary endpoint milestone event related to the $50.0 million milestone noted above. Given that the Company has no continuing obligation to pay the Royalty Interest to Sanofi, the Company recorded this milestone within other income on the statement of operations and comprehensive loss during the three months ended September 30, 2023. Also in September 2023, the Company and Sanofi executed Amendment No. 2 to the Provention APA to incorporate the Sales Milestone Payment obligation from the Royalty Purchase Agreement into the Provention APA. In addition, the Company and Sanofi terminated the Royalty Purchase Agreement, which did not result in a material impact to the financial statements given the fair value of the liability related to future royalties was de minimis.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liability related to future royalties were as follows for the year ended December 31, 2023 (in thousands):</w:t>
      </w:r>
    </w:p>
    <w:p>
      <w:pPr>
        <w:pStyle w:val="TextBody"/>
        <w:bidi w:val="0"/>
        <w:spacing w:before="0" w:after="0"/>
        <w:ind w:left="0" w:right="0" w:firstLine="720"/>
        <w:jc w:val="left"/>
        <w:rPr/>
      </w:pPr>
      <w:r>
        <w:rPr/>
      </w:r>
    </w:p>
    <w:tbl>
      <w:tblPr>
        <w:tblW w:w="5970" w:type="dxa"/>
        <w:jc w:val="left"/>
        <w:tblInd w:w="0" w:type="dxa"/>
        <w:tblLayout w:type="fixed"/>
        <w:tblCellMar>
          <w:top w:w="28" w:type="dxa"/>
          <w:left w:w="28" w:type="dxa"/>
          <w:bottom w:w="28" w:type="dxa"/>
          <w:right w:w="28" w:type="dxa"/>
        </w:tblCellMar>
      </w:tblPr>
      <w:tblGrid>
        <w:gridCol w:w="1662"/>
        <w:gridCol w:w="1459"/>
        <w:gridCol w:w="1468"/>
        <w:gridCol w:w="109"/>
        <w:gridCol w:w="109"/>
        <w:gridCol w:w="109"/>
        <w:gridCol w:w="307"/>
        <w:gridCol w:w="593"/>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 payable to DRI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amended and restated certificate of incorporation authorizes 125,000,000 shares of common stock, and 5,000,000 shares of undesignated preferred stock, both with a par value of $0.01 per share. There were no shares of undesignated preferred stock issued or outstanding as of December 31, 2023 or 2022.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Company sold 3,622,186 shares of common stock resulting in net proceeds of approximately $98.2 million through December 31, 2021 under the Sales Agreement. In April 2021, the Company entered into Amendment No. 1 to the Sales Agreement which increased the amount of the Company’s common stock that can be sold by the Company through its agent under the ATM Offering, from an aggregate offering price of up to $100.0 million to an aggregate offering price of up to $300.0 million. During the year ended December 31, 2022, the Company sold 160,480 shares of common stock at a weighted average price per share of $6.87, resulting in net proceeds of approximately $1.1 million, net of underwriting discounts and commissions and other offering expenses. In March 2023, the Company terminated the Sales Agreement and entered into a new sales agreement with an agent to sell, from time to time, shares of its common stock having an aggregate sales price of up to $100.0 million through an ATM Offering. During the year ended December 31, 2023, the Company sold 95,000 shares of common stock at a weighted average price per share of $6.60, resulting in net proceeds of approximately $0.6 million, net of offering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9. Revenue</w:t>
      </w: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 xml:space="preserve">Collaborative and Other Agreements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Incyte Corporation</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License Agreement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Company entered into an exclusive global collaboration and license agreement with Incyte, which was amended in March 2018, April 2022 and July 2022,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MacroGenics will manufacture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Merkel cell carcinoma, squamous cell carcinoma of the anal canal, MSI-high endometrial cancer and non-small cell lung cancer. Incyte is also pursuing development of retifanlimab in combination with multiple product candidates from its pipeline.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Under the terms of the Incyte License Agreement, as amended, Incyte will lead global development of retifanlimab. Assuming successful development and commercialization by Incyte in multiple indications, the Company could receive up to a total of $435.0 million in development and regulatory milestones, and up to $330.0 million in commercial milestones. From the inception of the Incyte License Agreement through </w:t>
      </w:r>
      <w:r>
        <w:rPr>
          <w:rFonts w:ascii="Times New Roman;sans-serif" w:hAnsi="Times New Roman;sans-serif"/>
          <w:b w:val="false"/>
          <w:color w:val="252525"/>
          <w:sz w:val="20"/>
        </w:rPr>
        <w:t>December 31, 2023</w:t>
      </w:r>
      <w:r>
        <w:rPr>
          <w:rFonts w:ascii="Times New Roman;sans-serif" w:hAnsi="Times New Roman;sans-serif"/>
          <w:b w:val="false"/>
          <w:color w:val="000000"/>
          <w:sz w:val="20"/>
        </w:rPr>
        <w:t xml:space="preserve">, the Company has recognized $115.0 million in development milestones under the Incyte License Agreement, including $15.0 million received following the FDA approval of ZYNYZ. The Company is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 </w:t>
      </w:r>
    </w:p>
    <w:p>
      <w:pPr>
        <w:pStyle w:val="TextBody"/>
        <w:bidi w:val="0"/>
        <w:spacing w:lineRule="auto" w:line="288" w:before="0" w:after="180"/>
        <w:ind w:left="0" w:right="0" w:firstLine="8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Incyte License Agreement under the provisions of 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agreements. The standalone selling price for the agreed-upon clinical activities to be performed was determined using the expected cost approach based on similar arrangements the Company has with other parties. The potential development and regulatory milestone payments are </w:t>
      </w:r>
      <w:r>
        <w:rPr>
          <w:rFonts w:ascii="Times New Roman;sans-serif" w:hAnsi="Times New Roman;sans-serif"/>
          <w:b w:val="false"/>
          <w:color w:val="252525"/>
          <w:sz w:val="20"/>
        </w:rPr>
        <w:t xml:space="preserve">fully constrained until the Company concludes that achievement of the milestone is probable and that recognition of revenue related to the milestone will not result in a significant reversal in amounts recognized in future periods, </w:t>
      </w:r>
      <w:r>
        <w:rPr>
          <w:rFonts w:ascii="Times New Roman;sans-serif" w:hAnsi="Times New Roman;sans-serif"/>
          <w:b w:val="false"/>
          <w:color w:val="000000"/>
          <w:sz w:val="20"/>
        </w:rPr>
        <w:t xml:space="preserve">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w:t>
      </w:r>
      <w:r>
        <w:rPr>
          <w:rFonts w:ascii="Times New Roman;sans-serif" w:hAnsi="Times New Roman;sans-serif"/>
          <w:b w:val="false"/>
          <w:color w:val="252525"/>
          <w:sz w:val="20"/>
        </w:rPr>
        <w:t>From 2018 through December 31, 2023</w:t>
      </w:r>
      <w:r>
        <w:rPr>
          <w:rFonts w:ascii="Times New Roman;sans-serif" w:hAnsi="Times New Roman;sans-serif"/>
          <w:b w:val="false"/>
          <w:color w:val="000000"/>
          <w:sz w:val="20"/>
        </w:rPr>
        <w:t xml:space="preserve">, </w:t>
      </w:r>
      <w:r>
        <w:rPr>
          <w:rFonts w:ascii="Times New Roman;sans-serif" w:hAnsi="Times New Roman;sans-serif"/>
          <w:b w:val="false"/>
          <w:color w:val="252525"/>
          <w:sz w:val="20"/>
        </w:rPr>
        <w:t xml:space="preserve">it became probable that a significant reversal of cumulative revenue would not occur for development milestones totaling </w:t>
      </w:r>
      <w:r>
        <w:rPr>
          <w:rFonts w:ascii="Times New Roman;sans-serif" w:hAnsi="Times New Roman;sans-serif"/>
          <w:b w:val="false"/>
          <w:color w:val="000000"/>
          <w:sz w:val="20"/>
        </w:rPr>
        <w:t>$115.0 million</w:t>
      </w:r>
      <w:r>
        <w:rPr>
          <w:color w:val="252525"/>
        </w:rPr>
        <w:t xml:space="preserve"> </w:t>
      </w:r>
      <w:r>
        <w:rPr>
          <w:rFonts w:ascii="Times New Roman;sans-serif" w:hAnsi="Times New Roman;sans-serif"/>
          <w:b w:val="false"/>
          <w:color w:val="252525"/>
          <w:sz w:val="20"/>
        </w:rPr>
        <w:t xml:space="preserve">related to clinical and regulatory activities related to the further advancement of retifanlimab. </w:t>
      </w:r>
      <w:r>
        <w:rPr>
          <w:rFonts w:ascii="Times New Roman;sans-serif" w:hAnsi="Times New Roman;sans-serif"/>
          <w:b w:val="false"/>
          <w:color w:val="000000"/>
          <w:sz w:val="20"/>
        </w:rPr>
        <w:t>Therefore</w:t>
      </w:r>
      <w:r>
        <w:rPr>
          <w:color w:val="252525"/>
        </w:rPr>
        <w:t xml:space="preserve"> </w:t>
      </w:r>
      <w:r>
        <w:rPr>
          <w:rFonts w:ascii="Times New Roman;sans-serif" w:hAnsi="Times New Roman;sans-serif"/>
          <w:b w:val="false"/>
          <w:color w:val="252525"/>
          <w:sz w:val="20"/>
        </w:rPr>
        <w:t xml:space="preserve">the associated consideration was added to the estimated transaction price and was recognized as revenue. </w:t>
      </w:r>
    </w:p>
    <w:p>
      <w:pPr>
        <w:pStyle w:val="TextBody"/>
        <w:bidi w:val="0"/>
        <w:spacing w:lineRule="auto" w:line="288" w:before="0" w:after="180"/>
        <w:ind w:left="0" w:right="0" w:firstLine="840"/>
        <w:jc w:val="left"/>
        <w:rPr/>
      </w:pPr>
      <w:r>
        <w:rPr>
          <w:rFonts w:ascii="Times New Roman;sans-serif" w:hAnsi="Times New Roman;sans-serif"/>
          <w:b w:val="false"/>
          <w:color w:val="252525"/>
          <w:sz w:val="20"/>
        </w:rPr>
        <w:t xml:space="preserve">The Company recognized the </w:t>
      </w:r>
      <w:r>
        <w:rPr>
          <w:rFonts w:ascii="Times New Roman;sans-serif" w:hAnsi="Times New Roman;sans-serif"/>
          <w:b w:val="false"/>
          <w:color w:val="000000"/>
          <w:sz w:val="20"/>
        </w:rPr>
        <w:t>$150.0 million</w:t>
      </w:r>
      <w:r>
        <w:rPr>
          <w:color w:val="252525"/>
        </w:rPr>
        <w:t xml:space="preserve"> </w:t>
      </w:r>
      <w:r>
        <w:rPr>
          <w:rFonts w:ascii="Times New Roman;sans-serif" w:hAnsi="Times New Roman;sans-serif"/>
          <w:b w:val="false"/>
          <w:color w:val="252525"/>
          <w:sz w:val="20"/>
        </w:rPr>
        <w:t xml:space="preserve">allocated to the </w:t>
      </w:r>
      <w:r>
        <w:rPr>
          <w:rFonts w:ascii="Times New Roman;sans-serif" w:hAnsi="Times New Roman;sans-serif"/>
          <w:b w:val="false"/>
          <w:color w:val="000000"/>
          <w:sz w:val="20"/>
        </w:rPr>
        <w:t>license when it satisfied its performance obligation and transferred the license to Incyte in 2017. The $4.0 million allocated to the clinical activities was recognized ratably as services were performed during 2017 and 2018. The Company recognized the $15.0 million ZYNYZ approval milestone as revenue under the Incyte License Agreement during the year ended December 31, 2023. The Company recognized revenue of $15.0 million, $30.0 million and $15.0 million under the Incyte License Agreement during the years ended December 31, 2023, 2022 and 2021, respectively, all of which was related to development milestones.</w:t>
      </w:r>
    </w:p>
    <w:p>
      <w:pPr>
        <w:pStyle w:val="TextBody"/>
        <w:bidi w:val="0"/>
        <w:spacing w:lineRule="auto" w:line="288" w:before="180" w:after="180"/>
        <w:ind w:left="0" w:right="0" w:firstLine="84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Clinical Supply Agreement</w:t>
      </w:r>
    </w:p>
    <w:p>
      <w:pPr>
        <w:pStyle w:val="TextBody"/>
        <w:bidi w:val="0"/>
        <w:spacing w:lineRule="auto" w:line="288" w:before="180" w:after="180"/>
        <w:ind w:left="0" w:right="0" w:firstLine="840"/>
        <w:jc w:val="left"/>
        <w:rPr/>
      </w:pPr>
      <w:r>
        <w:rPr>
          <w:rFonts w:ascii="Times New Roman;sans-serif" w:hAnsi="Times New Roman;sans-serif"/>
          <w:b w:val="false"/>
          <w:color w:val="000000"/>
          <w:sz w:val="20"/>
        </w:rPr>
        <w:t xml:space="preserve">In 2018, the Company entered into an agreement with Incyte under which the Company is to perform development and manufacturing services for Incyte’s clinical needs of retifanlimab (Incyte Clinical Supply Agreement). The Company evaluated this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years ended </w:t>
      </w:r>
      <w:r>
        <w:rPr>
          <w:rFonts w:ascii="Times New Roman;sans-serif" w:hAnsi="Times New Roman;sans-serif"/>
          <w:b w:val="false"/>
          <w:color w:val="252525"/>
          <w:sz w:val="20"/>
        </w:rPr>
        <w:t>December 31, 2023</w:t>
      </w:r>
      <w:r>
        <w:rPr>
          <w:rFonts w:ascii="Times New Roman;sans-serif" w:hAnsi="Times New Roman;sans-serif"/>
          <w:b w:val="false"/>
          <w:color w:val="000000"/>
          <w:sz w:val="20"/>
        </w:rPr>
        <w:t xml:space="preserve">, 2022 and 2021, the Company recognized revenue of $1.9 million, $0.7 million and $1.5 million, respectively, for services performed under this agreement. </w:t>
      </w:r>
    </w:p>
    <w:p>
      <w:pPr>
        <w:pStyle w:val="TextBody"/>
        <w:bidi w:val="0"/>
        <w:spacing w:lineRule="auto" w:line="288" w:before="180" w:after="180"/>
        <w:ind w:left="0" w:right="0" w:firstLine="84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Commercial Supply Agreement</w:t>
      </w:r>
    </w:p>
    <w:p>
      <w:pPr>
        <w:pStyle w:val="TextBody"/>
        <w:bidi w:val="0"/>
        <w:spacing w:lineRule="auto" w:line="288" w:before="0" w:after="0"/>
        <w:ind w:left="0" w:right="0" w:firstLine="840"/>
        <w:jc w:val="left"/>
        <w:rPr/>
      </w:pPr>
      <w:r>
        <w:rPr>
          <w:rFonts w:ascii="Times New Roman;sans-serif" w:hAnsi="Times New Roman;sans-serif"/>
          <w:b w:val="false"/>
          <w:color w:val="000000"/>
          <w:sz w:val="20"/>
        </w:rPr>
        <w:t xml:space="preserve">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During the years ended </w:t>
      </w:r>
      <w:r>
        <w:rPr>
          <w:rFonts w:ascii="Times New Roman;sans-serif" w:hAnsi="Times New Roman;sans-serif"/>
          <w:b w:val="false"/>
          <w:color w:val="252525"/>
          <w:sz w:val="20"/>
        </w:rPr>
        <w:t xml:space="preserve">December 31, 2023, </w:t>
      </w:r>
      <w:r>
        <w:rPr>
          <w:rFonts w:ascii="Times New Roman;sans-serif" w:hAnsi="Times New Roman;sans-serif"/>
          <w:b w:val="false"/>
          <w:color w:val="000000"/>
          <w:sz w:val="20"/>
        </w:rPr>
        <w:t xml:space="preserve">2022, and 2021 the Company recognized revenue of $4.2 million, $0.3 million and $7.8 million, respectively, for services performed under this agreement. </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Gilead Sciences, Inc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 October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shd w:fill="FFFFFF" w:val="clear"/>
        </w:rPr>
        <w:t>, during which Gilead will have the right to exercise an option granted to Gilead to obtain an exclusive license under the Company’s intellectual property to develop and commercialize MGD024 and other bispecific antibodies of MacroGenics that bind CD123 and CD3</w:t>
      </w:r>
      <w:r>
        <w:rPr>
          <w:color w:val="000000"/>
        </w:rPr>
        <w:t xml:space="preserve"> </w:t>
      </w:r>
      <w:r>
        <w:rPr>
          <w:rFonts w:ascii="Times New Roman;sans-serif" w:hAnsi="Times New Roman;sans-serif"/>
          <w:b w:val="false"/>
          <w:color w:val="000000"/>
          <w:sz w:val="20"/>
        </w:rPr>
        <w:t xml:space="preserve">(CD123 Option). The agreement also grants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Under the terms of the Gilead Agreement, in October 2022 Gilead paid the Company an upfront payment of $60.0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w:t>
      </w:r>
      <w:r>
        <w:rPr>
          <w:color w:val="000000"/>
        </w:rPr>
        <w:t xml:space="preserve"> </w:t>
      </w:r>
      <w:r>
        <w:rPr>
          <w:rFonts w:ascii="Times New Roman;sans-serif" w:hAnsi="Times New Roman;sans-serif"/>
          <w:b w:val="false"/>
          <w:color w:val="000000"/>
          <w:sz w:val="20"/>
          <w:shd w:fill="FFFFFF" w:val="clear"/>
        </w:rPr>
        <w:t xml:space="preserve">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w:t>
      </w:r>
      <w:r>
        <w:rPr>
          <w:rFonts w:ascii="Times New Roman;sans-serif" w:hAnsi="Times New Roman;sans-serif"/>
          <w:b w:val="false"/>
          <w:color w:val="000000"/>
          <w:sz w:val="20"/>
        </w:rPr>
        <w:t>Research Program Option,</w:t>
      </w:r>
      <w:r>
        <w:rPr>
          <w:color w:val="000000"/>
          <w:shd w:fill="FFFFFF" w:val="clear"/>
        </w:rPr>
        <w:t xml:space="preserve"> </w:t>
      </w:r>
      <w:r>
        <w:rPr>
          <w:rFonts w:ascii="Times New Roman;sans-serif" w:hAnsi="Times New Roman;sans-serif"/>
          <w:b w:val="false"/>
          <w:color w:val="000000"/>
          <w:sz w:val="20"/>
          <w:shd w:fill="FFFFFF" w:val="clear"/>
        </w:rPr>
        <w:t>a flat royalty on worldwide net sales of any products resulting from the two research programs.</w:t>
      </w:r>
      <w:r>
        <w:rPr>
          <w:color w:val="000000"/>
        </w:rPr>
        <w:t xml:space="preserve"> </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 xml:space="preserve">The Company evaluated the Gilead Agreement under the provisions of ASC 606 and identified the following material promises under the agreement: (i) a license to perform any activities allocated to Gilead under the MGD024 </w:t>
      </w:r>
      <w:r>
        <w:rPr>
          <w:rFonts w:ascii="Times New Roman;sans-serif" w:hAnsi="Times New Roman;sans-serif"/>
          <w:b w:val="false"/>
          <w:color w:val="000000"/>
          <w:sz w:val="20"/>
        </w:rPr>
        <w:t>development plan</w:t>
      </w:r>
      <w:r>
        <w:rPr>
          <w:rFonts w:ascii="Times New Roman;sans-serif" w:hAnsi="Times New Roman;sans-serif"/>
          <w:b w:val="false"/>
          <w:color w:val="000000"/>
          <w:sz w:val="20"/>
          <w:shd w:fill="FFFFFF" w:val="clear"/>
        </w:rPr>
        <w:t xml:space="preserve">; (ii) development activities regarding MGD024, including manufacturing, research and early clinical development activities, necessary to deliver an informational package of development and clinical data, information and materials specified in the Gilead Agreement during the period </w:t>
      </w:r>
      <w:r>
        <w:rPr>
          <w:rFonts w:ascii="Times New Roman;sans-serif" w:hAnsi="Times New Roman;sans-serif"/>
          <w:b w:val="false"/>
          <w:color w:val="000000"/>
          <w:sz w:val="20"/>
        </w:rPr>
        <w:t>in</w:t>
      </w:r>
      <w:r>
        <w:rPr>
          <w:color w:val="000000"/>
          <w:shd w:fill="FFFFFF" w:val="clear"/>
        </w:rPr>
        <w:t xml:space="preserve"> </w:t>
      </w:r>
      <w:r>
        <w:rPr>
          <w:rFonts w:ascii="Times New Roman;sans-serif" w:hAnsi="Times New Roman;sans-serif"/>
          <w:b w:val="false"/>
          <w:color w:val="000000"/>
          <w:sz w:val="20"/>
          <w:shd w:fill="FFFFFF" w:val="clear"/>
        </w:rPr>
        <w:t xml:space="preserve">which Gilead can exercise the CD123 Option; (iii) the CD123 Option and (iv) the </w:t>
      </w:r>
      <w:r>
        <w:rPr>
          <w:rFonts w:ascii="Times New Roman;sans-serif" w:hAnsi="Times New Roman;sans-serif"/>
          <w:b w:val="false"/>
          <w:color w:val="000000"/>
          <w:sz w:val="20"/>
        </w:rPr>
        <w:t>Research Program Option</w:t>
      </w:r>
      <w:r>
        <w:rPr>
          <w:rFonts w:ascii="Times New Roman;sans-serif" w:hAnsi="Times New Roman;sans-serif"/>
          <w:b w:val="false"/>
          <w:color w:val="000000"/>
          <w:sz w:val="20"/>
          <w:shd w:fill="FFFFFF" w:val="clear"/>
        </w:rPr>
        <w:t>.</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The Company concluded that the license under the MGD024 developme</w:t>
      </w:r>
      <w:r>
        <w:rPr>
          <w:rFonts w:ascii="Times New Roman;sans-serif" w:hAnsi="Times New Roman;sans-serif"/>
          <w:b w:val="false"/>
          <w:color w:val="000000"/>
          <w:sz w:val="20"/>
        </w:rPr>
        <w:t>nt plan</w:t>
      </w:r>
      <w:r>
        <w:rPr>
          <w:color w:val="000000"/>
          <w:shd w:fill="FFFFFF" w:val="clear"/>
        </w:rPr>
        <w:t xml:space="preserve"> </w:t>
      </w:r>
      <w:r>
        <w:rPr>
          <w:rFonts w:ascii="Times New Roman;sans-serif" w:hAnsi="Times New Roman;sans-serif"/>
          <w:b w:val="false"/>
          <w:color w:val="000000"/>
          <w:sz w:val="20"/>
          <w:shd w:fill="FFFFFF" w:val="clear"/>
        </w:rPr>
        <w:t>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w:t>
      </w:r>
      <w:r>
        <w:rPr>
          <w:color w:val="000000"/>
        </w:rPr>
        <w:t xml:space="preserve"> </w:t>
      </w:r>
      <w:r>
        <w:rPr>
          <w:rFonts w:ascii="Times New Roman;sans-serif" w:hAnsi="Times New Roman;sans-serif"/>
          <w:b w:val="false"/>
          <w:color w:val="000000"/>
          <w:sz w:val="20"/>
        </w:rPr>
        <w:t>The Company will reassess the amount of variable consideration included in the transaction price every reporting period.</w:t>
      </w:r>
      <w:r>
        <w:rPr>
          <w:color w:val="000000"/>
          <w:shd w:fill="FFFFFF" w:val="clear"/>
        </w:rPr>
        <w:t xml:space="preserve"> </w:t>
      </w:r>
      <w:r>
        <w:rPr>
          <w:rFonts w:ascii="Times New Roman;sans-serif" w:hAnsi="Times New Roman;sans-serif"/>
          <w:b w:val="false"/>
          <w:color w:val="000000"/>
          <w:sz w:val="20"/>
          <w:shd w:fill="FFFFFF" w:val="clear"/>
        </w:rPr>
        <w:t xml:space="preserve">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w:t>
      </w:r>
      <w:r>
        <w:rPr>
          <w:rFonts w:ascii="Times New Roman;sans-serif" w:hAnsi="Times New Roman;sans-serif"/>
          <w:b w:val="false"/>
          <w:color w:val="000000"/>
          <w:sz w:val="20"/>
        </w:rPr>
        <w:t>for the pre-option development timeline.</w:t>
      </w:r>
      <w:r>
        <w:rPr>
          <w:color w:val="000000"/>
        </w:rPr>
        <w:t xml:space="preserve"> </w:t>
      </w:r>
      <w:r>
        <w:rPr>
          <w:rFonts w:ascii="Times New Roman;sans-serif" w:hAnsi="Times New Roman;sans-serif"/>
          <w:b w:val="false"/>
          <w:color w:val="000000"/>
          <w:sz w:val="20"/>
        </w:rPr>
        <w:t>For the standalone selling price of the CD123 Option, the Company utilized an income-based approach which included the following key assumptions:</w:t>
      </w:r>
      <w:r>
        <w:rPr>
          <w:color w:val="000000"/>
        </w:rPr>
        <w:t xml:space="preserve"> </w:t>
      </w:r>
      <w:r>
        <w:rPr>
          <w:rFonts w:ascii="Times New Roman;sans-serif" w:hAnsi="Times New Roman;sans-serif"/>
          <w:b w:val="false"/>
          <w:color w:val="000000"/>
          <w:sz w:val="20"/>
        </w:rPr>
        <w:t xml:space="preserve">post-option development timeline and costs, forecasted revenues, discount rates and probabilities of technical and regulatory success. </w:t>
      </w:r>
    </w:p>
    <w:p>
      <w:pPr>
        <w:pStyle w:val="TextBody"/>
        <w:bidi w:val="0"/>
        <w:spacing w:lineRule="auto" w:line="288" w:before="18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has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 xml:space="preserve">During the years ended </w:t>
      </w:r>
      <w:r>
        <w:rPr>
          <w:rFonts w:ascii="Times New Roman;sans-serif" w:hAnsi="Times New Roman;sans-serif"/>
          <w:b w:val="false"/>
          <w:color w:val="252525"/>
          <w:sz w:val="20"/>
        </w:rPr>
        <w:t>December 31, 2023</w:t>
      </w:r>
      <w:r>
        <w:rPr>
          <w:rFonts w:ascii="Times New Roman;sans-serif" w:hAnsi="Times New Roman;sans-serif"/>
          <w:b w:val="false"/>
          <w:color w:val="000000"/>
          <w:sz w:val="20"/>
        </w:rPr>
        <w:t xml:space="preserve">, and 2022, </w:t>
      </w:r>
      <w:r>
        <w:rPr>
          <w:rFonts w:ascii="Times New Roman;sans-serif" w:hAnsi="Times New Roman;sans-serif"/>
          <w:b w:val="false"/>
          <w:color w:val="000000"/>
          <w:sz w:val="20"/>
          <w:shd w:fill="FFFFFF" w:val="clear"/>
        </w:rPr>
        <w:t xml:space="preserve">the Company recorded revenue of </w:t>
      </w:r>
      <w:r>
        <w:rPr>
          <w:rFonts w:ascii="Times New Roman;sans-serif" w:hAnsi="Times New Roman;sans-serif"/>
          <w:b w:val="false"/>
          <w:color w:val="000000"/>
          <w:sz w:val="20"/>
        </w:rPr>
        <w:t>$1.5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$0.2 million respectively, </w:t>
      </w:r>
      <w:r>
        <w:rPr>
          <w:rFonts w:ascii="Times New Roman;sans-serif" w:hAnsi="Times New Roman;sans-serif"/>
          <w:b w:val="false"/>
          <w:color w:val="000000"/>
          <w:sz w:val="20"/>
          <w:shd w:fill="FFFFFF" w:val="clear"/>
        </w:rPr>
        <w:t xml:space="preserve">related to the Gilead Agreement. As of </w:t>
      </w:r>
      <w:r>
        <w:rPr>
          <w:rFonts w:ascii="Times New Roman;sans-serif" w:hAnsi="Times New Roman;sans-serif"/>
          <w:b w:val="false"/>
          <w:color w:val="252525"/>
          <w:sz w:val="20"/>
        </w:rPr>
        <w:t>December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$58.3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$2.2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$56.1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non-current.As of December 31, 2022, </w:t>
      </w:r>
      <w:r>
        <w:rPr>
          <w:rFonts w:ascii="Times New Roman;sans-serif" w:hAnsi="Times New Roman;sans-serif"/>
          <w:b w:val="false"/>
          <w:color w:val="000000"/>
          <w:sz w:val="20"/>
        </w:rPr>
        <w:t>$59.8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$58.0 million</w:t>
      </w:r>
      <w:r>
        <w:rPr>
          <w:color w:val="000000"/>
          <w:shd w:fill="FFFFFF" w:val="clear"/>
        </w:rPr>
        <w:t xml:space="preserve"> </w:t>
      </w:r>
      <w:r>
        <w:rPr>
          <w:rFonts w:ascii="Times New Roman;sans-serif" w:hAnsi="Times New Roman;sans-serif"/>
          <w:b w:val="false"/>
          <w:color w:val="000000"/>
          <w:sz w:val="20"/>
          <w:shd w:fill="FFFFFF" w:val="clear"/>
        </w:rPr>
        <w:t>of which was non-current.</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 xml:space="preserve">During the year ended December 31, 2023, </w:t>
      </w:r>
      <w:r>
        <w:rPr>
          <w:rFonts w:ascii="Times New Roman;sans-serif" w:hAnsi="Times New Roman;sans-serif"/>
          <w:b w:val="false"/>
          <w:color w:val="000000"/>
          <w:sz w:val="20"/>
        </w:rPr>
        <w:t xml:space="preserve">the Company and Gilead executed a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the Company determined that the initial transaction price for the First Research Program agreement was $15.7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252525"/>
          <w:sz w:val="20"/>
        </w:rPr>
        <w:t>December 31, 2023</w:t>
      </w:r>
      <w:r>
        <w:rPr>
          <w:rFonts w:ascii="Times New Roman;sans-serif" w:hAnsi="Times New Roman;sans-serif"/>
          <w:b w:val="false"/>
          <w:color w:val="000000"/>
          <w:sz w:val="20"/>
        </w:rPr>
        <w:t xml:space="preserve">, the Company recorded revenue of $0.8 million </w:t>
      </w:r>
      <w:r>
        <w:rPr>
          <w:rFonts w:ascii="Times New Roman;sans-serif" w:hAnsi="Times New Roman;sans-serif"/>
          <w:b w:val="false"/>
          <w:color w:val="000000"/>
          <w:sz w:val="20"/>
          <w:shd w:fill="FFFFFF" w:val="clear"/>
        </w:rPr>
        <w:t xml:space="preserve">related to the First Research Program. As of December 31, 2023, </w:t>
      </w:r>
      <w:r>
        <w:rPr>
          <w:rFonts w:ascii="Times New Roman;sans-serif" w:hAnsi="Times New Roman;sans-serif"/>
          <w:b w:val="false"/>
          <w:color w:val="000000"/>
          <w:sz w:val="20"/>
        </w:rPr>
        <w:t>$14.9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$11.8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$3.1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non-current.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Zai Lab US LLC</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entered into a collaboration and license agreement with Zai Lab US LLC (Zai Lab Limited and Zai Lab US LLC, either singularly or collectively are referred to herein as Zai Lab) involving collaboration programs and license-only programs (collectively, the Programs) encompassing four separate immuno-oncology molecules (2021 Zai Lab Agreement). During 2022, the Company and Zai Lab agreed to discontinue research and development of the lead program, and in August 2023, the parties mutually agreed to terminate the 2021 Zai Lab Agreement.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2021 Zai Lab Agreement, Zai Lab paid the Company an upfront payment of $25.0 million. Additionally, as part of the consideration for the rights granted to Zai Lab under the 2021 Zai Lab Agreement, the Company and Zai Lab entered into a stock purchase agreement whereby Zai Lab paid the Company approximately $30.0 million to purchase shares of the Company’s common stock, par value $0.01, at a fixed price of $31.30 which represented a $10.4 million premium over the share price on the stock purchase agreement date. The Company was also entitled to receive reimbursements from Zai Lab for certain research and development costs incurred by the Company and milestones and tiered royalties on annual net sales of products in Zai Lab’s territory assuming successful development and commercialization of the Programs.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was not distinct from the related research and development activities, considering the early stage of development of the molecule and the Company’s significant expertise in this area and as such, the research and development services were expected to significantly modify and customize the license. Therefore, for the lead program, the license and the services were combined into a single performance obligation. Since the other programs each represented distinct intellectual property and there were no other services included in the 2021 Zai Lab Agreement related to these licenses, each license was considered to be a distinct performance obligation. As such, there were four performance obligations included in the 2021 Zai Lab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concluded that the estimated transaction price was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were excluded from the transaction price. Any consideration related to royalties would have been recognized if and when the related sales occurred, as they were determined to relate predominantly to the license granted to Zai Lab and, therefore, were also excluded from the transaction price. The Company re-assessed the transaction price in each reporting period and when events whose outcomes were resolved or other changes in circumstances occurred.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believed a market participant was willing to pay for the product or service. The estimate was based on consideration of observable inputs, such as, values of other preclinical collaboration arrangements adjusted for the Company’s estimate of the probability of success for each Program.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related to the lead program license and related research and development services performance obligation was recognized over time as the research and development activities were performed. The Company utilized a cost-based input method according to costs incurred to date compared to estimated total costs. The transfer of control occurred over this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period and, in management’s judgment, was the best measure of progress towards satisfying the performance obligations. The Company recognized revenue allocated to the other programs at a point in time upon transfer of the licenses to Zai Lab in June 2021. During the year ended </w:t>
      </w:r>
      <w:r>
        <w:rPr>
          <w:rFonts w:ascii="Times New Roman;sans-serif" w:hAnsi="Times New Roman;sans-serif"/>
          <w:b w:val="false"/>
          <w:color w:val="252525"/>
          <w:sz w:val="20"/>
        </w:rPr>
        <w:t xml:space="preserve">December 31, 2023, </w:t>
      </w:r>
      <w:r>
        <w:rPr>
          <w:rFonts w:ascii="Times New Roman;sans-serif" w:hAnsi="Times New Roman;sans-serif"/>
          <w:b w:val="false"/>
          <w:color w:val="000000"/>
          <w:sz w:val="20"/>
        </w:rPr>
        <w:t>no</w:t>
      </w:r>
      <w:r>
        <w:rPr>
          <w:color w:val="252525"/>
        </w:rPr>
        <w:t xml:space="preserve"> </w:t>
      </w:r>
      <w:r>
        <w:rPr>
          <w:rFonts w:ascii="Times New Roman;sans-serif" w:hAnsi="Times New Roman;sans-serif"/>
          <w:b w:val="false"/>
          <w:color w:val="000000"/>
          <w:sz w:val="20"/>
        </w:rPr>
        <w:t>revenue was recognized under the 2021 Zai Lab Agreement. During the years ended December 31, 2022,</w:t>
      </w:r>
      <w:r>
        <w:rPr>
          <w:color w:val="252525"/>
        </w:rPr>
        <w:t xml:space="preserve"> </w:t>
      </w:r>
      <w:r>
        <w:rPr>
          <w:rFonts w:ascii="Times New Roman;sans-serif" w:hAnsi="Times New Roman;sans-serif"/>
          <w:b w:val="false"/>
          <w:color w:val="000000"/>
          <w:sz w:val="20"/>
        </w:rPr>
        <w:t>and 2021, the Company recognized revenue of $16.8 million and $20.3 million</w:t>
      </w:r>
      <w:r>
        <w:rPr>
          <w:rFonts w:ascii="Times New Roman;sans-serif" w:hAnsi="Times New Roman;sans-serif"/>
          <w:b w:val="false"/>
          <w:color w:val="252525"/>
          <w:sz w:val="20"/>
        </w:rPr>
        <w:t xml:space="preserve">, </w:t>
      </w:r>
      <w:r>
        <w:rPr>
          <w:rFonts w:ascii="Times New Roman;sans-serif" w:hAnsi="Times New Roman;sans-serif"/>
          <w:b w:val="false"/>
          <w:color w:val="000000"/>
          <w:sz w:val="20"/>
        </w:rPr>
        <w:t xml:space="preserve">respectively, under the 2021 Zai Lab Agreement.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Provention Bio, Inc.</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2018, the Company entered into a license agreement with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December 31, 2023, the Company has not recognized any milestone revenue under this agreement. If commercialized, the Company would be eligible to receive 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Also, in 2018, the Company entered into the Provention APA pursuant to which Provention acquired the Company’s interest in teplizumab (renamed PRV-031), a monoclonal antibody being developed for the treatment of type 1 diabetes. As partial consideration for the Provention APA, Provention granted the Company a warrant to purchase shares of Provention’s common stock at an exercise price of $2.50 per share. Under the Provention APA, Provention is obligated to pay the Company contingent milestone payments totaling $170.0 million upon the achievement of certain regulatory milestones. In addition, Provention is obligated to make contingent milestone payments to the Company totaling $225.0 million upon the achievement of certain commercial milestones as well as single-digit royalties on net sales of the product. In March 2023, the Company entered into a Royalty Purchase Agreement with DRI; see Note 7, Royalty Monetization Arrangement, for additional information. The FDA approved the BLA for TZIELD in November 2022, and the Company recognized $60.0 million in revenue related to this regulatory milestone during the year ended December 31, 2022. In November 2022, the Company and Provention amended the Provention APA. Under this amendment, the milestone for first approval was split into four equal payments, all of which were received prior to June 30, 2023. Provention has also agreed to pay third-party obligations, including low single-digit royalties, of which a portion is creditable against royalties payable to the Company, aggregate milestone payments of up to approximately $1.3 million and other consideration, for certain third-party intellectual property under agreements Provention assumed pursuant to the Provention APA. Further, Provention is required to pay the Company a low double-digit percentage of certain consideration to the extent it is received in connection with a future grant of rights to PRV-031 by Provention to a third party.</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evaluated the Provention License Agreement and Provention APA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were excluded from the initial transaction price. Any consideration related to sales-based milestones and royalties will be recognized when the related sales occur, therefore they have also been excluded from the transaction price. The Company re-assesses the transaction price in each reporting period and when events whose outcomes are resolved or other changes in circumstances occur. The Company recognized revenue of $6.1 million when it satisfied its performance obligations under the agreements and transferred the MGD010 license and teplizumab assets to Provention in 2018. In 2019, the Company exercised the warrants on a cashless basis, and subsequently sold all the shares of Provention common stock acquired through the exercise. No shares of Provention stock were held subsequent to the sale of stock in 2019. During the year ended December 31, 2022, </w:t>
      </w:r>
      <w:r>
        <w:rPr>
          <w:rFonts w:ascii="Times New Roman;sans-serif" w:hAnsi="Times New Roman;sans-serif"/>
          <w:b w:val="false"/>
          <w:color w:val="252525"/>
          <w:sz w:val="20"/>
        </w:rPr>
        <w:t xml:space="preserve">it became probable that a significant reversal of cumulative revenue would not occur for a regulatory milestone of </w:t>
      </w:r>
      <w:r>
        <w:rPr>
          <w:rFonts w:ascii="Times New Roman;sans-serif" w:hAnsi="Times New Roman;sans-serif"/>
          <w:b w:val="false"/>
          <w:color w:val="000000"/>
          <w:sz w:val="20"/>
        </w:rPr>
        <w:t>$60.0 million</w:t>
      </w:r>
      <w:r>
        <w:rPr>
          <w:rFonts w:ascii="Times New Roman;sans-serif" w:hAnsi="Times New Roman;sans-serif"/>
          <w:b w:val="false"/>
          <w:color w:val="252525"/>
          <w:sz w:val="20"/>
        </w:rPr>
        <w:t>, t</w:t>
      </w:r>
      <w:r>
        <w:rPr>
          <w:rFonts w:ascii="Times New Roman;sans-serif" w:hAnsi="Times New Roman;sans-serif"/>
          <w:b w:val="false"/>
          <w:color w:val="000000"/>
          <w:sz w:val="20"/>
        </w:rPr>
        <w:t>herefore</w:t>
      </w:r>
      <w:r>
        <w:rPr>
          <w:color w:val="252525"/>
        </w:rPr>
        <w:t xml:space="preserve"> </w:t>
      </w:r>
      <w:r>
        <w:rPr>
          <w:rFonts w:ascii="Times New Roman;sans-serif" w:hAnsi="Times New Roman;sans-serif"/>
          <w:b w:val="false"/>
          <w:color w:val="252525"/>
          <w:sz w:val="20"/>
        </w:rPr>
        <w:t xml:space="preserve">the associated consideration was added to the estimated transaction price and was recognized as revenue. </w:t>
      </w:r>
      <w:r>
        <w:rPr>
          <w:rFonts w:ascii="Times New Roman;sans-serif" w:hAnsi="Times New Roman;sans-serif"/>
          <w:b w:val="false"/>
          <w:color w:val="000000"/>
          <w:sz w:val="20"/>
        </w:rPr>
        <w:t xml:space="preserve">During the years ended December 31, 2023, </w:t>
      </w:r>
      <w:r>
        <w:rPr>
          <w:rFonts w:ascii="Times New Roman;sans-serif" w:hAnsi="Times New Roman;sans-serif"/>
          <w:b w:val="false"/>
          <w:color w:val="252525"/>
          <w:sz w:val="20"/>
        </w:rPr>
        <w:t xml:space="preserve">2022 and </w:t>
      </w:r>
      <w:r>
        <w:rPr>
          <w:rFonts w:ascii="Times New Roman;sans-serif" w:hAnsi="Times New Roman;sans-serif"/>
          <w:b w:val="false"/>
          <w:color w:val="000000"/>
          <w:sz w:val="20"/>
        </w:rPr>
        <w:t xml:space="preserve">2021, the Company recognized revenue of $5.6 million, $60.0 million and $1.3 million, respectively, under these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On April 27, 2023, Sanofi completed its acquisition of Provention and the Company entered into a Tripartite Agreement, as discussed in Note 7, Royalty Monetization Arrangement. Also on April 27, 2023, the Company and a subsidiary of Sanofi entered into a Side Letter Agreement which specified certain post-closing covenants and also accelerated certain payments due to the Company under the Provention APA upon the closing of the merger between Sanofi and Provention. The Company evaluated the Side Letter Agreement as a contract modification under the provisions of ASC 606. As a result, </w:t>
      </w:r>
      <w:r>
        <w:rPr>
          <w:rFonts w:ascii="Times New Roman;sans-serif" w:hAnsi="Times New Roman;sans-serif"/>
          <w:b w:val="false"/>
          <w:color w:val="252525"/>
          <w:sz w:val="20"/>
        </w:rPr>
        <w:t xml:space="preserve">during the </w:t>
      </w:r>
      <w:r>
        <w:rPr>
          <w:rFonts w:ascii="Times New Roman;sans-serif" w:hAnsi="Times New Roman;sans-serif"/>
          <w:b w:val="false"/>
          <w:color w:val="000000"/>
          <w:sz w:val="20"/>
        </w:rPr>
        <w:t>year ended December 31, 2023</w:t>
      </w:r>
      <w:r>
        <w:rPr>
          <w:rFonts w:ascii="Times New Roman;sans-serif" w:hAnsi="Times New Roman;sans-serif"/>
          <w:b w:val="false"/>
          <w:color w:val="252525"/>
          <w:sz w:val="20"/>
        </w:rPr>
        <w:t xml:space="preserve">, the Company recognized $5.5 million related to other consideration under the </w:t>
      </w:r>
      <w:r>
        <w:rPr>
          <w:rFonts w:ascii="Times New Roman;sans-serif" w:hAnsi="Times New Roman;sans-serif"/>
          <w:b w:val="false"/>
          <w:color w:val="000000"/>
          <w:sz w:val="20"/>
        </w:rPr>
        <w:t>Provention APA</w:t>
      </w:r>
      <w:r>
        <w:rPr>
          <w:color w:val="252525"/>
        </w:rPr>
        <w:t xml:space="preserve"> </w:t>
      </w:r>
      <w:r>
        <w:rPr>
          <w:rFonts w:ascii="Times New Roman;sans-serif" w:hAnsi="Times New Roman;sans-serif"/>
          <w:b w:val="false"/>
          <w:color w:val="252525"/>
          <w:sz w:val="20"/>
        </w:rPr>
        <w:t xml:space="preserve">and Side Letter Agreement. </w:t>
      </w:r>
      <w:r>
        <w:rPr>
          <w:rFonts w:ascii="Times New Roman;sans-serif" w:hAnsi="Times New Roman;sans-serif"/>
          <w:b w:val="false"/>
          <w:color w:val="000000"/>
          <w:sz w:val="20"/>
        </w:rPr>
        <w:t xml:space="preserve">During the year ended December 31, 2023, the Company recognized $0.3 million in royalty revenue under the Provention APA based on sales of TZIELD.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7, in September 2023, the Company and Sanofi executed Amendment No. 2 to the Provention APA and terminated the Royalty Purchase Agreement with DRI. As a result, the remaining $50.0 million milestone under the Royalty Purchase Agreement was incorporated into the Provention APA. The Company evaluated the amendment as a contract modification under the provisions of ASC 606 which did not result in any additional revenue being recognized during the year ended December 31, 2023. </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Manufacturing Services Agreements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Incyte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Company entered into a Manufacturing and Clinical Supply Agreement with Incyte (Incyte Manufacturing and Clinical Supply Agreement) to provide manufacturing services to produce certain Incyte bulk drug substance over a three-year period at one of the Company’s manufacturing facilities. Under the terms of the Incyte Manufacturing and Clinical Supply Agreement, the Company received an upfront payment of $10.0 million and is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received of $10.0 million and the annual fixed payments 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During the years ended December 31, 2023 and 2022, the Company recognized revenue of $9.7 million and $8.7 million, respectively, under the Incyte Manufacturing and Clinical Supply Agreement. As of </w:t>
      </w:r>
      <w:r>
        <w:rPr>
          <w:rFonts w:ascii="Times New Roman;sans-serif" w:hAnsi="Times New Roman;sans-serif"/>
          <w:b w:val="false"/>
          <w:color w:val="252525"/>
          <w:sz w:val="20"/>
        </w:rPr>
        <w:t xml:space="preserve">December 31, 2023, </w:t>
      </w:r>
      <w:r>
        <w:rPr>
          <w:rFonts w:ascii="Times New Roman;sans-serif" w:hAnsi="Times New Roman;sans-serif"/>
          <w:b w:val="false"/>
          <w:color w:val="000000"/>
          <w:sz w:val="20"/>
        </w:rPr>
        <w:t>$7.0 million</w:t>
      </w:r>
      <w:r>
        <w:rPr>
          <w:color w:val="252525"/>
        </w:rPr>
        <w:t xml:space="preserve"> </w:t>
      </w:r>
      <w:r>
        <w:rPr>
          <w:rFonts w:ascii="Times New Roman;sans-serif" w:hAnsi="Times New Roman;sans-serif"/>
          <w:b w:val="false"/>
          <w:color w:val="252525"/>
          <w:sz w:val="20"/>
        </w:rPr>
        <w:t xml:space="preserve">in revenue was deferred under this agreement, all of which was current. </w:t>
      </w:r>
      <w:r>
        <w:rPr>
          <w:rFonts w:ascii="Times New Roman;sans-serif" w:hAnsi="Times New Roman;sans-serif"/>
          <w:b w:val="false"/>
          <w:color w:val="000000"/>
          <w:sz w:val="20"/>
        </w:rPr>
        <w:t xml:space="preserve">As of December 31, 2022, $9.6 million in revenue was deferred under this agreement, $8.1 million of which was current and $1.5 million of which was non-current.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Provention</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entered into a Manufacturing and Clinical Supply Agreement with Provention (Provention Manufacturing and Clinical Supply Agreement) to provide manufacturing services to produce certain Provention bulk drug substance. Under the terms of the Provention Manufacturing and Clinical Supply Agreement, the Company received an upfront payment and payments in accordance with the manufacturing schedule. The Company was also reimbursed for materials used to manufacture product as well as other costs incurred to provide manufacturing services.</w:t>
      </w:r>
    </w:p>
    <w:p>
      <w:pPr>
        <w:pStyle w:val="TextBody"/>
        <w:bidi w:val="0"/>
        <w:spacing w:lineRule="auto" w:line="288" w:before="18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Provention Manufacturing and Clinical Supply Agreement under the provisions of ASC 606 and identified one performance obligation to provide manufacturing services to Provention. The Company determined that the transaction price consisted of the upfront and other fixed payments totaling $4.6 million. The Company will recognize revenue over time on a straight-line basis as the manufacturing services are provided to Provention,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Provention will be allocated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related manufacturing activities and will be recognized as revenue as those activities occur. Materials purchased by the Company to manufacture the product for Provention are considered costs to fulfill a contract and will be capitalized and expensed as the materials are used to provide the manufacturing services.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de minimis revenue during the year ended December 31, 2023 under the Provention Manufacturing and Clinical Supply Agreement. During the year ended 2022, the Company recognized revenue of $5.3 million under the Provention Manufacturing and Clinical Supply Agreement.</w:t>
      </w:r>
    </w:p>
    <w:p>
      <w:pPr>
        <w:pStyle w:val="TextBody"/>
        <w:bidi w:val="0"/>
        <w:spacing w:lineRule="auto" w:line="288" w:before="0" w:after="120"/>
        <w:jc w:val="left"/>
        <w:rPr>
          <w:rFonts w:ascii="Times New Roman;sans-serif" w:hAnsi="Times New Roman;sans-serif"/>
          <w:b/>
          <w:color w:val="252525"/>
          <w:sz w:val="20"/>
        </w:rPr>
      </w:pPr>
      <w:r>
        <w:rPr>
          <w:rFonts w:ascii="Times New Roman;sans-serif" w:hAnsi="Times New Roman;sans-serif"/>
          <w:b/>
          <w:color w:val="252525"/>
          <w:sz w:val="20"/>
        </w:rPr>
        <w:t>Government Agreement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NIAID Contract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contract with the National Institute of Allergy and Infectious Diseases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inception of the NIAID Contract, NIAID has exercised the two options contemplated in the original contract and executed modifications such that the total funded contract value as of December 31, 2023 is $25.1 million. In addition, the most recent modification changed the period of performance under the NIAID Contract to end in July 2023. The Company recognized revenue of $1.6 million, $1.9 million and $1.8 million under the NIAID contract during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year ended December 31, 2023, employees purchased 81,541 shares of common stock under the 2016 ESPP for net proceeds to the Company of approximately $0.5 million.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Incentive Plans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2013, the Company implemented the 2013 Equity Incentive Plan (2013 Plan). The 2013 Plan provides for the grant of stock options and other stock-based awards, as well as cash-based performance awards.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 As of December 31, 2023, under the 2013 Plan, there were options to purchase an aggregate of 11,805,515 shares of common stock outstanding at a weighted average exercise price of $15.45 per share. As of December 31, 2023, there were 854,114 unvested restricted stock units (RSUs) outstanding under the 2013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Plan was effective as of stockholder approval in May 2023. The 2023 Plan provides for grants of stock options and other stock-based awards, as well as cash-based performance awards. Initially, the maximum number of shares of the Company’s common stock that may be issued under the 2023 Plan will not exceed 4,850,000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December 31, 2023, under the 2023 Plan, there were options to purchase an aggregate of 418,122 shares of common stock outstanding at a weighted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average exercise price of $5.31 per share. As of December 31, 2023, there were 51,500 unvested RSUs outstanding under the 2023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stock-based compensation amounts were recognized for the periods indicated (in thousands):</w:t>
      </w:r>
    </w:p>
    <w:tbl>
      <w:tblPr>
        <w:tblW w:w="7271" w:type="dxa"/>
        <w:jc w:val="left"/>
        <w:tblInd w:w="0" w:type="dxa"/>
        <w:tblLayout w:type="fixed"/>
        <w:tblCellMar>
          <w:top w:w="28" w:type="dxa"/>
          <w:left w:w="28" w:type="dxa"/>
          <w:bottom w:w="28" w:type="dxa"/>
          <w:right w:w="28" w:type="dxa"/>
        </w:tblCellMar>
      </w:tblPr>
      <w:tblGrid>
        <w:gridCol w:w="1251"/>
        <w:gridCol w:w="1096"/>
        <w:gridCol w:w="1102"/>
        <w:gridCol w:w="211"/>
        <w:gridCol w:w="721"/>
        <w:gridCol w:w="109"/>
        <w:gridCol w:w="109"/>
        <w:gridCol w:w="109"/>
        <w:gridCol w:w="109"/>
        <w:gridCol w:w="211"/>
        <w:gridCol w:w="721"/>
        <w:gridCol w:w="109"/>
        <w:gridCol w:w="109"/>
        <w:gridCol w:w="109"/>
        <w:gridCol w:w="109"/>
        <w:gridCol w:w="211"/>
        <w:gridCol w:w="72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Employee Stock Options</w:t>
      </w:r>
    </w:p>
    <w:p>
      <w:pPr>
        <w:pStyle w:val="TextBody"/>
        <w:bidi w:val="0"/>
        <w:spacing w:lineRule="auto" w:line="288" w:before="0" w:after="0"/>
        <w:ind w:left="0" w:right="0" w:firstLine="720"/>
        <w:jc w:val="left"/>
        <w:rPr/>
      </w:pPr>
      <w:r>
        <w:rPr>
          <w:rFonts w:ascii="Times New Roman;sans-serif" w:hAnsi="Times New Roman;sans-serif"/>
          <w:b w:val="false"/>
          <w:color w:val="252525"/>
          <w:sz w:val="20"/>
        </w:rPr>
        <w:t xml:space="preserve">The Company accounts for stock-based compensation to employees and non-employee directors in accordance with ASC Topic 718, </w:t>
      </w:r>
      <w:r>
        <w:rPr>
          <w:rFonts w:ascii="Times New Roman;sans-serif" w:hAnsi="Times New Roman;sans-serif"/>
          <w:b w:val="false"/>
          <w:i/>
          <w:color w:val="252525"/>
          <w:sz w:val="20"/>
        </w:rPr>
        <w:t>Compensation – Stock Compensation</w:t>
      </w:r>
      <w:r>
        <w:rPr>
          <w:rFonts w:ascii="Times New Roman;sans-serif" w:hAnsi="Times New Roman;sans-serif"/>
          <w:b w:val="false"/>
          <w:color w:val="252525"/>
          <w:sz w:val="20"/>
        </w:rPr>
        <w:t>. The Company estimates the fair value of stock option awards using the Black-Scholes option pricing model on the date of grant using the assumptions in the table below. Stock options granted to employees generally vest over four years and have a term of ten years. Stock-based compensation expense for stock options is recognized as expense over the requisite service period, which is the vesting period. As the Company has not paid dividends since inception, nor does it expect to pay any dividends for the foreseeable future, the expected dividend yield assumption is zero. The expected volatility is based on the historical stock volatility of the Company’s own common stock over a period equal to the expected term of the options. The risk-free rate of the stock options is based on the U.S. Treasury rate in effect at the time of grant for the expected term of the stock options. The Company used the simplified method to calculate expected term during 2021. Beginning in 2022, the computation of expected term was determined based on the historical experience with similar awards, giving consideration to the contractual terms of the share-based awards, vesting schedules and expectations of future employee behavior. In addition, the Company estimates the expected forfeiture rate and only recognizes expense for those shares expected to vest. The Company estimates the forfeiture rate based on historical experience and its expectations regarding future pre-vesting termination behavior of employees. The Company reviews its estimate of the expected forfeiture rate annually, and stock-based compensation expense is adjusted accordingly.</w:t>
      </w:r>
    </w:p>
    <w:tbl>
      <w:tblPr>
        <w:tblW w:w="6369" w:type="dxa"/>
        <w:jc w:val="left"/>
        <w:tblInd w:w="0" w:type="dxa"/>
        <w:tblLayout w:type="fixed"/>
        <w:tblCellMar>
          <w:top w:w="28" w:type="dxa"/>
          <w:left w:w="28" w:type="dxa"/>
          <w:bottom w:w="28" w:type="dxa"/>
          <w:right w:w="28" w:type="dxa"/>
        </w:tblCellMar>
      </w:tblPr>
      <w:tblGrid>
        <w:gridCol w:w="772"/>
        <w:gridCol w:w="678"/>
        <w:gridCol w:w="680"/>
        <w:gridCol w:w="364"/>
        <w:gridCol w:w="364"/>
        <w:gridCol w:w="366"/>
        <w:gridCol w:w="152"/>
        <w:gridCol w:w="152"/>
        <w:gridCol w:w="152"/>
        <w:gridCol w:w="364"/>
        <w:gridCol w:w="364"/>
        <w:gridCol w:w="366"/>
        <w:gridCol w:w="152"/>
        <w:gridCol w:w="152"/>
        <w:gridCol w:w="152"/>
        <w:gridCol w:w="333"/>
        <w:gridCol w:w="333"/>
        <w:gridCol w:w="47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 -96%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 - 92%</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 - 87%</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- 4.8%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- 4.0%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0.6% - 1.6%</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 years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5.95 years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6.25 years</w:t>
            </w:r>
          </w:p>
        </w:tc>
      </w:tr>
    </w:tbl>
    <w:p>
      <w:pPr>
        <w:pStyle w:val="TextBody"/>
        <w:bidi w:val="0"/>
        <w:spacing w:before="0" w:after="18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for 2023:</w:t>
      </w:r>
    </w:p>
    <w:tbl>
      <w:tblPr>
        <w:tblW w:w="10205" w:type="dxa"/>
        <w:jc w:val="left"/>
        <w:tblInd w:w="0" w:type="dxa"/>
        <w:tblLayout w:type="fixed"/>
        <w:tblCellMar>
          <w:top w:w="28" w:type="dxa"/>
          <w:left w:w="28" w:type="dxa"/>
          <w:bottom w:w="28" w:type="dxa"/>
          <w:right w:w="28" w:type="dxa"/>
        </w:tblCellMar>
      </w:tblPr>
      <w:tblGrid>
        <w:gridCol w:w="897"/>
        <w:gridCol w:w="778"/>
        <w:gridCol w:w="779"/>
        <w:gridCol w:w="540"/>
        <w:gridCol w:w="541"/>
        <w:gridCol w:w="226"/>
        <w:gridCol w:w="109"/>
        <w:gridCol w:w="109"/>
        <w:gridCol w:w="109"/>
        <w:gridCol w:w="382"/>
        <w:gridCol w:w="1116"/>
        <w:gridCol w:w="198"/>
        <w:gridCol w:w="109"/>
        <w:gridCol w:w="109"/>
        <w:gridCol w:w="109"/>
        <w:gridCol w:w="565"/>
        <w:gridCol w:w="565"/>
        <w:gridCol w:w="566"/>
        <w:gridCol w:w="109"/>
        <w:gridCol w:w="109"/>
        <w:gridCol w:w="109"/>
        <w:gridCol w:w="401"/>
        <w:gridCol w:w="1375"/>
        <w:gridCol w:w="295"/>
      </w:tblGrid>
      <w:tr>
        <w:trPr/>
        <w:tc>
          <w:tcPr>
            <w:tcW w:w="89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Contractual Term</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10,098,929 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3,367,777 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(842,519)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12,223,637 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7,892,753 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11,346,207 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2022 and 2021 the Company issued 34,608, 120,900 and 332,767 shares of common stock, respectively, in conjunction with stock option exercises. The Company received cash proceeds from the exercise of stock options of approximately $0.1 million, $0.2 million and $5.8 million during 2023, 2022 and 2021, respectively.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2023, 2022 and 2021 was $3.83, $6.84 and $15.20 per share, respectively. The total intrinsic value of options exercised during 2023, 2022 and 2021 was approximately $0.1 million, $0.6 million and $3.3 million, respectively. The total fair value of stock options which vested during 2023, 2022 and 2021 was $16.4 million, $19.6 million and $20.2 million, respectively. As of December 31, 2023, the total unrecognized compensation expense related to non-vested stock options, net of related forfeiture estimates, was $19.5 million, which the Company expects to recognize over a weighted-average period of approximately 1.2 years.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The Company awards RSUs to employees. RSUs are valued based on the closing price of the Company’s common stock on the date of the grant. The fair value of RSUs is recognized and amortized on a straight-line basis over the requisite service period of the award</w:t>
      </w:r>
      <w:r>
        <w:rPr>
          <w:rFonts w:ascii="Calibri;sans-serif" w:hAnsi="Calibri;sans-serif"/>
          <w:b w:val="false"/>
          <w:color w:val="252525"/>
          <w:sz w:val="20"/>
        </w:rPr>
        <w:t>.</w:t>
      </w:r>
      <w:r>
        <w:rPr>
          <w:color w:val="000000"/>
        </w:rPr>
        <w:t xml:space="preserv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for 2023:</w:t>
      </w:r>
    </w:p>
    <w:tbl>
      <w:tblPr>
        <w:tblW w:w="6297" w:type="dxa"/>
        <w:jc w:val="left"/>
        <w:tblInd w:w="0" w:type="dxa"/>
        <w:tblLayout w:type="fixed"/>
        <w:tblCellMar>
          <w:top w:w="28" w:type="dxa"/>
          <w:left w:w="28" w:type="dxa"/>
          <w:bottom w:w="28" w:type="dxa"/>
          <w:right w:w="28" w:type="dxa"/>
        </w:tblCellMar>
      </w:tblPr>
      <w:tblGrid>
        <w:gridCol w:w="1010"/>
        <w:gridCol w:w="889"/>
        <w:gridCol w:w="891"/>
        <w:gridCol w:w="449"/>
        <w:gridCol w:w="451"/>
        <w:gridCol w:w="226"/>
        <w:gridCol w:w="109"/>
        <w:gridCol w:w="109"/>
        <w:gridCol w:w="109"/>
        <w:gridCol w:w="494"/>
        <w:gridCol w:w="1198"/>
        <w:gridCol w:w="36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707,635 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905,614 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was $2.3 million of total unrecognized compensation cost related to unvested RSUs, which the Company expects to recognize over a remaining weighted-average period of 1.2 years.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there was no provision for income taxes due to taxable losses generated, fully offset by a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the Company's deferred income tax assets (liabilities) were as follows (in thousands):</w:t>
      </w:r>
    </w:p>
    <w:tbl>
      <w:tblPr>
        <w:tblW w:w="6309" w:type="dxa"/>
        <w:jc w:val="left"/>
        <w:tblInd w:w="0" w:type="dxa"/>
        <w:tblLayout w:type="fixed"/>
        <w:tblCellMar>
          <w:top w:w="28" w:type="dxa"/>
          <w:left w:w="28" w:type="dxa"/>
          <w:bottom w:w="28" w:type="dxa"/>
          <w:right w:w="28" w:type="dxa"/>
        </w:tblCellMar>
      </w:tblPr>
      <w:tblGrid>
        <w:gridCol w:w="1322"/>
        <w:gridCol w:w="1159"/>
        <w:gridCol w:w="1164"/>
        <w:gridCol w:w="211"/>
        <w:gridCol w:w="826"/>
        <w:gridCol w:w="109"/>
        <w:gridCol w:w="109"/>
        <w:gridCol w:w="109"/>
        <w:gridCol w:w="109"/>
        <w:gridCol w:w="211"/>
        <w:gridCol w:w="826"/>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U.S. net operating loss carryforward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 carryforward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Orphan drug credit,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deferred tax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income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income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asset/(liability)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 and carryforwards; (iii) taxable income in prior carryback years if carryback is permitted under applicable tax law; and (iv) tax planning strategies. The Company's net deferred income tax asset is not more likely than not to be utilized due to the lack of sufficient sources of future taxable income and cumulative book losses which have resulted over the years.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in the valuation allowance on deferred tax assets was as follows (in thousands):</w:t>
      </w:r>
    </w:p>
    <w:tbl>
      <w:tblPr>
        <w:tblW w:w="10205" w:type="dxa"/>
        <w:jc w:val="left"/>
        <w:tblInd w:w="0" w:type="dxa"/>
        <w:tblLayout w:type="fixed"/>
        <w:tblCellMar>
          <w:top w:w="28" w:type="dxa"/>
          <w:left w:w="28" w:type="dxa"/>
          <w:bottom w:w="28" w:type="dxa"/>
          <w:right w:w="28" w:type="dxa"/>
        </w:tblCellMar>
      </w:tblPr>
      <w:tblGrid>
        <w:gridCol w:w="933"/>
        <w:gridCol w:w="819"/>
        <w:gridCol w:w="825"/>
        <w:gridCol w:w="460"/>
        <w:gridCol w:w="1807"/>
        <w:gridCol w:w="237"/>
        <w:gridCol w:w="109"/>
        <w:gridCol w:w="109"/>
        <w:gridCol w:w="109"/>
        <w:gridCol w:w="211"/>
        <w:gridCol w:w="721"/>
        <w:gridCol w:w="109"/>
        <w:gridCol w:w="109"/>
        <w:gridCol w:w="109"/>
        <w:gridCol w:w="109"/>
        <w:gridCol w:w="229"/>
        <w:gridCol w:w="690"/>
        <w:gridCol w:w="120"/>
        <w:gridCol w:w="109"/>
        <w:gridCol w:w="109"/>
        <w:gridCol w:w="109"/>
        <w:gridCol w:w="364"/>
        <w:gridCol w:w="1428"/>
        <w:gridCol w:w="27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End of Year</w:t>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U.S. federal and state net operating loss (NOL) carryforwards of approximately $670.0 million. Of these NOLs, $65.5 million will expire in various years beginning in 2035 through 2037. $604.5 million of NOLs were generated post December 31, 2017 and carryforward indefinitely. In addition, the Company has U.S. federal tax credits of $94.4 million which will expire in various years beginning in 2024 through 2043.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reported estimated income tax benefit to the amount that would result by applying the U.S. federal statutory tax rate to the net income is as follows (in thousands):</w:t>
      </w:r>
    </w:p>
    <w:tbl>
      <w:tblPr>
        <w:tblW w:w="7347" w:type="dxa"/>
        <w:jc w:val="left"/>
        <w:tblInd w:w="0" w:type="dxa"/>
        <w:tblLayout w:type="fixed"/>
        <w:tblCellMar>
          <w:top w:w="28" w:type="dxa"/>
          <w:left w:w="28" w:type="dxa"/>
          <w:bottom w:w="28" w:type="dxa"/>
          <w:right w:w="28" w:type="dxa"/>
        </w:tblCellMar>
      </w:tblPr>
      <w:tblGrid>
        <w:gridCol w:w="1231"/>
        <w:gridCol w:w="1085"/>
        <w:gridCol w:w="1089"/>
        <w:gridCol w:w="211"/>
        <w:gridCol w:w="691"/>
        <w:gridCol w:w="109"/>
        <w:gridCol w:w="109"/>
        <w:gridCol w:w="109"/>
        <w:gridCol w:w="109"/>
        <w:gridCol w:w="211"/>
        <w:gridCol w:w="796"/>
        <w:gridCol w:w="109"/>
        <w:gridCol w:w="109"/>
        <w:gridCol w:w="109"/>
        <w:gridCol w:w="109"/>
        <w:gridCol w:w="211"/>
        <w:gridCol w:w="79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federal tax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adjustments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blended rate adjustments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credit,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Orphan drug credit,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items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gross unrecognized tax benefits is as follows (in thousands):</w:t>
      </w:r>
    </w:p>
    <w:tbl>
      <w:tblPr>
        <w:tblW w:w="7496" w:type="dxa"/>
        <w:jc w:val="left"/>
        <w:tblInd w:w="0" w:type="dxa"/>
        <w:tblLayout w:type="fixed"/>
        <w:tblCellMar>
          <w:top w:w="28" w:type="dxa"/>
          <w:left w:w="28" w:type="dxa"/>
          <w:bottom w:w="28" w:type="dxa"/>
          <w:right w:w="28" w:type="dxa"/>
        </w:tblCellMar>
      </w:tblPr>
      <w:tblGrid>
        <w:gridCol w:w="1446"/>
        <w:gridCol w:w="1268"/>
        <w:gridCol w:w="1275"/>
        <w:gridCol w:w="211"/>
        <w:gridCol w:w="616"/>
        <w:gridCol w:w="109"/>
        <w:gridCol w:w="109"/>
        <w:gridCol w:w="109"/>
        <w:gridCol w:w="109"/>
        <w:gridCol w:w="211"/>
        <w:gridCol w:w="616"/>
        <w:gridCol w:w="109"/>
        <w:gridCol w:w="109"/>
        <w:gridCol w:w="109"/>
        <w:gridCol w:w="109"/>
        <w:gridCol w:w="211"/>
        <w:gridCol w:w="616"/>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for current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Increases/(decreases) for prior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of the total gross unrecognized tax benefits, approximately $7.8 million and $7.4 million would favorably impact the Company's effective income tax rate, respectively. Although, due to the Company's determination that the deferred income tax asset would not more likely than not be realized, a valuation allowance would be recorded, therefore, zero net impact would result within the Company's effective income tax rate. The Company's uncertain income tax position liability has been recorded to deferred income taxes to offset the tax attribute carryforward amounts.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 has not recognized any interest or penalties related to the uncertain income tax positions due to the fact such position is related to tax attribute carryforwards which have not yet been utilized. The Company does not expect its unrecognized income tax position to significantly decrease within the next twelve months.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Company's U.S. Federal and state income tax returns from 2004 </w:t>
      </w:r>
      <w:r>
        <w:rPr>
          <w:rFonts w:ascii="Times New Roman;sans-serif" w:hAnsi="Times New Roman;sans-serif"/>
          <w:b w:val="false"/>
          <w:color w:val="252525"/>
          <w:sz w:val="20"/>
        </w:rPr>
        <w:t>forward remain open to examination due to the carryover of unused income tax credits, and from 2004 forward due to the carryover of unused net operating losses.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Internal Revenue Code (IRC) Section 174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tax years beginning on or after January 1, 2022, the Tax Cuts and Jobs Act of 2017 eliminates the option to currently deduct research and development expenses and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or defer this capitalization and amortization requirement, it is not certain that this provision will be repealed or otherwise modified. If the requirement is not repealed or replaced, it could increase our U.S. federal and state cash taxes and reduce cash flows in future years.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12. Employee Benefit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2002, the Company established the MacroGenics 401(k) Plan (the Plan) for its employees under Section 401(k) of the IRC. Under this Plan, all employees at least 21 years of age are eligible to participate in the Plan, starting on the first day of employment. Employees may contribute up to 100% of their salary, subject to government maximums.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are 100% vested in their contributions to the Plan. The Company's contribution to the Plan, as determined by the Board of Directors, is discretionary. For the years ended December 31, 2023, 2022 and 2021, the Company's contributions to the Plan totaled $2.1 million, $2.3 million and $1.6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- 30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47"/>
        <w:gridCol w:w="2622"/>
        <w:gridCol w:w="3743"/>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Restated Certificate of Incorporation of the Company and Certificate of Correction to the Restated Certificate of Incorporation of the Company (incorporated by reference to Exhibits </w:t>
            </w:r>
            <w:hyperlink r:id="rId5">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6">
              <w:r>
                <w:rPr>
                  <w:rStyle w:val="InternetLink"/>
                  <w:rFonts w:ascii="Times New Roman;sans-serif" w:hAnsi="Times New Roman;sans-serif"/>
                  <w:b w:val="false"/>
                  <w:color w:val="0000FF"/>
                  <w:sz w:val="20"/>
                  <w:u w:val="single"/>
                </w:rPr>
                <w:t>3.3</w:t>
              </w:r>
            </w:hyperlink>
            <w:r>
              <w:rPr>
                <w:rFonts w:ascii="Times New Roman;sans-serif" w:hAnsi="Times New Roman;sans-serif"/>
                <w:b w:val="false"/>
                <w:color w:val="000000"/>
                <w:sz w:val="20"/>
              </w:rPr>
              <w:t>, respectively, to the Company's Current Report on Form 8-K filed on October 18, 2013)</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the Company (incorporated by reference to Exhibit 3.1 to the Company’s Current Report on Form 8-K (File No. 001-36112) filed on April 2, 2021)</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Specimen Stock Certificate (incorporated by reference to Exhibit 4.2 to the Registration Statement on Form S-1 (File No. 333-190994) filed by the Company on October 9, 2013)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Description of Common Stock (incorporated by reference to Exhibit 4.2 to the Company’s Annual Report on Form 10-K filed on February 25, 2021)</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Form of Indemnification Agreement (incorporated by reference to Exhibit 10.14 to the Registration Statement on Form S-1 (File No. 333-190994) filed by the Company on October 1, 2013)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Global Collaboration and License Agreement by and between the Company and Incyte Corporation, dated October 24, 2017 (incorporated by reference to Exhibit 10.3 to the Company's Annual Report on Form 10-K filed on February 27, 2018)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Company 2013 Equity Incentive Plan (incorporated by reference to Exhibit 10.5 to the Registration Statement on Form S-1 (File No. 333-190994) filed by the Company on October 1, 2013)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Form of Incentive Stock Option Agreement under 2013 Equity Incentive Plan (incorporated by reference to Exhibit 10.6 to the Registration Statement on Form S-1 (File No. 333-190994) filed by the Company on October 1, 2013)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 of Nonstatutory Stock Option Agreement under 2013 Equity Incentive Plan (incorporated by reference to Exhibit 10.7 to the Registration Statement on Form S-1 (File No. 333-190994) filed by the Company on October 1, 2013)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Restricted Stock Units Grant Notice under 2013 Equity Incentive Plan (incorporated by reference to Exhibit 10.2 to the Company's Quarterly Report on Form 10-Q filed on May 6, 2015)</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20"/>
                  <w:u w:val="single"/>
                </w:rPr>
                <w:t>Company 20</w:t>
              </w:r>
            </w:hyperlink>
            <w:hyperlink r:id="rId17">
              <w:r>
                <w:rPr>
                  <w:rStyle w:val="InternetLink"/>
                  <w:rFonts w:ascii="Times New Roman;sans-serif" w:hAnsi="Times New Roman;sans-serif"/>
                  <w:b w:val="false"/>
                  <w:color w:val="000080"/>
                  <w:sz w:val="20"/>
                  <w:u w:val="single"/>
                </w:rPr>
                <w:t>2</w:t>
              </w:r>
            </w:hyperlink>
            <w:hyperlink r:id="rId18">
              <w:r>
                <w:rPr>
                  <w:rStyle w:val="InternetLink"/>
                  <w:rFonts w:ascii="Times New Roman;sans-serif" w:hAnsi="Times New Roman;sans-serif"/>
                  <w:b w:val="false"/>
                  <w:color w:val="000080"/>
                  <w:sz w:val="20"/>
                  <w:u w:val="single"/>
                </w:rPr>
                <w:t xml:space="preserve">3 Equity Incentive Plan (incorporated by reference to Exhibit </w:t>
              </w:r>
            </w:hyperlink>
            <w:hyperlink r:id="rId19">
              <w:r>
                <w:rPr>
                  <w:rStyle w:val="InternetLink"/>
                  <w:rFonts w:ascii="Times New Roman;sans-serif" w:hAnsi="Times New Roman;sans-serif"/>
                  <w:b w:val="false"/>
                  <w:color w:val="000080"/>
                  <w:sz w:val="20"/>
                  <w:u w:val="single"/>
                </w:rPr>
                <w:t>99.1</w:t>
              </w:r>
            </w:hyperlink>
            <w:hyperlink r:id="rId20">
              <w:r>
                <w:rPr>
                  <w:rStyle w:val="InternetLink"/>
                  <w:rFonts w:ascii="Times New Roman;sans-serif" w:hAnsi="Times New Roman;sans-serif"/>
                  <w:b w:val="false"/>
                  <w:color w:val="000080"/>
                  <w:sz w:val="20"/>
                  <w:u w:val="single"/>
                </w:rPr>
                <w:t xml:space="preserve"> to the Registration Statement on Form S-</w:t>
              </w:r>
            </w:hyperlink>
            <w:hyperlink r:id="rId21">
              <w:r>
                <w:rPr>
                  <w:rStyle w:val="InternetLink"/>
                  <w:rFonts w:ascii="Times New Roman;sans-serif" w:hAnsi="Times New Roman;sans-serif"/>
                  <w:b w:val="false"/>
                  <w:color w:val="000080"/>
                  <w:sz w:val="20"/>
                  <w:u w:val="single"/>
                </w:rPr>
                <w:t>8</w:t>
              </w:r>
            </w:hyperlink>
            <w:hyperlink r:id="rId22">
              <w:r>
                <w:rPr>
                  <w:rStyle w:val="InternetLink"/>
                  <w:rFonts w:ascii="Times New Roman;sans-serif" w:hAnsi="Times New Roman;sans-serif"/>
                  <w:b w:val="false"/>
                  <w:color w:val="000080"/>
                  <w:sz w:val="20"/>
                  <w:u w:val="single"/>
                </w:rPr>
                <w:t xml:space="preserve"> (File No. 333-</w:t>
              </w:r>
            </w:hyperlink>
            <w:hyperlink r:id="rId23">
              <w:r>
                <w:rPr>
                  <w:rStyle w:val="InternetLink"/>
                  <w:rFonts w:ascii="Times New Roman;sans-serif" w:hAnsi="Times New Roman;sans-serif"/>
                  <w:b w:val="false"/>
                  <w:color w:val="000080"/>
                  <w:sz w:val="20"/>
                  <w:u w:val="single"/>
                </w:rPr>
                <w:t>272451</w:t>
              </w:r>
            </w:hyperlink>
            <w:hyperlink r:id="rId24">
              <w:r>
                <w:rPr>
                  <w:rStyle w:val="InternetLink"/>
                  <w:rFonts w:ascii="Times New Roman;sans-serif" w:hAnsi="Times New Roman;sans-serif"/>
                  <w:b w:val="false"/>
                  <w:color w:val="000080"/>
                  <w:sz w:val="20"/>
                  <w:u w:val="single"/>
                </w:rPr>
                <w:t xml:space="preserve">) filed by the Company on </w:t>
              </w:r>
            </w:hyperlink>
            <w:hyperlink r:id="rId25">
              <w:r>
                <w:rPr>
                  <w:rStyle w:val="InternetLink"/>
                  <w:rFonts w:ascii="Times New Roman;sans-serif" w:hAnsi="Times New Roman;sans-serif"/>
                  <w:b w:val="false"/>
                  <w:color w:val="000080"/>
                  <w:sz w:val="20"/>
                  <w:u w:val="single"/>
                </w:rPr>
                <w:t>June 6, 2023</w:t>
              </w:r>
            </w:hyperlink>
            <w:hyperlink r:id="rId26">
              <w:r>
                <w:rPr>
                  <w:rStyle w:val="InternetLink"/>
                  <w:rFonts w:ascii="Times New Roman;sans-serif" w:hAnsi="Times New Roman;sans-serif"/>
                  <w:b w:val="false"/>
                  <w:color w:val="000080"/>
                  <w:sz w:val="20"/>
                  <w:u w:val="single"/>
                </w:rPr>
                <w:t>)</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8employeestockopt.htm">
              <w:r>
                <w:rPr>
                  <w:rStyle w:val="InternetLink"/>
                  <w:rFonts w:ascii="Times New Roman;sans-serif" w:hAnsi="Times New Roman;sans-serif"/>
                  <w:b w:val="false"/>
                  <w:color w:val="000080"/>
                  <w:sz w:val="20"/>
                  <w:u w:val="single"/>
                </w:rPr>
                <w:t xml:space="preserve">Form of </w:t>
              </w:r>
            </w:hyperlink>
            <w:hyperlink w:anchor="exhibit108employeestockopt.htm">
              <w:r>
                <w:rPr>
                  <w:rStyle w:val="InternetLink"/>
                  <w:rFonts w:ascii="Times New Roman;sans-serif" w:hAnsi="Times New Roman;sans-serif"/>
                  <w:b w:val="false"/>
                  <w:color w:val="000080"/>
                  <w:sz w:val="20"/>
                  <w:u w:val="single"/>
                </w:rPr>
                <w:t>Employee</w:t>
              </w:r>
            </w:hyperlink>
            <w:hyperlink w:anchor="exhibit108employeestockopt.htm">
              <w:r>
                <w:rPr>
                  <w:rStyle w:val="InternetLink"/>
                  <w:rFonts w:ascii="Times New Roman;sans-serif" w:hAnsi="Times New Roman;sans-serif"/>
                  <w:b w:val="false"/>
                  <w:color w:val="000080"/>
                  <w:sz w:val="20"/>
                  <w:u w:val="single"/>
                </w:rPr>
                <w:t xml:space="preserve"> Stock Option </w:t>
              </w:r>
            </w:hyperlink>
            <w:hyperlink w:anchor="exhibit108employeestockopt.htm">
              <w:r>
                <w:rPr>
                  <w:rStyle w:val="InternetLink"/>
                  <w:rFonts w:ascii="Times New Roman;sans-serif" w:hAnsi="Times New Roman;sans-serif"/>
                  <w:b w:val="false"/>
                  <w:color w:val="000080"/>
                  <w:sz w:val="20"/>
                  <w:u w:val="single"/>
                </w:rPr>
                <w:t xml:space="preserve">Grant </w:t>
              </w:r>
            </w:hyperlink>
            <w:hyperlink w:anchor="exhibit108employeestockopt.htm">
              <w:r>
                <w:rPr>
                  <w:rStyle w:val="InternetLink"/>
                  <w:rFonts w:ascii="Times New Roman;sans-serif" w:hAnsi="Times New Roman;sans-serif"/>
                  <w:b w:val="false"/>
                  <w:color w:val="000080"/>
                  <w:sz w:val="20"/>
                  <w:u w:val="single"/>
                </w:rPr>
                <w:t xml:space="preserve">Notice and </w:t>
              </w:r>
            </w:hyperlink>
            <w:hyperlink w:anchor="exhibit108employeestockopt.htm">
              <w:r>
                <w:rPr>
                  <w:rStyle w:val="InternetLink"/>
                  <w:rFonts w:ascii="Times New Roman;sans-serif" w:hAnsi="Times New Roman;sans-serif"/>
                  <w:b w:val="false"/>
                  <w:color w:val="000080"/>
                  <w:sz w:val="20"/>
                  <w:u w:val="single"/>
                </w:rPr>
                <w:t xml:space="preserve">Stock Option </w:t>
              </w:r>
            </w:hyperlink>
            <w:hyperlink w:anchor="exhibit108employeestockopt.htm">
              <w:r>
                <w:rPr>
                  <w:rStyle w:val="InternetLink"/>
                  <w:rFonts w:ascii="Times New Roman;sans-serif" w:hAnsi="Times New Roman;sans-serif"/>
                  <w:b w:val="false"/>
                  <w:color w:val="000080"/>
                  <w:sz w:val="20"/>
                  <w:u w:val="single"/>
                </w:rPr>
                <w:t>Agreement under 20</w:t>
              </w:r>
            </w:hyperlink>
            <w:hyperlink w:anchor="exhibit108employeestockopt.htm">
              <w:r>
                <w:rPr>
                  <w:rStyle w:val="InternetLink"/>
                  <w:rFonts w:ascii="Times New Roman;sans-serif" w:hAnsi="Times New Roman;sans-serif"/>
                  <w:b w:val="false"/>
                  <w:color w:val="000080"/>
                  <w:sz w:val="20"/>
                  <w:u w:val="single"/>
                </w:rPr>
                <w:t>2</w:t>
              </w:r>
            </w:hyperlink>
            <w:hyperlink w:anchor="exhibit108employeestockopt.htm">
              <w:r>
                <w:rPr>
                  <w:rStyle w:val="InternetLink"/>
                  <w:rFonts w:ascii="Times New Roman;sans-serif" w:hAnsi="Times New Roman;sans-serif"/>
                  <w:b w:val="false"/>
                  <w:color w:val="000080"/>
                  <w:sz w:val="20"/>
                  <w:u w:val="single"/>
                </w:rPr>
                <w:t xml:space="preserve">3 Equity Incentive Plan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9employeersuaward.htm">
              <w:r>
                <w:rPr>
                  <w:rStyle w:val="InternetLink"/>
                  <w:rFonts w:ascii="Times New Roman;sans-serif" w:hAnsi="Times New Roman;sans-serif"/>
                  <w:b w:val="false"/>
                  <w:color w:val="0000FF"/>
                  <w:sz w:val="20"/>
                  <w:u w:val="single"/>
                </w:rPr>
                <w:t xml:space="preserve">Form of Employee Restricted Stock Unit Award Grant Notice and Award Agreement under 2023 Equity Incentive Plan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0bodoptiongrantn.htm">
              <w:r>
                <w:rPr>
                  <w:rStyle w:val="InternetLink"/>
                  <w:rFonts w:ascii="Times New Roman;sans-serif" w:hAnsi="Times New Roman;sans-serif"/>
                  <w:b w:val="false"/>
                  <w:color w:val="0000FF"/>
                  <w:sz w:val="20"/>
                  <w:u w:val="single"/>
                </w:rPr>
                <w:t xml:space="preserve">Form of Director Stock Option Grant Notice and Stock Option Agreement under 2023 Equity Incentive Plan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1bodrsuawardgran.htm">
              <w:r>
                <w:rPr>
                  <w:rStyle w:val="InternetLink"/>
                  <w:rFonts w:ascii="Times New Roman;sans-serif" w:hAnsi="Times New Roman;sans-serif"/>
                  <w:b w:val="false"/>
                  <w:color w:val="0000FF"/>
                  <w:sz w:val="20"/>
                  <w:u w:val="single"/>
                </w:rPr>
                <w:t xml:space="preserve">Form of Director Restricted Stock Unit Award Grant Notice and Award Agreement under 2023 Equity Incentive Plan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2016 Employee Stock Purchase Plan (incorporated by reference to Exhibit 4.1 to the Registration Statement on Form S-8 (File No. 333-214386) filed by the Company on November 2, 2016)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Employment Agreement between the Company and Scott Koenig, M.D., Ph.D. (incorporated by reference to Exhibit 10.14 to the Company's Annual Report on Form 10-K filed by the Company on February 29, 2016)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Employment Agreement between the Company and James Karrels (incorporated by reference to Exhibit 10.15 to the Company's Annual Report on Form 10-K filed by the Company on February 29, 2016)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Employment Agreement between the Company and Ezio Bonvini, M.D. (incorporated by reference to Exhibit 10.3 to the Company's Quarterly Report on Form 10-Q filed on May 4, 2016)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Employment Agreement between the Company and Eric Risser (incorporated by reference to Exhibit 10.16 to the Company's Annual Report on Form 10-K filed on February 28,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Employment Agreement between the Company and Stephen Eck, M.D. (incorporated by reference to Exhibit 10.1 to the Company's Quarterly Report on Form 10-Q filed on April 29, 2021)</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Employment Agreement between the Company and Thomas Spitznagel Ph.D. (incorporated by reference to Exhibit 10.1 to the Company’s Quarterly Report on Form 10-Q filed on May 3, 2022)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0"/>
        <w:gridCol w:w="220"/>
        <w:gridCol w:w="222"/>
        <w:gridCol w:w="109"/>
        <w:gridCol w:w="109"/>
        <w:gridCol w:w="109"/>
        <w:gridCol w:w="2815"/>
        <w:gridCol w:w="2637"/>
        <w:gridCol w:w="373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Amendment No, 1 to the Global Collaboration and License Agreement by and between the Company and Incyte Corporation, dated March 15, 2018 (incorporated by reference to Exhibit 10.1 to the Company's Quarterly Report on Form 10-Q filed on May 7, 2018)</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Amendment No. 2 to the Global Collaboration and License Agreement by and between the Company and Incyte Corporation, dated April 7, 2022 (incorporated by reference to Exhibit 10.1 to the Company's Quarterly Report on Form 10-Q filed on August 8, 2022)</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Amendment No. 3 to the Global Collaboration and License Agreement by and between the Company and Incyte Corporation, dated April 7, 2022 (incorporated by reference to Exhibit 10.1 to the Company's Quarterly Report on Form 10-Q filed on November 3, 2022)</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Commercial Supply Agreement by and between Incyte Corporation and the Company, dated October 13, 2020 (incorporated by reference to Exhibit 10.16 to the Company’s Annual Report on Form 10-K filed on February 25, 2021)</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Collaboration and License Agreement by and between the Company and Gilead Sciences, Inc., dated October 14, 2022 (incorporated by reference to Exhibit 10.22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Asset Purchase Agreement by and between the Company and Provention Bio, Inc., dated May 7, 2018 (incorporated by reference to Exhibit 10.23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Amendment No. 1 to the Asset Purchase Agreement by and between the Company and Provention Bio, Inc., dated November 30, 2022 (incorporated by reference to Exhibit 10.24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80"/>
                  <w:sz w:val="20"/>
                  <w:u w:val="single"/>
                </w:rPr>
                <w:t xml:space="preserve">Amendment No. 2 to the Asset Purchase Agreement by and between the Company and Provention Bio, Inc., dated September 19, 2023 (incorporated by reference to Exhibit 10.1 to the </w:t>
              </w:r>
            </w:hyperlink>
            <w:hyperlink r:id="rId42">
              <w:r>
                <w:rPr>
                  <w:rStyle w:val="InternetLink"/>
                  <w:rFonts w:ascii="Times New Roman;sans-serif" w:hAnsi="Times New Roman;sans-serif"/>
                  <w:b w:val="false"/>
                  <w:color w:val="000080"/>
                  <w:sz w:val="20"/>
                  <w:u w:val="single"/>
                </w:rPr>
                <w:t>Company</w:t>
              </w:r>
            </w:hyperlink>
            <w:hyperlink r:id="rId43">
              <w:r>
                <w:rPr>
                  <w:rStyle w:val="InternetLink"/>
                  <w:rFonts w:ascii="Times New Roman;sans-serif" w:hAnsi="Times New Roman;sans-serif"/>
                  <w:b w:val="false"/>
                  <w:color w:val="000080"/>
                  <w:sz w:val="20"/>
                  <w:u w:val="single"/>
                </w:rPr>
                <w:t>’</w:t>
              </w:r>
            </w:hyperlink>
            <w:hyperlink r:id="rId44">
              <w:r>
                <w:rPr>
                  <w:rStyle w:val="InternetLink"/>
                  <w:rFonts w:ascii="Times New Roman;sans-serif" w:hAnsi="Times New Roman;sans-serif"/>
                  <w:b w:val="false"/>
                  <w:color w:val="000080"/>
                  <w:sz w:val="20"/>
                  <w:u w:val="single"/>
                </w:rPr>
                <w:t xml:space="preserve">s </w:t>
              </w:r>
            </w:hyperlink>
            <w:hyperlink r:id="rId45">
              <w:r>
                <w:rPr>
                  <w:rStyle w:val="InternetLink"/>
                  <w:rFonts w:ascii="Times New Roman;sans-serif" w:hAnsi="Times New Roman;sans-serif"/>
                  <w:b w:val="false"/>
                  <w:color w:val="000080"/>
                  <w:sz w:val="20"/>
                  <w:u w:val="single"/>
                </w:rPr>
                <w:t>Quarterly Report on Form 10-Q filed</w:t>
              </w:r>
            </w:hyperlink>
            <w:hyperlink r:id="rId46">
              <w:r>
                <w:rPr>
                  <w:rStyle w:val="InternetLink"/>
                  <w:rFonts w:ascii="Times New Roman;sans-serif" w:hAnsi="Times New Roman;sans-serif"/>
                  <w:b w:val="false"/>
                  <w:color w:val="000080"/>
                  <w:sz w:val="20"/>
                  <w:u w:val="single"/>
                </w:rPr>
                <w:t xml:space="preserve"> on </w:t>
              </w:r>
            </w:hyperlink>
            <w:hyperlink r:id="rId47">
              <w:r>
                <w:rPr>
                  <w:rStyle w:val="InternetLink"/>
                  <w:rFonts w:ascii="Times New Roman;sans-serif" w:hAnsi="Times New Roman;sans-serif"/>
                  <w:b w:val="false"/>
                  <w:color w:val="000080"/>
                  <w:sz w:val="20"/>
                  <w:u w:val="single"/>
                </w:rPr>
                <w:t>November 6</w:t>
              </w:r>
            </w:hyperlink>
            <w:hyperlink r:id="rId48">
              <w:r>
                <w:rPr>
                  <w:rStyle w:val="InternetLink"/>
                  <w:rFonts w:ascii="Times New Roman;sans-serif" w:hAnsi="Times New Roman;sans-serif"/>
                  <w:b w:val="false"/>
                  <w:color w:val="000080"/>
                  <w:sz w:val="20"/>
                  <w:u w:val="single"/>
                </w:rPr>
                <w:t>,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Lease by and between BMR-Medical Center Drive LLC and J. Craig Venter Institute, Inc., dated May 3, 2010 (incorporated by reference to Exhibit 10.25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First Amendment to Lease by and between BMR-Medical Center Drive LLC and J. Craig Venter Institute, Inc. dated March 26, 2014 (incorporated by reference to Exhibit 10.26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Second Amendment to Lease by and between the Company and BMR-Medical Center Drive LLC, dated July 31, 2015 (incorporated by reference to Exhibit 10.27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Third Amendment to Lease by and between the Company and BMR-Medical Center Drive LLC, dated November 5, 2015 (incorporated by reference to Exhibit 10.28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Fourth Amendment to Lease by and between the Company and BMR-Medical Center Drive LLC, dated July 21, 2017 (incorporated by reference to Exhibit 10.29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Fifth Amendment to Lease by and between the Company and ARE-Maryland No. 45, LLC, dated December 14, 2022 (incorporated by reference to Exhibit 10.30 to the Company's Annual Report on Form 10-K filed by the Company on March 15, 2023)</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gnxexhibit23-1202310xk.htm">
              <w:r>
                <w:rPr>
                  <w:rStyle w:val="InternetLink"/>
                  <w:rFonts w:ascii="Times New Roman;sans-serif" w:hAnsi="Times New Roman;sans-serif"/>
                  <w:b w:val="false"/>
                  <w:color w:val="0000FF"/>
                  <w:sz w:val="20"/>
                  <w:u w:val="single"/>
                </w:rPr>
                <w:t>Consent of Ernst &amp; Young, LLP, Independent Registered Public Accounting Firm</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gnxexhibit31-1202310xk.htm">
              <w:r>
                <w:rPr>
                  <w:rStyle w:val="InternetLink"/>
                  <w:rFonts w:ascii="Times New Roman;sans-serif" w:hAnsi="Times New Roman;sans-serif"/>
                  <w:b w:val="false"/>
                  <w:color w:val="0000FF"/>
                  <w:sz w:val="20"/>
                  <w:u w:val="single"/>
                </w:rPr>
                <w:t>Rule 13a-14(a) Certification of Principal Executive Officer</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gnxexhibit31-2202310xk.htm">
              <w:r>
                <w:rPr>
                  <w:rStyle w:val="InternetLink"/>
                  <w:rFonts w:ascii="Times New Roman;sans-serif" w:hAnsi="Times New Roman;sans-serif"/>
                  <w:b w:val="false"/>
                  <w:color w:val="0000FF"/>
                  <w:sz w:val="20"/>
                  <w:u w:val="single"/>
                </w:rPr>
                <w:t>Rule 13a-14(a) Certification of Principal Financial Officer</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gnxexhibit32-1202310xk.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gnxexhibit32-2202310xk.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gnxex97-1clawbackpolicy.htm">
              <w:r>
                <w:rPr>
                  <w:rStyle w:val="InternetLink"/>
                  <w:rFonts w:ascii="Times New Roman;sans-serif" w:hAnsi="Times New Roman;sans-serif"/>
                  <w:b w:val="false"/>
                  <w:color w:val="0000FF"/>
                  <w:sz w:val="20"/>
                  <w:u w:val="single"/>
                </w:rPr>
                <w:t xml:space="preserve">MacroGenics.Inc. Incentive Compensation Recoupment Policy </w:t>
              </w:r>
            </w:hyperlink>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460" w:type="dxa"/>
        <w:jc w:val="center"/>
        <w:tblInd w:w="0" w:type="dxa"/>
        <w:tblLayout w:type="fixed"/>
        <w:tblCellMar>
          <w:top w:w="28" w:type="dxa"/>
          <w:left w:w="28" w:type="dxa"/>
          <w:bottom w:w="28" w:type="dxa"/>
          <w:right w:w="28" w:type="dxa"/>
        </w:tblCellMar>
      </w:tblPr>
      <w:tblGrid>
        <w:gridCol w:w="315"/>
        <w:gridCol w:w="276"/>
        <w:gridCol w:w="278"/>
        <w:gridCol w:w="109"/>
        <w:gridCol w:w="109"/>
        <w:gridCol w:w="109"/>
        <w:gridCol w:w="2418"/>
        <w:gridCol w:w="2418"/>
        <w:gridCol w:w="3428"/>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 filed herewith)</w:t>
            </w:r>
          </w:p>
        </w:tc>
      </w:tr>
    </w:tbl>
    <w:p>
      <w:pPr>
        <w:pStyle w:val="TextBody"/>
        <w:bidi w:val="0"/>
        <w:spacing w:lineRule="auto" w:line="288" w:before="120" w:after="60"/>
        <w:ind w:left="0" w:right="0" w:hanging="720"/>
        <w:jc w:val="left"/>
        <w:rPr>
          <w:color w:val="000000"/>
        </w:rPr>
      </w:pPr>
      <w:r>
        <w:rPr>
          <w:color w:val="000000"/>
        </w:rPr>
        <w:t>†    </w:t>
      </w:r>
      <w:r>
        <w:rPr>
          <w:rFonts w:ascii="Times New Roman;sans-serif" w:hAnsi="Times New Roman;sans-serif"/>
          <w:b w:val="false"/>
          <w:color w:val="000000"/>
          <w:sz w:val="20"/>
        </w:rPr>
        <w:t>Portions of this exhibit (indicated by asterisks) have been omitted pursuant to a request for confidential treatment granted by the SEC.</w:t>
      </w:r>
    </w:p>
    <w:p>
      <w:pPr>
        <w:pStyle w:val="TextBody"/>
        <w:bidi w:val="0"/>
        <w:spacing w:lineRule="auto" w:line="276" w:before="0" w:after="60"/>
        <w:ind w:left="0" w:right="0" w:hanging="720"/>
        <w:jc w:val="left"/>
        <w:rPr/>
      </w:pPr>
      <w:r>
        <w:rPr>
          <w:rFonts w:ascii="Times New Roman;sans-serif" w:hAnsi="Times New Roman;sans-serif"/>
          <w:b w:val="false"/>
          <w:color w:val="000000"/>
          <w:sz w:val="20"/>
        </w:rPr>
        <w:t>#    Portions of this document (indicated by “[***]” have been omitted because they are not material and are the type that MacroGenics, Inc. treats as private and confidential.</w:t>
      </w:r>
      <w:r>
        <w:rPr>
          <w:color w:val="000000"/>
        </w:rPr>
        <w:t xml:space="preserve"> </w:t>
      </w:r>
    </w:p>
    <w:p>
      <w:pPr>
        <w:pStyle w:val="TextBody"/>
        <w:bidi w:val="0"/>
        <w:spacing w:lineRule="auto" w:line="288" w:before="0" w:after="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88" w:before="0" w:after="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10.8</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pPr>
      <w:r>
        <w:rPr>
          <w:rFonts w:ascii="Times New Roman;sans-serif" w:hAnsi="Times New Roman;sans-serif"/>
          <w:b/>
          <w:color w:val="000000"/>
          <w:sz w:val="28"/>
        </w:rPr>
        <w:t>MacroGenics, Inc.</w:t>
        <w:br/>
        <w:t>Stock Option Grant Notice</w:t>
        <w:br/>
      </w:r>
      <w:r>
        <w:rPr>
          <w:rFonts w:ascii="Times New Roman;sans-serif" w:hAnsi="Times New Roman;sans-serif"/>
          <w:b/>
          <w:color w:val="000000"/>
          <w:sz w:val="24"/>
        </w:rPr>
        <w:t>(2023 Equity Incentive Plan)</w:t>
      </w:r>
    </w:p>
    <w:p>
      <w:pPr>
        <w:pStyle w:val="TextBody"/>
        <w:bidi w:val="0"/>
        <w:spacing w:lineRule="auto" w:line="288" w:before="0" w:after="180"/>
        <w:jc w:val="both"/>
        <w:rPr/>
      </w:pPr>
      <w:r>
        <w:rPr>
          <w:rFonts w:ascii="Times New Roman;sans-serif" w:hAnsi="Times New Roman;sans-serif"/>
          <w:b w:val="false"/>
          <w:color w:val="000000"/>
          <w:sz w:val="24"/>
        </w:rPr>
        <w:t>MacroGenics,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pursuant to its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has granted to you (“</w:t>
      </w:r>
      <w:r>
        <w:rPr>
          <w:rFonts w:ascii="Times New Roman;sans-serif" w:hAnsi="Times New Roman;sans-serif"/>
          <w:b/>
          <w:i/>
          <w:color w:val="000000"/>
          <w:sz w:val="24"/>
        </w:rPr>
        <w:t>Optionholder</w:t>
      </w:r>
      <w:r>
        <w:rPr>
          <w:color w:val="000000"/>
        </w:rPr>
        <w:t>”</w:t>
      </w:r>
      <w:r>
        <w:rPr>
          <w:rFonts w:ascii="Times New Roman;sans-serif" w:hAnsi="Times New Roman;sans-serif"/>
          <w:b w:val="false"/>
          <w:color w:val="000000"/>
          <w:sz w:val="24"/>
        </w:rPr>
        <w:t>) an option to purchase the number of shares of Common Stock set forth below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Your Option is subject to all of the terms and conditions as set forth herein and in the Plan, and the Stock Option Agreement,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pStyle w:val="TextBody"/>
        <w:bidi w:val="0"/>
        <w:spacing w:before="0" w:after="180"/>
        <w:jc w:val="both"/>
        <w:rPr/>
      </w:pPr>
      <w:r>
        <w:rPr/>
      </w:r>
    </w:p>
    <w:tbl>
      <w:tblPr>
        <w:tblW w:w="2952" w:type="dxa"/>
        <w:jc w:val="left"/>
        <w:tblInd w:w="0" w:type="dxa"/>
        <w:tblLayout w:type="fixed"/>
        <w:tblCellMar>
          <w:top w:w="28" w:type="dxa"/>
          <w:left w:w="28" w:type="dxa"/>
          <w:bottom w:w="28" w:type="dxa"/>
          <w:right w:w="28" w:type="dxa"/>
        </w:tblCellMar>
      </w:tblPr>
      <w:tblGrid>
        <w:gridCol w:w="933"/>
        <w:gridCol w:w="823"/>
        <w:gridCol w:w="824"/>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Optionholder:</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Grant Number:</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Exercise Price per Share:</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Total Number of Options:</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Type of Option:</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Expiration Date:</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Vesting Schedule:</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bl>
    <w:p>
      <w:pPr>
        <w:pStyle w:val="TextBody"/>
        <w:bidi w:val="0"/>
        <w:spacing w:before="0" w:after="180"/>
        <w:jc w:val="both"/>
        <w:rPr/>
      </w:pPr>
      <w:r>
        <w:rPr/>
      </w:r>
    </w:p>
    <w:p>
      <w:pPr>
        <w:pStyle w:val="TextBody"/>
        <w:bidi w:val="0"/>
        <w:spacing w:lineRule="auto" w:line="288" w:before="120" w:after="180"/>
        <w:jc w:val="both"/>
        <w:rPr/>
      </w:pPr>
      <w:r>
        <w:rPr>
          <w:rFonts w:ascii="Times New Roman;sans-serif" w:hAnsi="Times New Roman;sans-serif"/>
          <w:b/>
          <w:color w:val="000000"/>
          <w:sz w:val="24"/>
        </w:rPr>
        <w:t>Optionholder Acknowledgements:</w:t>
      </w:r>
      <w:r>
        <w:rPr>
          <w:color w:val="000000"/>
        </w:rPr>
        <w:t xml:space="preserve"> </w:t>
      </w:r>
      <w:r>
        <w:rPr>
          <w:rFonts w:ascii="Times New Roman;sans-serif" w:hAnsi="Times New Roman;sans-serif"/>
          <w:b w:val="false"/>
          <w:color w:val="000000"/>
          <w:sz w:val="24"/>
        </w:rPr>
        <w:t>By your signature below or by electronic acceptance or authentication in a form authorized by the Company, you understand and agree that:</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4"/>
        </w:rPr>
        <w:t>The Option is governed by this Stock Option Grant Notice, and the provisions of the Plan and the Stock Option Agreement, all of which are made a part of this document. Unless otherwise provided in the Plan, this Grant Notice and the Stock Option Agreement (together, the “</w:t>
      </w:r>
      <w:r>
        <w:rPr>
          <w:rFonts w:ascii="Times New Roman;sans-serif" w:hAnsi="Times New Roman;sans-serif"/>
          <w:b/>
          <w:i/>
          <w:color w:val="000000"/>
          <w:sz w:val="24"/>
        </w:rPr>
        <w:t>Option Agreement</w:t>
      </w:r>
      <w:r>
        <w:rPr>
          <w:color w:val="000000"/>
        </w:rPr>
        <w:t>”</w:t>
      </w:r>
      <w:r>
        <w:rPr>
          <w:rFonts w:ascii="Times New Roman;sans-serif" w:hAnsi="Times New Roman;sans-serif"/>
          <w:b w:val="false"/>
          <w:color w:val="000000"/>
          <w:sz w:val="24"/>
        </w:rPr>
        <w:t xml:space="preserve">) may not be modified, amended or revised except in a writing signed by you and a duly authorized officer of the Company. </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4"/>
        </w:rPr>
        <w:t xml:space="preserve">If the Option is an Incentive Stock Option, it (plus other outstanding Incentive Stock Options granted to you) cannot be first </w:t>
      </w:r>
      <w:r>
        <w:rPr>
          <w:rFonts w:ascii="Times New Roman;sans-serif" w:hAnsi="Times New Roman;sans-serif"/>
          <w:b w:val="false"/>
          <w:i/>
          <w:color w:val="000000"/>
          <w:sz w:val="24"/>
        </w:rPr>
        <w:t>exercisable</w:t>
      </w:r>
      <w:r>
        <w:rPr>
          <w:color w:val="000000"/>
        </w:rPr>
        <w:t xml:space="preserve"> </w:t>
      </w:r>
      <w:r>
        <w:rPr>
          <w:rFonts w:ascii="Times New Roman;sans-serif" w:hAnsi="Times New Roman;sans-serif"/>
          <w:b w:val="false"/>
          <w:color w:val="000000"/>
          <w:sz w:val="24"/>
        </w:rPr>
        <w:t>for more than $100,000 in value (measured by exercise price) in any calendar year. Any excess over $100,000 is a Nonstatutory Stock Option.</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4"/>
        </w:rPr>
        <w:t xml:space="preserve">You consent to receive this Grant Notice, the Stock Option Agreement, the Plan, the Prospectus and any other Plan-related documents by electronic delivery and to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94995"/>
                <wp:effectExtent l="0" t="0" r="0" b="0"/>
                <wp:wrapNone/>
                <wp:docPr id="116" name="Frame1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participate in the Plan through an on-line or electronic system established and maintained by the Company or another third party designated by the Company. </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4"/>
        </w:rPr>
        <w:t xml:space="preserve">You have read and are familiar with the provisions of the Plan, the Stock Option Agreement, and the Prospectus. In the event of any conflict between the provisions in this Grant Notice, the Option Agreement, or the Prospectus and the terms of the Plan, the terms of the Plan shall control. </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4"/>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 You understand that your employment or service with the Company is for an unspecified duration, can be terminated at any time (</w:t>
      </w:r>
      <w:r>
        <w:rPr>
          <w:rFonts w:ascii="Times New Roman;sans-serif" w:hAnsi="Times New Roman;sans-serif"/>
          <w:b w:val="false"/>
          <w:i/>
          <w:color w:val="000000"/>
          <w:sz w:val="24"/>
        </w:rPr>
        <w:t xml:space="preserve">i.e. </w:t>
      </w:r>
      <w:r>
        <w:rPr>
          <w:rFonts w:ascii="Times New Roman;sans-serif" w:hAnsi="Times New Roman;sans-serif"/>
          <w:b w:val="false"/>
          <w:color w:val="000000"/>
          <w:sz w:val="24"/>
        </w:rPr>
        <w:t>is “at-will”), and that nothing in this Notice, the Option Agreement or the Plan changes the at-will nature of that relationship.</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4"/>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spacing w:lineRule="auto" w:line="288" w:before="0" w:after="180"/>
        <w:jc w:val="both"/>
        <w:rPr>
          <w:color w:val="000000"/>
        </w:rPr>
      </w:pPr>
      <w:r>
        <w:rPr>
          <w:color w:val="000000"/>
        </w:rPr>
        <w:t>    </w:t>
      </w:r>
    </w:p>
    <w:tbl>
      <w:tblPr>
        <w:tblW w:w="3569" w:type="dxa"/>
        <w:jc w:val="left"/>
        <w:tblInd w:w="0" w:type="dxa"/>
        <w:tblLayout w:type="fixed"/>
        <w:tblCellMar>
          <w:top w:w="28" w:type="dxa"/>
          <w:left w:w="28" w:type="dxa"/>
          <w:bottom w:w="28" w:type="dxa"/>
          <w:right w:w="28" w:type="dxa"/>
        </w:tblCellMar>
      </w:tblPr>
      <w:tblGrid>
        <w:gridCol w:w="718"/>
        <w:gridCol w:w="630"/>
        <w:gridCol w:w="632"/>
        <w:gridCol w:w="465"/>
        <w:gridCol w:w="465"/>
        <w:gridCol w:w="659"/>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MacroGenics, Inc.</w:t>
            </w:r>
          </w:p>
          <w:p>
            <w:pPr>
              <w:pStyle w:val="TableContents"/>
              <w:bidi w:val="0"/>
              <w:spacing w:lineRule="auto" w:line="240" w:before="0" w:after="0"/>
              <w:jc w:val="both"/>
              <w:rPr/>
            </w:pPr>
            <w:r>
              <w:rPr>
                <w:rFonts w:ascii="Times New Roman;sans-serif" w:hAnsi="Times New Roman;sans-serif"/>
                <w:b w:val="false"/>
                <w:color w:val="000000"/>
                <w:sz w:val="24"/>
              </w:rPr>
              <w:t>By:</w:t>
            </w:r>
            <w:r>
              <w:rPr>
                <w:color w:val="000000"/>
                <w:u w:val="single"/>
              </w:rPr>
              <w:t>    </w:t>
            </w:r>
          </w:p>
          <w:p>
            <w:pPr>
              <w:pStyle w:val="TableContents"/>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bidi w:val="0"/>
              <w:spacing w:lineRule="auto" w:line="240" w:before="0" w:after="120"/>
              <w:jc w:val="both"/>
              <w:rPr/>
            </w:pPr>
            <w:r>
              <w:rPr>
                <w:rFonts w:ascii="Times New Roman;sans-serif" w:hAnsi="Times New Roman;sans-serif"/>
                <w:b w:val="false"/>
                <w:color w:val="000000"/>
                <w:sz w:val="24"/>
              </w:rPr>
              <w:t>Title:</w:t>
            </w:r>
            <w:r>
              <w:rPr>
                <w:color w:val="000000"/>
                <w:u w:val="single"/>
              </w:rPr>
              <w:t>    </w:t>
            </w:r>
          </w:p>
          <w:p>
            <w:pPr>
              <w:pStyle w:val="TableContents"/>
              <w:bidi w:val="0"/>
              <w:spacing w:lineRule="auto" w:line="240" w:before="0" w:after="240"/>
              <w:jc w:val="both"/>
              <w:rPr/>
            </w:pPr>
            <w:r>
              <w:rPr>
                <w:rFonts w:ascii="Times New Roman;sans-serif" w:hAnsi="Times New Roman;sans-serif"/>
                <w:b w:val="false"/>
                <w:color w:val="000000"/>
                <w:sz w:val="24"/>
              </w:rPr>
              <w:t>Date:</w:t>
            </w:r>
            <w:r>
              <w:rPr>
                <w:color w:val="000000"/>
                <w:u w:val="single"/>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Optionholder:</w:t>
            </w:r>
          </w:p>
          <w:p>
            <w:pPr>
              <w:pStyle w:val="TableContents"/>
              <w:bidi w:val="0"/>
              <w:spacing w:lineRule="auto" w:line="240" w:before="0" w:after="0"/>
              <w:jc w:val="both"/>
              <w:rPr>
                <w:color w:val="000000"/>
                <w:u w:val="single"/>
              </w:rPr>
            </w:pPr>
            <w:r>
              <w:rPr>
                <w:color w:val="000000"/>
                <w:u w:val="single"/>
              </w:rPr>
              <w:t>    </w:t>
            </w:r>
          </w:p>
          <w:p>
            <w:pPr>
              <w:pStyle w:val="TableContents"/>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bidi w:val="0"/>
              <w:spacing w:lineRule="auto" w:line="240" w:before="0" w:after="240"/>
              <w:jc w:val="both"/>
              <w:rPr/>
            </w:pPr>
            <w:r>
              <w:rPr>
                <w:rFonts w:ascii="Times New Roman;sans-serif" w:hAnsi="Times New Roman;sans-serif"/>
                <w:b w:val="false"/>
                <w:color w:val="000000"/>
                <w:sz w:val="24"/>
              </w:rPr>
              <w:t>Date:</w:t>
            </w:r>
            <w:r>
              <w:rPr>
                <w:color w:val="000000"/>
                <w:u w:val="single"/>
              </w:rPr>
              <w:t>    </w:t>
            </w:r>
          </w:p>
        </w:tc>
      </w:tr>
    </w:tbl>
    <w:p>
      <w:pPr>
        <w:pStyle w:val="TextBody"/>
        <w:bidi w:val="0"/>
        <w:spacing w:lineRule="auto" w:line="288" w:before="0" w:after="180"/>
        <w:ind w:left="0" w:right="0" w:hanging="1710"/>
        <w:jc w:val="both"/>
        <w:rPr/>
      </w:pPr>
      <w:r>
        <w:rPr>
          <w:rFonts w:ascii="Times New Roman;sans-serif" w:hAnsi="Times New Roman;sans-serif"/>
          <w:b/>
          <w:color w:val="000000"/>
          <w:sz w:val="24"/>
        </w:rPr>
        <w:t>Attachments</w:t>
      </w:r>
      <w:r>
        <w:rPr>
          <w:rFonts w:ascii="Times New Roman;sans-serif" w:hAnsi="Times New Roman;sans-serif"/>
          <w:b w:val="false"/>
          <w:color w:val="000000"/>
          <w:sz w:val="24"/>
        </w:rPr>
        <w:t xml:space="preserve">: Stock Option Agreement, 2023 Equity Incentive Plan </w:t>
      </w:r>
    </w:p>
    <w:p>
      <w:pPr>
        <w:pStyle w:val="TextBody"/>
        <w:bidi w:val="0"/>
        <w:spacing w:before="0" w:after="18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94995"/>
                <wp:effectExtent l="0" t="0" r="0" b="0"/>
                <wp:wrapNone/>
                <wp:docPr id="117" name="Frame11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center"/>
        <w:rPr/>
      </w:pPr>
      <w:r>
        <w:rPr>
          <w:rFonts w:ascii="Times New Roman;sans-serif" w:hAnsi="Times New Roman;sans-serif"/>
          <w:b/>
          <w:color w:val="000000"/>
          <w:sz w:val="24"/>
        </w:rPr>
        <w:t>Attachment I</w:t>
      </w:r>
      <w:r>
        <w:rPr>
          <w:rFonts w:ascii="Times New Roman;sans-serif" w:hAnsi="Times New Roman;sans-serif"/>
          <w:b/>
          <w:color w:val="000000"/>
          <w:sz w:val="29"/>
        </w:rPr>
        <w:br/>
        <w:br/>
      </w:r>
      <w:r>
        <w:rPr>
          <w:rFonts w:ascii="Times New Roman;sans-serif" w:hAnsi="Times New Roman;sans-serif"/>
          <w:b/>
          <w:color w:val="000000"/>
          <w:sz w:val="24"/>
        </w:rPr>
        <w:t xml:space="preserve">Stock Option Agreement </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As reflected by your Stock Option Grant Notice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MacroGenics,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an option under its 2023</w:t>
      </w:r>
      <w:r>
        <w:rPr>
          <w:color w:val="000000"/>
        </w:rPr>
        <w:t xml:space="preserve"> </w:t>
      </w:r>
      <w:r>
        <w:rPr>
          <w:rFonts w:ascii="Times New Roman;sans-serif" w:hAnsi="Times New Roman;sans-serif"/>
          <w:b w:val="false"/>
          <w:color w:val="000000"/>
          <w:sz w:val="24"/>
        </w:rPr>
        <w:t>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to purchase a number of shares of Common Stock at the exercise price indicated in your Grant Notice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pStyle w:val="TextBody"/>
        <w:bidi w:val="0"/>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general terms and conditions applicable to your Option are as follows:</w:t>
      </w:r>
    </w:p>
    <w:p>
      <w:pPr>
        <w:pStyle w:val="TextBody"/>
        <w:bidi w:val="0"/>
        <w:spacing w:lineRule="auto" w:line="288" w:before="0" w:after="180"/>
        <w:ind w:left="0" w:right="0" w:firstLine="720"/>
        <w:jc w:val="both"/>
        <w:rPr/>
      </w:pPr>
      <w:r>
        <w:rPr>
          <w:rFonts w:ascii="Times New Roman;sans-serif" w:hAnsi="Times New Roman;sans-serif"/>
          <w:b/>
          <w:color w:val="000000"/>
          <w:sz w:val="24"/>
        </w:rPr>
        <w:t>1.    Governing Plan Document.</w:t>
      </w:r>
      <w:r>
        <w:rPr>
          <w:color w:val="000000"/>
        </w:rPr>
        <w:t xml:space="preserve"> </w:t>
      </w:r>
      <w:r>
        <w:rPr>
          <w:rFonts w:ascii="Times New Roman;sans-serif" w:hAnsi="Times New Roman;sans-serif"/>
          <w:b w:val="false"/>
          <w:color w:val="000000"/>
          <w:sz w:val="24"/>
        </w:rPr>
        <w:t>Your Option is subject to all the provisions of the Plan., including but not limited to the provisions in:</w:t>
      </w:r>
    </w:p>
    <w:p>
      <w:pPr>
        <w:pStyle w:val="TextBody"/>
        <w:bidi w:val="0"/>
        <w:spacing w:lineRule="auto" w:line="288" w:before="0" w:after="18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Section 6 regarding the impact of a Capitalization Adjustment, dissolution, liquidation, or Corporate Transaction on your Option;</w:t>
      </w:r>
    </w:p>
    <w:p>
      <w:pPr>
        <w:pStyle w:val="TextBody"/>
        <w:bidi w:val="0"/>
        <w:spacing w:lineRule="auto" w:line="288" w:before="0" w:after="18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 xml:space="preserve">Section 9(e) regarding the Company’s retained rights to terminate your Continuous Service notwithstanding the grant of the Option; and </w:t>
      </w:r>
    </w:p>
    <w:p>
      <w:pPr>
        <w:pStyle w:val="TextBody"/>
        <w:bidi w:val="0"/>
        <w:spacing w:lineRule="auto" w:line="288" w:before="0" w:after="18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 xml:space="preserve">Section 8(c) regarding the tax consequences of your Option. </w: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pStyle w:val="TextBody"/>
        <w:bidi w:val="0"/>
        <w:spacing w:lineRule="auto" w:line="288" w:before="0" w:after="180"/>
        <w:ind w:left="0" w:right="0" w:firstLine="720"/>
        <w:jc w:val="both"/>
        <w:rPr/>
      </w:pPr>
      <w:r>
        <w:rPr>
          <w:rFonts w:ascii="Times New Roman;sans-serif" w:hAnsi="Times New Roman;sans-serif"/>
          <w:b/>
          <w:color w:val="000000"/>
          <w:sz w:val="24"/>
        </w:rPr>
        <w:t xml:space="preserve">2.    Vesting. </w:t>
      </w:r>
      <w:r>
        <w:rPr>
          <w:rFonts w:ascii="Times New Roman;sans-serif" w:hAnsi="Times New Roman;sans-serif"/>
          <w:b w:val="false"/>
          <w:color w:val="000000"/>
          <w:sz w:val="24"/>
        </w:rPr>
        <w:t xml:space="preserve">Your Option will vest as provided in your Grant Notice, subject to the provisions contained herein and the terms of the Plan. Vesting will cease upon the termination of your Continuous Service. </w:t>
      </w:r>
    </w:p>
    <w:p>
      <w:pPr>
        <w:pStyle w:val="TextBody"/>
        <w:bidi w:val="0"/>
        <w:spacing w:lineRule="auto" w:line="288" w:before="0" w:after="18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3.    Exercise.</w:t>
      </w:r>
    </w:p>
    <w:p>
      <w:pPr>
        <w:pStyle w:val="TextBody"/>
        <w:bidi w:val="0"/>
        <w:spacing w:lineRule="auto" w:line="288" w:before="0" w:after="18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pStyle w:val="TextBody"/>
        <w:bidi w:val="0"/>
        <w:spacing w:lineRule="auto" w:line="288" w:before="0" w:after="18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To the extent permitted by Applicable Law, you may pay your Option exercise price as follows:</w:t>
      </w:r>
    </w:p>
    <w:p>
      <w:pPr>
        <w:pStyle w:val="TextBody"/>
        <w:bidi w:val="0"/>
        <w:spacing w:lineRule="auto" w:line="288" w:before="0" w:after="180"/>
        <w:ind w:left="0" w:right="0" w:firstLine="2160"/>
        <w:jc w:val="both"/>
        <w:rPr/>
      </w:pPr>
      <w:r>
        <w:rPr>
          <w:rFonts w:ascii="Times New Roman;sans-serif" w:hAnsi="Times New Roman;sans-serif"/>
          <w:b/>
          <w:color w:val="000000"/>
          <w:sz w:val="24"/>
        </w:rPr>
        <w:t>(i)    </w:t>
      </w:r>
      <w:r>
        <w:rPr>
          <w:rFonts w:ascii="Times New Roman;sans-serif" w:hAnsi="Times New Roman;sans-serif"/>
          <w:b w:val="false"/>
          <w:color w:val="000000"/>
          <w:sz w:val="24"/>
        </w:rPr>
        <w:t xml:space="preserve">cash, check, bank draft or money order;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94995"/>
                <wp:effectExtent l="0" t="0" r="0" b="0"/>
                <wp:wrapNone/>
                <wp:docPr id="118" name="Frame1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ind w:left="0" w:right="0" w:firstLine="2160"/>
        <w:jc w:val="both"/>
        <w:rPr/>
      </w:pPr>
      <w:r>
        <w:rPr>
          <w:rFonts w:ascii="Times New Roman;sans-serif" w:hAnsi="Times New Roman;sans-serif"/>
          <w:b/>
          <w:color w:val="000000"/>
          <w:sz w:val="24"/>
        </w:rPr>
        <w:t>(ii)    </w:t>
      </w:r>
      <w:r>
        <w:rPr>
          <w:rFonts w:ascii="Times New Roman;sans-serif" w:hAnsi="Times New Roman;sans-serif"/>
          <w:b w:val="false"/>
          <w:color w:val="000000"/>
          <w:sz w:val="24"/>
        </w:rPr>
        <w:t>pursuant to a “cashless exercise” program as further described in Section 4(c)(ii) of the Plan if at the time of exercise the Common Stock is publicly traded;</w:t>
      </w:r>
    </w:p>
    <w:p>
      <w:pPr>
        <w:pStyle w:val="TextBody"/>
        <w:bidi w:val="0"/>
        <w:spacing w:lineRule="auto" w:line="288" w:before="0" w:after="180"/>
        <w:ind w:left="0" w:right="0" w:firstLine="2160"/>
        <w:jc w:val="both"/>
        <w:rPr/>
      </w:pPr>
      <w:r>
        <w:rPr>
          <w:rFonts w:ascii="Times New Roman;sans-serif" w:hAnsi="Times New Roman;sans-serif"/>
          <w:b/>
          <w:color w:val="000000"/>
          <w:sz w:val="24"/>
        </w:rPr>
        <w:t>(iii)    </w:t>
      </w:r>
      <w:r>
        <w:rPr>
          <w:rFonts w:ascii="Times New Roman;sans-serif" w:hAnsi="Times New Roman;sans-serif"/>
          <w:b w:val="false"/>
          <w:color w:val="000000"/>
          <w:sz w:val="24"/>
        </w:rPr>
        <w:t>subject to Company and/or Committee consent at the time of exercise, by delivery of previously owned shares of Common Stock as further described in Section 4(c)(iii) of the Plan; or</w:t>
      </w:r>
    </w:p>
    <w:p>
      <w:pPr>
        <w:pStyle w:val="TextBody"/>
        <w:bidi w:val="0"/>
        <w:spacing w:lineRule="auto" w:line="288" w:before="0" w:after="180"/>
        <w:ind w:left="0" w:right="0" w:firstLine="2160"/>
        <w:jc w:val="both"/>
        <w:rPr/>
      </w:pPr>
      <w:r>
        <w:rPr>
          <w:rFonts w:ascii="Times New Roman;sans-serif" w:hAnsi="Times New Roman;sans-serif"/>
          <w:b/>
          <w:color w:val="000000"/>
          <w:sz w:val="24"/>
        </w:rPr>
        <w:t>(iv)    </w:t>
      </w:r>
      <w:r>
        <w:rPr>
          <w:rFonts w:ascii="Times New Roman;sans-serif" w:hAnsi="Times New Roman;sans-serif"/>
          <w:b w:val="false"/>
          <w:color w:val="000000"/>
          <w:sz w:val="24"/>
        </w:rPr>
        <w:t>subject to Company and/or Committee consent at the time of exercise, if the Option is a Nonstatutory Stock Option, by a “net exercise” arrangement as further described in Section 4(c)(iv) of the Plan.</w:t>
      </w:r>
    </w:p>
    <w:p>
      <w:pPr>
        <w:pStyle w:val="TextBody"/>
        <w:bidi w:val="0"/>
        <w:spacing w:lineRule="auto" w:line="288" w:before="0" w:after="180"/>
        <w:ind w:left="0" w:right="0" w:firstLine="720"/>
        <w:jc w:val="both"/>
        <w:rPr/>
      </w:pPr>
      <w:r>
        <w:rPr>
          <w:rFonts w:ascii="Times New Roman;sans-serif" w:hAnsi="Times New Roman;sans-serif"/>
          <w:b/>
          <w:color w:val="000000"/>
          <w:sz w:val="24"/>
        </w:rPr>
        <w:t>4.    Term.</w:t>
      </w:r>
      <w:r>
        <w:rPr>
          <w:color w:val="000000"/>
        </w:rPr>
        <w:t xml:space="preserve"> </w:t>
      </w:r>
      <w:r>
        <w:rPr>
          <w:rFonts w:ascii="Times New Roman;sans-serif" w:hAnsi="Times New Roman;sans-serif"/>
          <w:b w:val="false"/>
          <w:color w:val="000000"/>
          <w:sz w:val="24"/>
        </w:rPr>
        <w:t>You may not exercise your Option before the commencement of its term or after its term expires. The term of your Option commences on the Date of Grant and expires upon the earliest of the following:</w:t>
      </w:r>
    </w:p>
    <w:p>
      <w:pPr>
        <w:pStyle w:val="TextBody"/>
        <w:bidi w:val="0"/>
        <w:spacing w:lineRule="auto" w:line="288" w:before="0" w:after="18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immediately upon the termination of your Continuous Service for Cause;</w:t>
      </w:r>
    </w:p>
    <w:p>
      <w:pPr>
        <w:pStyle w:val="TextBody"/>
        <w:bidi w:val="0"/>
        <w:spacing w:lineRule="auto" w:line="288" w:before="0" w:after="18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three months after the termination of your Continuous Service for any reason other than Cause, Disability or death;</w:t>
      </w:r>
    </w:p>
    <w:p>
      <w:pPr>
        <w:pStyle w:val="TextBody"/>
        <w:bidi w:val="0"/>
        <w:spacing w:lineRule="auto" w:line="288" w:before="0" w:after="18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12 months after the termination of your Continuous Service due to your Disability;</w:t>
      </w:r>
    </w:p>
    <w:p>
      <w:pPr>
        <w:pStyle w:val="TextBody"/>
        <w:bidi w:val="0"/>
        <w:spacing w:lineRule="auto" w:line="288" w:before="0" w:after="180"/>
        <w:ind w:left="0" w:right="0" w:firstLine="1440"/>
        <w:jc w:val="both"/>
        <w:rPr/>
      </w:pPr>
      <w:r>
        <w:rPr>
          <w:rFonts w:ascii="Times New Roman;sans-serif" w:hAnsi="Times New Roman;sans-serif"/>
          <w:b/>
          <w:color w:val="000000"/>
          <w:sz w:val="24"/>
        </w:rPr>
        <w:t>(d)    </w:t>
      </w:r>
      <w:r>
        <w:rPr>
          <w:rFonts w:ascii="Times New Roman;sans-serif" w:hAnsi="Times New Roman;sans-serif"/>
          <w:b w:val="false"/>
          <w:color w:val="000000"/>
          <w:sz w:val="24"/>
        </w:rPr>
        <w:t>18 months after your death if you die during your Continuous Service;</w:t>
      </w:r>
    </w:p>
    <w:p>
      <w:pPr>
        <w:pStyle w:val="TextBody"/>
        <w:bidi w:val="0"/>
        <w:spacing w:lineRule="auto" w:line="288" w:before="0" w:after="180"/>
        <w:ind w:left="0" w:right="0" w:firstLine="1440"/>
        <w:jc w:val="both"/>
        <w:rPr/>
      </w:pPr>
      <w:r>
        <w:rPr>
          <w:rFonts w:ascii="Times New Roman;sans-serif" w:hAnsi="Times New Roman;sans-serif"/>
          <w:b/>
          <w:color w:val="000000"/>
          <w:sz w:val="24"/>
        </w:rPr>
        <w:t>(e)    </w:t>
      </w:r>
      <w:r>
        <w:rPr>
          <w:rFonts w:ascii="Times New Roman;sans-serif" w:hAnsi="Times New Roman;sans-serif"/>
          <w:b w:val="false"/>
          <w:color w:val="000000"/>
          <w:sz w:val="24"/>
        </w:rPr>
        <w:t>immediately upon a Corporate Transaction if the Board has determined that the Option will terminate in connection with a Corporate Transaction,</w:t>
      </w:r>
    </w:p>
    <w:p>
      <w:pPr>
        <w:pStyle w:val="TextBody"/>
        <w:bidi w:val="0"/>
        <w:spacing w:lineRule="auto" w:line="288" w:before="0" w:after="180"/>
        <w:ind w:left="0" w:right="0" w:firstLine="1440"/>
        <w:jc w:val="both"/>
        <w:rPr/>
      </w:pPr>
      <w:r>
        <w:rPr>
          <w:rFonts w:ascii="Times New Roman;sans-serif" w:hAnsi="Times New Roman;sans-serif"/>
          <w:b/>
          <w:color w:val="000000"/>
          <w:sz w:val="24"/>
        </w:rPr>
        <w:t>(f)    </w:t>
      </w:r>
      <w:r>
        <w:rPr>
          <w:rFonts w:ascii="Times New Roman;sans-serif" w:hAnsi="Times New Roman;sans-serif"/>
          <w:b w:val="false"/>
          <w:color w:val="000000"/>
          <w:sz w:val="24"/>
        </w:rPr>
        <w:t>the Expiration Date indicated in your Grant Notice; or</w:t>
      </w:r>
    </w:p>
    <w:p>
      <w:pPr>
        <w:pStyle w:val="TextBody"/>
        <w:bidi w:val="0"/>
        <w:spacing w:lineRule="auto" w:line="288" w:before="0" w:after="180"/>
        <w:ind w:left="0" w:right="0" w:firstLine="1440"/>
        <w:jc w:val="both"/>
        <w:rPr/>
      </w:pPr>
      <w:r>
        <w:rPr>
          <w:rFonts w:ascii="Times New Roman;sans-serif" w:hAnsi="Times New Roman;sans-serif"/>
          <w:b/>
          <w:color w:val="000000"/>
          <w:sz w:val="24"/>
        </w:rPr>
        <w:t>(g)    </w:t>
      </w:r>
      <w:r>
        <w:rPr>
          <w:rFonts w:ascii="Times New Roman;sans-serif" w:hAnsi="Times New Roman;sans-serif"/>
          <w:b w:val="false"/>
          <w:color w:val="000000"/>
          <w:sz w:val="24"/>
        </w:rPr>
        <w:t>the day before the 10th anniversary of the Date of Grant.</w:t>
      </w:r>
    </w:p>
    <w:p>
      <w:pPr>
        <w:pStyle w:val="TextBody"/>
        <w:bidi w:val="0"/>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pStyle w:val="TextBody"/>
        <w:bidi w:val="0"/>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pStyle w:val="TextBody"/>
        <w:bidi w:val="0"/>
        <w:spacing w:lineRule="auto" w:line="288" w:before="0" w:after="180"/>
        <w:ind w:left="0" w:right="0" w:firstLine="720"/>
        <w:jc w:val="both"/>
        <w:rPr/>
      </w:pPr>
      <w:r>
        <w:rPr>
          <w:rFonts w:ascii="Times New Roman;sans-serif" w:hAnsi="Times New Roman;sans-serif"/>
          <w:b/>
          <w:color w:val="000000"/>
          <w:sz w:val="24"/>
        </w:rPr>
        <w:t xml:space="preserve">5.    Withholding Obligations. </w:t>
      </w:r>
      <w:r>
        <w:rPr>
          <w:rFonts w:ascii="Times New Roman;sans-serif" w:hAnsi="Times New Roman;sans-serif"/>
          <w:b w:val="false"/>
          <w:color w:val="000000"/>
          <w:sz w:val="24"/>
        </w:rPr>
        <w:t xml:space="preserve">As further provided in Section 8 of the Plan: (a) you may not exercise your Option unless the applicable tax withholding obligations are satisfied, and (b) at the time you exercise your Option, in whole or in part, or at any time thereafter as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94995"/>
                <wp:effectExtent l="0" t="0" r="0" b="0"/>
                <wp:wrapNone/>
                <wp:docPr id="119" name="Frame11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pStyle w:val="TextBody"/>
        <w:bidi w:val="0"/>
        <w:spacing w:lineRule="auto" w:line="288" w:before="0" w:after="180"/>
        <w:ind w:left="0" w:right="0" w:firstLine="720"/>
        <w:jc w:val="both"/>
        <w:rPr/>
      </w:pPr>
      <w:r>
        <w:rPr>
          <w:rFonts w:ascii="Times New Roman;sans-serif" w:hAnsi="Times New Roman;sans-serif"/>
          <w:b/>
          <w:color w:val="000000"/>
          <w:sz w:val="24"/>
        </w:rPr>
        <w:t>6.    Incentive Stock Option Disposition Requirement.</w:t>
      </w:r>
      <w:r>
        <w:rPr>
          <w:color w:val="000000"/>
        </w:rPr>
        <w:t xml:space="preserve"> </w:t>
      </w:r>
      <w:r>
        <w:rPr>
          <w:rFonts w:ascii="Times New Roman;sans-serif" w:hAnsi="Times New Roman;sans-serif"/>
          <w:b w:val="false"/>
          <w:color w:val="000000"/>
          <w:sz w:val="24"/>
        </w:rPr>
        <w:t>If your Option is an 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pStyle w:val="TextBody"/>
        <w:bidi w:val="0"/>
        <w:spacing w:lineRule="auto" w:line="288" w:before="0" w:after="180"/>
        <w:ind w:left="0" w:right="0" w:firstLine="720"/>
        <w:jc w:val="both"/>
        <w:rPr/>
      </w:pPr>
      <w:r>
        <w:rPr>
          <w:rFonts w:ascii="Times New Roman;sans-serif" w:hAnsi="Times New Roman;sans-serif"/>
          <w:b/>
          <w:color w:val="000000"/>
          <w:sz w:val="24"/>
        </w:rPr>
        <w:t>7.    Transferability.</w:t>
      </w:r>
      <w:r>
        <w:rPr>
          <w:color w:val="000000"/>
        </w:rPr>
        <w:t xml:space="preserve"> </w:t>
      </w:r>
      <w:r>
        <w:rPr>
          <w:rFonts w:ascii="Times New Roman;sans-serif" w:hAnsi="Times New Roman;sans-serif"/>
          <w:b w:val="false"/>
          <w:color w:val="000000"/>
          <w:sz w:val="24"/>
        </w:rPr>
        <w:t xml:space="preserve">Except as otherwise provided in Section 4(e) of the Plan, your Option is not transferable, except by will or by the applicable laws of descent and distribution, and is exercisable during your life only by you. </w:t>
      </w:r>
    </w:p>
    <w:p>
      <w:pPr>
        <w:pStyle w:val="TextBody"/>
        <w:bidi w:val="0"/>
        <w:spacing w:lineRule="auto" w:line="288" w:before="0" w:after="180"/>
        <w:ind w:left="0" w:right="0" w:firstLine="720"/>
        <w:jc w:val="both"/>
        <w:rPr/>
      </w:pPr>
      <w:r>
        <w:rPr>
          <w:rFonts w:ascii="Times New Roman;sans-serif" w:hAnsi="Times New Roman;sans-serif"/>
          <w:b/>
          <w:color w:val="000000"/>
          <w:sz w:val="24"/>
        </w:rPr>
        <w:t>8.    Corporate Transaction.</w:t>
      </w:r>
      <w:r>
        <w:rPr>
          <w:color w:val="000000"/>
        </w:rPr>
        <w:t xml:space="preserve"> </w:t>
      </w:r>
      <w:r>
        <w:rPr>
          <w:rFonts w:ascii="Times New Roman;sans-serif" w:hAnsi="Times New Roman;sans-serif"/>
          <w:b w:val="false"/>
          <w:color w:val="000000"/>
          <w:sz w:val="24"/>
        </w:rPr>
        <w:t xml:space="preserve">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88" w:before="0" w:after="180"/>
        <w:ind w:left="0" w:right="0" w:firstLine="720"/>
        <w:jc w:val="both"/>
        <w:rPr/>
      </w:pPr>
      <w:r>
        <w:rPr>
          <w:rFonts w:ascii="Times New Roman;sans-serif" w:hAnsi="Times New Roman;sans-serif"/>
          <w:b/>
          <w:color w:val="000000"/>
          <w:sz w:val="24"/>
        </w:rPr>
        <w:t>9.    No Liability for Taxes</w:t>
      </w:r>
      <w:r>
        <w:rPr>
          <w:rFonts w:ascii="Times New Roman;sans-serif" w:hAnsi="Times New Roman;sans-serif"/>
          <w:b w:val="false"/>
          <w:color w:val="000000"/>
          <w:sz w:val="24"/>
        </w:rPr>
        <w:t>.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pStyle w:val="TextBody"/>
        <w:bidi w:val="0"/>
        <w:spacing w:lineRule="auto" w:line="288" w:before="0" w:after="180"/>
        <w:ind w:left="0" w:right="0" w:firstLine="720"/>
        <w:jc w:val="both"/>
        <w:rPr/>
      </w:pPr>
      <w:r>
        <w:rPr>
          <w:rFonts w:ascii="Times New Roman;sans-serif" w:hAnsi="Times New Roman;sans-serif"/>
          <w:b/>
          <w:color w:val="000000"/>
          <w:sz w:val="24"/>
        </w:rPr>
        <w:t>10.    Severability</w:t>
      </w:r>
      <w:r>
        <w:rPr>
          <w:rFonts w:ascii="Times New Roman;sans-serif" w:hAnsi="Times New Roman;sans-serif"/>
          <w:b w:val="false"/>
          <w:color w:val="000000"/>
          <w:sz w:val="24"/>
        </w:rPr>
        <w:t xml:space="preserve">.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94995"/>
                <wp:effectExtent l="0" t="0" r="0" b="0"/>
                <wp:wrapNone/>
                <wp:docPr id="120" name="Frame1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unlawful or invalid will, if possible, be construed in a manner which will give effect to the terms of such Section or part of a Section to the fullest extent possible while remaining lawful and valid</w:t>
      </w:r>
    </w:p>
    <w:p>
      <w:pPr>
        <w:pStyle w:val="TextBody"/>
        <w:bidi w:val="0"/>
        <w:spacing w:lineRule="auto" w:line="288" w:before="0" w:after="180"/>
        <w:ind w:left="0" w:right="0" w:firstLine="720"/>
        <w:jc w:val="both"/>
        <w:rPr/>
      </w:pPr>
      <w:r>
        <w:rPr>
          <w:rFonts w:ascii="Times New Roman;sans-serif" w:hAnsi="Times New Roman;sans-serif"/>
          <w:b/>
          <w:color w:val="000000"/>
          <w:sz w:val="24"/>
        </w:rPr>
        <w:t>11.    Other Documents.</w:t>
      </w:r>
      <w:r>
        <w:rPr>
          <w:color w:val="000000"/>
        </w:rPr>
        <w:t>  </w:t>
      </w:r>
      <w:r>
        <w:rPr>
          <w:rFonts w:ascii="Times New Roman;sans-serif" w:hAnsi="Times New Roman;sans-serif"/>
          <w:b w:val="false"/>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lineRule="auto" w:line="288" w:before="0" w:after="180"/>
        <w:ind w:left="0" w:right="0" w:firstLine="720"/>
        <w:jc w:val="both"/>
        <w:rPr/>
      </w:pPr>
      <w:r>
        <w:rPr>
          <w:rFonts w:ascii="Times New Roman;sans-serif" w:hAnsi="Times New Roman;sans-serif"/>
          <w:b/>
          <w:color w:val="000000"/>
          <w:sz w:val="24"/>
        </w:rPr>
        <w:t xml:space="preserve">12.    Questions. </w:t>
      </w:r>
      <w:r>
        <w:rPr>
          <w:rFonts w:ascii="Times New Roman;sans-serif" w:hAnsi="Times New Roman;sans-serif"/>
          <w:b w:val="false"/>
          <w:color w:val="000000"/>
          <w:sz w:val="24"/>
        </w:rPr>
        <w:t>If you have questions regarding these or any other terms and conditions applicable to your Option, including a summary of the applicable federal income tax consequences please see the Prospectus.</w:t>
      </w:r>
    </w:p>
    <w:p>
      <w:pPr>
        <w:pStyle w:val="TextBody"/>
        <w:bidi w:val="0"/>
        <w:spacing w:lineRule="auto" w:line="288" w:before="240" w:after="180"/>
        <w:jc w:val="center"/>
        <w:rPr>
          <w:rFonts w:ascii="Times New Roman;sans-serif" w:hAnsi="Times New Roman;sans-serif"/>
          <w:b/>
          <w:color w:val="000000"/>
          <w:sz w:val="24"/>
        </w:rPr>
      </w:pPr>
      <w:r>
        <w:rPr>
          <w:rFonts w:ascii="Times New Roman;sans-serif" w:hAnsi="Times New Roman;sans-serif"/>
          <w:b/>
          <w:color w:val="000000"/>
          <w:sz w:val="24"/>
        </w:rPr>
        <w:t xml:space="preserve">*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10.9</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94995"/>
                <wp:effectExtent l="0" t="0" r="0" b="0"/>
                <wp:wrapNone/>
                <wp:docPr id="121" name="Frame11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2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center"/>
        <w:rPr/>
      </w:pPr>
      <w:r>
        <w:rPr>
          <w:rFonts w:ascii="Times New Roman;sans-serif" w:hAnsi="Times New Roman;sans-serif"/>
          <w:b/>
          <w:color w:val="000000"/>
          <w:sz w:val="28"/>
        </w:rPr>
        <w:t>MacroGenics, Inc.</w:t>
      </w:r>
      <w:r>
        <w:rPr>
          <w:rFonts w:ascii="Times New Roman;sans-serif" w:hAnsi="Times New Roman;sans-serif"/>
          <w:b/>
          <w:color w:val="000000"/>
          <w:sz w:val="29"/>
        </w:rPr>
        <w:br/>
        <w:t>RSU Award</w:t>
      </w:r>
      <w:r>
        <w:rPr>
          <w:color w:val="000000"/>
        </w:rPr>
        <w:t xml:space="preserve"> </w:t>
      </w:r>
      <w:r>
        <w:rPr>
          <w:rFonts w:ascii="Times New Roman;sans-serif" w:hAnsi="Times New Roman;sans-serif"/>
          <w:b/>
          <w:color w:val="000000"/>
          <w:sz w:val="28"/>
        </w:rPr>
        <w:t>Grant Notice</w:t>
        <w:br/>
      </w:r>
      <w:r>
        <w:rPr>
          <w:rFonts w:ascii="Times New Roman;sans-serif" w:hAnsi="Times New Roman;sans-serif"/>
          <w:b/>
          <w:color w:val="000000"/>
          <w:sz w:val="24"/>
        </w:rPr>
        <w:t>(2023 Equity Incentive Plan)</w:t>
      </w:r>
    </w:p>
    <w:p>
      <w:pPr>
        <w:pStyle w:val="TextBody"/>
        <w:bidi w:val="0"/>
        <w:spacing w:lineRule="auto" w:line="288" w:before="0" w:after="180"/>
        <w:jc w:val="both"/>
        <w:rPr/>
      </w:pPr>
      <w:r>
        <w:rPr>
          <w:rFonts w:ascii="Times New Roman;sans-serif" w:hAnsi="Times New Roman;sans-serif"/>
          <w:b w:val="false"/>
          <w:color w:val="000000"/>
          <w:sz w:val="20"/>
        </w:rPr>
        <w:t>MacroGenics,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awarded to you (the “</w:t>
      </w:r>
      <w:r>
        <w:rPr>
          <w:rFonts w:ascii="Times New Roman;sans-serif" w:hAnsi="Times New Roman;sans-serif"/>
          <w:b/>
          <w:i/>
          <w:color w:val="000000"/>
          <w:sz w:val="20"/>
        </w:rPr>
        <w:t>Participant</w:t>
      </w:r>
      <w:r>
        <w:rPr>
          <w:color w:val="000000"/>
        </w:rPr>
        <w:t>”</w:t>
      </w:r>
      <w:r>
        <w:rPr>
          <w:rFonts w:ascii="Times New Roman;sans-serif" w:hAnsi="Times New Roman;sans-serif"/>
          <w:b w:val="false"/>
          <w:color w:val="000000"/>
          <w:sz w:val="20"/>
        </w:rPr>
        <w:t>) the number of restricted stock units specified and on the terms set forth below in consideration of your services (the “</w:t>
      </w:r>
      <w:r>
        <w:rPr>
          <w:rFonts w:ascii="Times New Roman;sans-serif" w:hAnsi="Times New Roman;sans-serif"/>
          <w:b/>
          <w:i/>
          <w:color w:val="000000"/>
          <w:sz w:val="20"/>
        </w:rPr>
        <w:t>RSU Award</w:t>
      </w:r>
      <w:r>
        <w:rPr>
          <w:color w:val="000000"/>
        </w:rPr>
        <w:t>”</w:t>
      </w:r>
      <w:r>
        <w:rPr>
          <w:rFonts w:ascii="Times New Roman;sans-serif" w:hAnsi="Times New Roman;sans-serif"/>
          <w:b w:val="false"/>
          <w:color w:val="000000"/>
          <w:sz w:val="20"/>
        </w:rPr>
        <w:t>). Your RSU Award is subject to all of the terms and conditions as set forth herein and in the Company’s 2023</w:t>
      </w:r>
      <w:r>
        <w:rPr>
          <w:color w:val="4F81BD"/>
        </w:rPr>
        <w:t xml:space="preserve"> </w:t>
      </w:r>
      <w:r>
        <w:rPr>
          <w:rFonts w:ascii="Times New Roman;sans-serif" w:hAnsi="Times New Roman;sans-serif"/>
          <w:b w:val="false"/>
          <w:color w:val="000000"/>
          <w:sz w:val="20"/>
        </w:rPr>
        <w:t>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the Award Agreement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which are attached hereto and incorporated herein in their entirety. Capitalized terms not explicitly defined herein but defined in the Plan or the Agreement shall have the meanings set forth in the Plan or the Agreement.</w:t>
      </w:r>
    </w:p>
    <w:tbl>
      <w:tblPr>
        <w:tblW w:w="2984" w:type="dxa"/>
        <w:jc w:val="left"/>
        <w:tblInd w:w="0" w:type="dxa"/>
        <w:tblLayout w:type="fixed"/>
        <w:tblCellMar>
          <w:top w:w="28" w:type="dxa"/>
          <w:left w:w="28" w:type="dxa"/>
          <w:bottom w:w="28" w:type="dxa"/>
          <w:right w:w="28" w:type="dxa"/>
        </w:tblCellMar>
      </w:tblPr>
      <w:tblGrid>
        <w:gridCol w:w="955"/>
        <w:gridCol w:w="839"/>
        <w:gridCol w:w="1190"/>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6" w:space="0" w:color="003366"/>
              <w:left w:val="single" w:sz="6" w:space="0" w:color="003366"/>
              <w:right w:val="single" w:sz="8"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Participant:</w:t>
            </w:r>
          </w:p>
        </w:tc>
      </w:tr>
      <w:tr>
        <w:trPr/>
        <w:tc>
          <w:tcPr>
            <w:tcW w:w="2984" w:type="dxa"/>
            <w:gridSpan w:val="3"/>
            <w:tcBorders>
              <w:left w:val="single" w:sz="6" w:space="0" w:color="003366"/>
              <w:right w:val="single" w:sz="8" w:space="0" w:color="000000"/>
            </w:tcBorders>
            <w:tcMar>
              <w:top w:w="0" w:type="dxa"/>
              <w:bottom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Total Number of RSUs Awarded :</w:t>
            </w:r>
          </w:p>
        </w:tc>
      </w:tr>
      <w:tr>
        <w:trPr/>
        <w:tc>
          <w:tcPr>
            <w:tcW w:w="2984" w:type="dxa"/>
            <w:gridSpan w:val="3"/>
            <w:tcBorders>
              <w:left w:val="single" w:sz="6" w:space="0" w:color="003366"/>
              <w:right w:val="single" w:sz="8" w:space="0" w:color="000000"/>
            </w:tcBorders>
            <w:tcMar>
              <w:top w:w="0" w:type="dxa"/>
              <w:bottom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Date of Grant :</w:t>
            </w:r>
          </w:p>
        </w:tc>
      </w:tr>
      <w:tr>
        <w:trPr/>
        <w:tc>
          <w:tcPr>
            <w:tcW w:w="2984" w:type="dxa"/>
            <w:gridSpan w:val="3"/>
            <w:tcBorders>
              <w:left w:val="single" w:sz="6" w:space="0" w:color="003366"/>
              <w:right w:val="single" w:sz="8" w:space="0" w:color="000000"/>
            </w:tcBorders>
            <w:tcMar>
              <w:top w:w="0" w:type="dxa"/>
              <w:bottom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Vest Commencement Date :</w:t>
            </w:r>
          </w:p>
        </w:tc>
      </w:tr>
      <w:tr>
        <w:trPr/>
        <w:tc>
          <w:tcPr>
            <w:tcW w:w="2984" w:type="dxa"/>
            <w:gridSpan w:val="3"/>
            <w:tcBorders>
              <w:left w:val="single" w:sz="6" w:space="0" w:color="003366"/>
              <w:bottom w:val="single" w:sz="6" w:space="0" w:color="003366"/>
              <w:right w:val="single" w:sz="8" w:space="0" w:color="000000"/>
            </w:tcBorders>
            <w:tcMar>
              <w:top w:w="0" w:type="dxa"/>
              <w:bottom w:w="3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Vesting Schedule:</w:t>
            </w:r>
          </w:p>
        </w:tc>
      </w:tr>
    </w:tbl>
    <w:p>
      <w:pPr>
        <w:pStyle w:val="TextBody"/>
        <w:bidi w:val="0"/>
        <w:spacing w:before="0" w:after="180"/>
        <w:jc w:val="both"/>
        <w:rPr/>
      </w:pPr>
      <w:r>
        <w:rPr/>
      </w:r>
    </w:p>
    <w:p>
      <w:pPr>
        <w:pStyle w:val="TextBody"/>
        <w:bidi w:val="0"/>
        <w:spacing w:lineRule="auto" w:line="288" w:before="0" w:after="180"/>
        <w:ind w:left="0" w:right="0" w:hanging="1800"/>
        <w:jc w:val="both"/>
        <w:rPr/>
      </w:pPr>
      <w:r>
        <w:rPr>
          <w:rFonts w:ascii="Times New Roman;sans-serif" w:hAnsi="Times New Roman;sans-serif"/>
          <w:b/>
          <w:color w:val="000000"/>
          <w:sz w:val="20"/>
        </w:rPr>
        <w:t>Issuance Schedule:    </w:t>
      </w:r>
      <w:r>
        <w:rPr>
          <w:rFonts w:ascii="Times New Roman;sans-serif" w:hAnsi="Times New Roman;sans-serif"/>
          <w:b w:val="false"/>
          <w:color w:val="000000"/>
          <w:sz w:val="20"/>
        </w:rPr>
        <w:t>One share of Common Stock will be issued for each restricted stock unit which vests at the time set forth in Section 6 of the Agreement.</w:t>
      </w:r>
    </w:p>
    <w:p>
      <w:pPr>
        <w:pStyle w:val="TextBody"/>
        <w:bidi w:val="0"/>
        <w:spacing w:lineRule="auto" w:line="288" w:before="120" w:after="180"/>
        <w:jc w:val="both"/>
        <w:rPr/>
      </w:pPr>
      <w:r>
        <w:rPr>
          <w:rFonts w:ascii="Times New Roman;sans-serif" w:hAnsi="Times New Roman;sans-serif"/>
          <w:b/>
          <w:color w:val="000000"/>
          <w:sz w:val="20"/>
        </w:rPr>
        <w:t>Participant Acknowledgements:</w:t>
      </w:r>
      <w:r>
        <w:rPr>
          <w:color w:val="000000"/>
        </w:rPr>
        <w:t xml:space="preserve"> </w:t>
      </w:r>
      <w:r>
        <w:rPr>
          <w:rFonts w:ascii="Times New Roman;sans-serif" w:hAnsi="Times New Roman;sans-serif"/>
          <w:b w:val="false"/>
          <w:color w:val="000000"/>
          <w:sz w:val="20"/>
        </w:rPr>
        <w:t>By your signature below or by electronic acceptance or authentication in a form authorized by the Company, you understand and agree that:</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0"/>
        </w:rPr>
        <w:t>The RSU Award is governed by this RSU Award Grant Notice (the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the provisions of the Plan and the Agreement, all of which are made a part of this document. Unless otherwise provided in the Plan, this Grant Notice and the Agreement (together, the “</w:t>
      </w:r>
      <w:r>
        <w:rPr>
          <w:rFonts w:ascii="Times New Roman;sans-serif" w:hAnsi="Times New Roman;sans-serif"/>
          <w:b/>
          <w:i/>
          <w:color w:val="000000"/>
          <w:sz w:val="20"/>
        </w:rPr>
        <w:t>RSU Award Agreement</w:t>
      </w:r>
      <w:r>
        <w:rPr>
          <w:color w:val="000000"/>
        </w:rPr>
        <w:t>”</w:t>
      </w:r>
      <w:r>
        <w:rPr>
          <w:rFonts w:ascii="Times New Roman;sans-serif" w:hAnsi="Times New Roman;sans-serif"/>
          <w:b w:val="false"/>
          <w:color w:val="000000"/>
          <w:sz w:val="20"/>
        </w:rPr>
        <w:t xml:space="preserve">) may not be modified, amended or revised except in a writing signed by you and a duly authorized officer of the Company. </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0"/>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lineRule="auto" w:line="288" w:before="120" w:after="180"/>
        <w:ind w:left="0" w:right="0" w:hanging="720"/>
        <w:jc w:val="both"/>
        <w:rPr/>
      </w:pPr>
      <w:r>
        <w:rPr>
          <w:color w:val="000000"/>
        </w:rPr>
        <w:t>•</w:t>
      </w:r>
      <w:r>
        <w:rPr>
          <w:rFonts w:ascii="Times New Roman;sans-serif" w:hAnsi="Times New Roman;sans-serif"/>
          <w:b w:val="false"/>
          <w:color w:val="000000"/>
          <w:sz w:val="20"/>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MacroGenics, Inc.    Participant:</w:t>
      </w:r>
    </w:p>
    <w:p>
      <w:pPr>
        <w:pStyle w:val="TextBody"/>
        <w:bidi w:val="0"/>
        <w:spacing w:lineRule="auto" w:line="288" w:before="0" w:after="60"/>
        <w:jc w:val="both"/>
        <w:rPr/>
      </w:pPr>
      <w:r>
        <w:rPr>
          <w:rFonts w:ascii="Times New Roman;sans-serif" w:hAnsi="Times New Roman;sans-serif"/>
          <w:b w:val="false"/>
          <w:color w:val="000000"/>
          <w:sz w:val="20"/>
        </w:rPr>
        <w:t xml:space="preserve">By: </w:t>
      </w:r>
      <w:r>
        <w:rPr>
          <w:color w:val="000000"/>
          <w:u w:val="single"/>
        </w:rPr>
        <w:t>    </w:t>
      </w:r>
      <w:r>
        <w:rPr>
          <w:color w:val="000000"/>
        </w:rPr>
        <w:t>    </w:t>
      </w:r>
      <w:r>
        <w:rPr>
          <w:color w:val="000000"/>
          <w:u w:val="single"/>
        </w:rPr>
        <w:t>    </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20"/>
        </w:rPr>
        <w:t>Signature    Signature</w:t>
      </w:r>
    </w:p>
    <w:p>
      <w:pPr>
        <w:pStyle w:val="TextBody"/>
        <w:bidi w:val="0"/>
        <w:spacing w:lineRule="auto" w:line="288" w:before="0" w:after="180"/>
        <w:jc w:val="both"/>
        <w:rPr/>
      </w:pPr>
      <w:r>
        <w:rPr>
          <w:rFonts w:ascii="Times New Roman;sans-serif" w:hAnsi="Times New Roman;sans-serif"/>
          <w:b w:val="false"/>
          <w:color w:val="000000"/>
          <w:sz w:val="20"/>
        </w:rPr>
        <w:t xml:space="preserve">Title: </w:t>
      </w:r>
      <w:r>
        <w:rPr>
          <w:color w:val="000000"/>
          <w:u w:val="single"/>
        </w:rPr>
        <w:t>    </w:t>
      </w:r>
      <w:r>
        <w:rPr>
          <w:color w:val="000000"/>
        </w:rPr>
        <w:t>    </w:t>
      </w:r>
      <w:r>
        <w:rPr>
          <w:rFonts w:ascii="Times New Roman;sans-serif" w:hAnsi="Times New Roman;sans-serif"/>
          <w:b w:val="false"/>
          <w:color w:val="000000"/>
          <w:sz w:val="20"/>
        </w:rPr>
        <w:t xml:space="preserve">Date: </w:t>
      </w:r>
      <w:r>
        <w:rPr>
          <w:color w:val="000000"/>
          <w:u w:val="single"/>
        </w:rPr>
        <w:t>    </w:t>
      </w:r>
    </w:p>
    <w:p>
      <w:pPr>
        <w:pStyle w:val="TextBody"/>
        <w:bidi w:val="0"/>
        <w:spacing w:lineRule="auto" w:line="288" w:before="0" w:after="180"/>
        <w:jc w:val="both"/>
        <w:rPr/>
      </w:pPr>
      <w:r>
        <w:rPr>
          <w:rFonts w:ascii="Times New Roman;sans-serif" w:hAnsi="Times New Roman;sans-serif"/>
          <w:b w:val="false"/>
          <w:color w:val="000000"/>
          <w:sz w:val="20"/>
        </w:rPr>
        <w:t>Date:</w:t>
      </w:r>
      <w:r>
        <w:rPr>
          <w:color w:val="000000"/>
          <w:u w:val="single"/>
        </w:rPr>
        <w:t>    </w:t>
      </w:r>
    </w:p>
    <w:p>
      <w:pPr>
        <w:pStyle w:val="TextBody"/>
        <w:bidi w:val="0"/>
        <w:spacing w:lineRule="auto" w:line="288" w:before="0" w:after="180"/>
        <w:ind w:left="0" w:right="0" w:hanging="1710"/>
        <w:jc w:val="both"/>
        <w:rPr/>
      </w:pPr>
      <w:r>
        <w:rPr>
          <w:rFonts w:ascii="Times New Roman;sans-serif" w:hAnsi="Times New Roman;sans-serif"/>
          <w:b/>
          <w:color w:val="000000"/>
          <w:sz w:val="20"/>
        </w:rPr>
        <w:t>Attachments</w:t>
      </w:r>
      <w:r>
        <w:rPr>
          <w:rFonts w:ascii="Times New Roman;sans-serif" w:hAnsi="Times New Roman;sans-serif"/>
          <w:b w:val="false"/>
          <w:color w:val="000000"/>
          <w:sz w:val="20"/>
        </w:rPr>
        <w:t>:     RSU Award Agreement, 2023</w:t>
      </w:r>
      <w:r>
        <w:rPr>
          <w:color w:val="4F81BD"/>
        </w:rPr>
        <w:t xml:space="preserve"> </w:t>
      </w:r>
      <w:r>
        <w:rPr>
          <w:rFonts w:ascii="Times New Roman;sans-serif" w:hAnsi="Times New Roman;sans-serif"/>
          <w:b w:val="false"/>
          <w:color w:val="000000"/>
          <w:sz w:val="20"/>
        </w:rPr>
        <w:t>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color w:val="000000"/>
        </w:rPr>
      </w:pPr>
      <w:r>
        <w:rPr>
          <w:color w:val="000000"/>
        </w:rPr>
        <w:t>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MacroGenics, Inc.</w:t>
      </w:r>
    </w:p>
    <w:p>
      <w:pPr>
        <w:pStyle w:val="TextBody"/>
        <w:bidi w:val="0"/>
        <w:spacing w:lineRule="auto" w:line="240" w:before="0" w:after="240"/>
        <w:jc w:val="center"/>
        <w:rPr>
          <w:rFonts w:ascii="Times New Roman;sans-serif" w:hAnsi="Times New Roman;sans-serif"/>
          <w:b/>
          <w:color w:val="000000"/>
          <w:sz w:val="28"/>
        </w:rPr>
      </w:pPr>
      <w:r>
        <w:rPr>
          <w:rFonts w:ascii="Times New Roman;sans-serif" w:hAnsi="Times New Roman;sans-serif"/>
          <w:b/>
          <w:color w:val="000000"/>
          <w:sz w:val="28"/>
        </w:rPr>
        <w:t>2023 Equity Incentive Plan</w: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Award Agreement (RSU Award)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As reflected by your Restricted Stock Unit Grant Notice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MacroGenics,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a RSU Award under its 2023 Equity Incentive Plan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for the number of restricted stock units as indicated in your Grant Notice (the “</w:t>
      </w:r>
      <w:r>
        <w:rPr>
          <w:rFonts w:ascii="Times New Roman;sans-serif" w:hAnsi="Times New Roman;sans-serif"/>
          <w:b/>
          <w:i/>
          <w:color w:val="000000"/>
          <w:sz w:val="24"/>
        </w:rPr>
        <w:t>RSU Award</w:t>
      </w:r>
      <w:r>
        <w:rPr>
          <w:color w:val="000000"/>
        </w:rPr>
        <w:t>”</w:t>
      </w:r>
      <w:r>
        <w:rPr>
          <w:rFonts w:ascii="Times New Roman;sans-serif" w:hAnsi="Times New Roman;sans-serif"/>
          <w:b w:val="false"/>
          <w:color w:val="000000"/>
          <w:sz w:val="24"/>
        </w:rPr>
        <w:t>). The terms of your RSU Award as specified in this Award Agreement for your RSU Award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and the Grant Notice constitute your “</w:t>
      </w:r>
      <w:r>
        <w:rPr>
          <w:rFonts w:ascii="Times New Roman;sans-serif" w:hAnsi="Times New Roman;sans-serif"/>
          <w:b/>
          <w:i/>
          <w:color w:val="000000"/>
          <w:sz w:val="24"/>
        </w:rPr>
        <w:t>RSU Award Agreement</w:t>
      </w:r>
      <w:r>
        <w:rPr>
          <w:color w:val="000000"/>
        </w:rPr>
        <w:t>”</w:t>
      </w:r>
      <w:r>
        <w:rPr>
          <w:rFonts w:ascii="Times New Roman;sans-serif" w:hAnsi="Times New Roman;sans-serif"/>
          <w:b w:val="false"/>
          <w:color w:val="000000"/>
          <w:sz w:val="24"/>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general terms applicable to your RSU Award are as follows:</w:t>
      </w:r>
    </w:p>
    <w:p>
      <w:pPr>
        <w:pStyle w:val="TextBody"/>
        <w:bidi w:val="0"/>
        <w:spacing w:lineRule="auto" w:line="240" w:before="0" w:after="240"/>
        <w:ind w:left="0" w:right="0" w:firstLine="720"/>
        <w:jc w:val="both"/>
        <w:rPr/>
      </w:pPr>
      <w:r>
        <w:rPr>
          <w:rFonts w:ascii="Times New Roman;sans-serif" w:hAnsi="Times New Roman;sans-serif"/>
          <w:b/>
          <w:color w:val="000000"/>
          <w:sz w:val="24"/>
        </w:rPr>
        <w:t>1.    Governing Plan Document.</w:t>
      </w:r>
      <w:r>
        <w:rPr>
          <w:color w:val="000000"/>
        </w:rPr>
        <w:t xml:space="preserve"> </w:t>
      </w:r>
      <w:r>
        <w:rPr>
          <w:rFonts w:ascii="Times New Roman;sans-serif" w:hAnsi="Times New Roman;sans-serif"/>
          <w:b w:val="false"/>
          <w:color w:val="000000"/>
          <w:sz w:val="24"/>
        </w:rPr>
        <w:t xml:space="preserve">Your RSU Award is subject to all the provisions of the Plan, including but not limited to the provisions in: </w:t>
      </w:r>
    </w:p>
    <w:p>
      <w:pPr>
        <w:pStyle w:val="TextBody"/>
        <w:bidi w:val="0"/>
        <w:spacing w:lineRule="auto" w:line="240" w:before="0" w:after="24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Section 6 of the Plan regarding the impact of a Capitalization Adjustment, dissolution, liquidation, or Corporate Transaction on your RSU Award;</w:t>
      </w:r>
    </w:p>
    <w:p>
      <w:pPr>
        <w:pStyle w:val="TextBody"/>
        <w:bidi w:val="0"/>
        <w:spacing w:lineRule="auto" w:line="240" w:before="0" w:after="24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 xml:space="preserve">Section 9(e) of the Plan regarding the Company’s retained rights to terminate your Continuous Service notwithstanding the grant of the RSU Award; and </w:t>
      </w:r>
    </w:p>
    <w:p>
      <w:pPr>
        <w:pStyle w:val="TextBody"/>
        <w:bidi w:val="0"/>
        <w:spacing w:lineRule="auto" w:line="240" w:before="0" w:after="24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 xml:space="preserve">Section 8(c) of the Plan regarding the tax consequences of your RSU Award.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2.    Grant of the RSU Award. </w:t>
      </w:r>
      <w:r>
        <w:rPr>
          <w:rFonts w:ascii="Times New Roman;sans-serif" w:hAnsi="Times New Roman;sans-serif"/>
          <w:b w:val="false"/>
          <w:color w:val="000000"/>
          <w:sz w:val="24"/>
        </w:rPr>
        <w:t>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sans-serif" w:hAnsi="Times New Roman;sans-serif"/>
          <w:b/>
          <w:i/>
          <w:color w:val="000000"/>
          <w:sz w:val="24"/>
        </w:rPr>
        <w:t>Restricted Stock Units</w:t>
      </w:r>
      <w:r>
        <w:rPr>
          <w:color w:val="000000"/>
        </w:rPr>
        <w:t>”</w:t>
      </w:r>
      <w:r>
        <w:rPr>
          <w:rFonts w:ascii="Times New Roman;sans-serif" w:hAnsi="Times New Roman;sans-serif"/>
          <w:b w:val="false"/>
          <w:color w:val="000000"/>
          <w:sz w:val="24"/>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bidi w:val="0"/>
        <w:spacing w:lineRule="auto" w:line="240" w:before="0" w:after="240"/>
        <w:ind w:left="0" w:right="0" w:firstLine="720"/>
        <w:jc w:val="both"/>
        <w:rPr/>
      </w:pPr>
      <w:r>
        <w:rPr>
          <w:rFonts w:ascii="Times New Roman;sans-serif" w:hAnsi="Times New Roman;sans-serif"/>
          <w:b/>
          <w:color w:val="000000"/>
          <w:sz w:val="24"/>
        </w:rPr>
        <w:t>3.    Vesting.</w:t>
      </w:r>
      <w:r>
        <w:rPr>
          <w:color w:val="000000"/>
        </w:rPr>
        <w:t xml:space="preserve"> </w:t>
      </w:r>
      <w:r>
        <w:rPr>
          <w:rFonts w:ascii="Times New Roman;sans-serif" w:hAnsi="Times New Roman;sans-serif"/>
          <w:b w:val="false"/>
          <w:color w:val="000000"/>
          <w:sz w:val="24"/>
        </w:rPr>
        <w:t xml:space="preserve">Your Restricted Stock Units will vest, if at all, in accordance with the vesting schedule provided in the Grant Notice, subject to the provisions contained herein and the terms of the Plan. Vesting will cease upon the termination of your Continuous Service.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4.    Dividends.  </w:t>
      </w:r>
      <w:r>
        <w:rPr>
          <w:rFonts w:ascii="Times New Roman;sans-serif" w:hAnsi="Times New Roman;sans-serif"/>
          <w:b w:val="false"/>
          <w:color w:val="000000"/>
          <w:sz w:val="24"/>
        </w:rPr>
        <w:t xml:space="preserve">You may become entitled to receive payments equal to any cash dividends and other distributions paid with respect to a 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extent any such dividends or distributions are paid in shares of Common Stock, then you will automatically be granted a corresponding number of additional Restricted Stock Units subject to the RSU Award (the “</w:t>
      </w:r>
      <w:r>
        <w:rPr>
          <w:rFonts w:ascii="Times New Roman;sans-serif" w:hAnsi="Times New Roman;sans-serif"/>
          <w:b/>
          <w:i/>
          <w:color w:val="000000"/>
          <w:sz w:val="24"/>
        </w:rPr>
        <w:t>Dividend Units</w:t>
      </w:r>
      <w:r>
        <w:rPr>
          <w:color w:val="000000"/>
        </w:rPr>
        <w:t>”</w:t>
      </w:r>
      <w:r>
        <w:rPr>
          <w:rFonts w:ascii="Times New Roman;sans-serif" w:hAnsi="Times New Roman;sans-serif"/>
          <w:b w:val="false"/>
          <w:color w:val="000000"/>
          <w:sz w:val="24"/>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5.    Withholding Obligations. </w:t>
      </w:r>
      <w:r>
        <w:rPr>
          <w:rFonts w:ascii="Times New Roman;sans-serif" w:hAnsi="Times New Roman;sans-serif"/>
          <w:b w:val="false"/>
          <w:color w:val="000000"/>
          <w:sz w:val="24"/>
        </w:rPr>
        <w:t>As further provided in Section 8 of the Plan, you hereby authorize 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Times New Roman;sans-serif" w:hAnsi="Times New Roman;sans-serif"/>
          <w:b/>
          <w:i/>
          <w:color w:val="000000"/>
          <w:sz w:val="24"/>
        </w:rPr>
        <w:t>Withholding Obligation</w:t>
      </w:r>
      <w:r>
        <w:rPr>
          <w:color w:val="000000"/>
        </w:rPr>
        <w:t>”</w:t>
      </w:r>
      <w:r>
        <w:rPr>
          <w:rFonts w:ascii="Times New Roman;sans-serif" w:hAnsi="Times New Roman;sans-serif"/>
          <w:b w:val="false"/>
          <w:color w:val="000000"/>
          <w:sz w:val="24"/>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pStyle w:val="TextBody"/>
        <w:bidi w:val="0"/>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 xml:space="preserve">6.    Date of Issuance. </w:t>
      </w:r>
    </w:p>
    <w:p>
      <w:pPr>
        <w:pStyle w:val="TextBody"/>
        <w:bidi w:val="0"/>
        <w:spacing w:lineRule="auto" w:line="240" w:before="0" w:after="24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 xml:space="preserve">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 </w:t>
      </w:r>
    </w:p>
    <w:p>
      <w:pPr>
        <w:pStyle w:val="TextBody"/>
        <w:bidi w:val="0"/>
        <w:spacing w:lineRule="auto" w:line="240" w:before="0" w:after="24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In addition, the following provisions shall apply to the extent applicable at a vesting date when shares of Common Stock are registered under the Securities Act, unless otherwise determined by the Company. If:</w:t>
      </w:r>
    </w:p>
    <w:p>
      <w:pPr>
        <w:pStyle w:val="TextBody"/>
        <w:bidi w:val="0"/>
        <w:spacing w:lineRule="auto" w:line="240" w:before="0" w:after="240"/>
        <w:ind w:left="0" w:right="0" w:firstLine="2160"/>
        <w:jc w:val="both"/>
        <w:rPr/>
      </w:pPr>
      <w:r>
        <w:rPr>
          <w:rFonts w:ascii="Times New Roman;sans-serif" w:hAnsi="Times New Roman;sans-serif"/>
          <w:b/>
          <w:color w:val="000000"/>
          <w:sz w:val="24"/>
        </w:rPr>
        <w:t>(i)    </w:t>
      </w:r>
      <w:r>
        <w:rPr>
          <w:rFonts w:ascii="Times New Roman;sans-serif" w:hAnsi="Times New Roman;sans-serif"/>
          <w:b w:val="false"/>
          <w:color w:val="000000"/>
          <w:sz w:val="24"/>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ans-serif" w:hAnsi="Times New Roman;sans-serif"/>
          <w:b/>
          <w:i/>
          <w:color w:val="000000"/>
          <w:sz w:val="24"/>
        </w:rPr>
        <w:t>10b5-1 Arrangement</w:t>
      </w:r>
      <w:r>
        <w:rPr>
          <w:color w:val="000000"/>
        </w:rPr>
        <w:t>”</w:t>
      </w:r>
      <w:r>
        <w:rPr>
          <w:rFonts w:ascii="Times New Roman;sans-serif" w:hAnsi="Times New Roman;sans-serif"/>
          <w:b w:val="false"/>
          <w:color w:val="000000"/>
          <w:sz w:val="24"/>
        </w:rPr>
        <w:t xml:space="preserve">) or under such other policy expressly approved by the Company), </w:t>
      </w:r>
      <w:r>
        <w:rPr>
          <w:rFonts w:ascii="Times New Roman;sans-serif" w:hAnsi="Times New Roman;sans-serif"/>
          <w:b w:val="false"/>
          <w:i/>
          <w:color w:val="000000"/>
          <w:sz w:val="24"/>
        </w:rPr>
        <w:t>and</w:t>
      </w:r>
      <w:r>
        <w:rPr>
          <w:color w:val="000000"/>
        </w:rPr>
        <w:t xml:space="preserve"> </w:t>
      </w:r>
    </w:p>
    <w:p>
      <w:pPr>
        <w:pStyle w:val="TextBody"/>
        <w:bidi w:val="0"/>
        <w:spacing w:lineRule="auto" w:line="240" w:before="0" w:after="240"/>
        <w:ind w:left="0" w:right="0" w:firstLine="2160"/>
        <w:jc w:val="both"/>
        <w:rPr/>
      </w:pPr>
      <w:r>
        <w:rPr>
          <w:rFonts w:ascii="Times New Roman;sans-serif" w:hAnsi="Times New Roman;sans-serif"/>
          <w:b/>
          <w:color w:val="000000"/>
          <w:sz w:val="24"/>
        </w:rPr>
        <w:t>(ii)    </w:t>
      </w:r>
      <w:r>
        <w:rPr>
          <w:rFonts w:ascii="Times New Roman;sans-serif" w:hAnsi="Times New Roman;sans-serif"/>
          <w:b w:val="false"/>
          <w:color w:val="000000"/>
          <w:sz w:val="24"/>
        </w:rPr>
        <w:t xml:space="preserve">either (1) a Withholding Obligation does not apply, or (2) the Company decides, prior to the applicable vest date, (A) not to satisfy the Withholding Obligation by withholding shares of Common Stock from the shares otherwise due to you under this RSU Award, and (B) not to permit you to enter into a “same day sale” commitment with a broker-dealer (including but not limited to a commitment under a 10b5-1 Arrangement) and (C) not to permit you to pay your Withholding Obligation in cash, </w:t>
      </w:r>
    </w:p>
    <w:p>
      <w:pPr>
        <w:pStyle w:val="TextBody"/>
        <w:bidi w:val="0"/>
        <w:spacing w:lineRule="auto" w:line="240" w:before="0" w:after="240"/>
        <w:jc w:val="both"/>
        <w:rPr/>
      </w:pPr>
      <w:r>
        <w:rPr>
          <w:rFonts w:ascii="Times New Roman;sans-serif" w:hAnsi="Times New Roman;sans-serif"/>
          <w:b w:val="false"/>
          <w:color w:val="000000"/>
          <w:sz w:val="24"/>
          <w:u w:val="single"/>
        </w:rPr>
        <w:t>then</w:t>
      </w:r>
      <w:r>
        <w:rPr>
          <w:color w:val="000000"/>
        </w:rPr>
        <w:t xml:space="preserve"> </w:t>
      </w:r>
      <w:r>
        <w:rPr>
          <w:rFonts w:ascii="Times New Roman;sans-serif" w:hAnsi="Times New Roman;sans-serif"/>
          <w:b w:val="false"/>
          <w:color w:val="000000"/>
          <w:sz w:val="24"/>
        </w:rPr>
        <w:t xml:space="preserve">the shares that would otherwise be issued to you on the applicable vest date will not be delivered on such applicable vest date and will instead be delivered on the first business day when you are not prohibited from selling shares of the Company’s Common Stock in the open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4"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public market or on such other date determined by the Company, but in no event later than the Issuance Deadline.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w:t>
      </w:r>
      <w:r>
        <w:rPr>
          <w:rFonts w:ascii="Times New Roman;sans-serif" w:hAnsi="Times New Roman;sans-serif"/>
          <w:b/>
          <w:i/>
          <w:color w:val="000000"/>
          <w:sz w:val="24"/>
        </w:rPr>
        <w:t>Issuance Deadline</w:t>
      </w:r>
      <w:r>
        <w:rPr>
          <w:color w:val="000000"/>
        </w:rPr>
        <w:t xml:space="preserve">” </w:t>
      </w:r>
      <w:r>
        <w:rPr>
          <w:rFonts w:ascii="Times New Roman;sans-serif" w:hAnsi="Times New Roman;sans-serif"/>
          <w:b w:val="false"/>
          <w:color w:val="000000"/>
          <w:sz w:val="24"/>
        </w:rPr>
        <w:t xml:space="preserve">means (a) December 31 of the calendar year in which the applicable vest date occurs (that is, the last day of your taxable year in which the applicable vest date occurs), or (b) </w:t>
      </w:r>
      <w:r>
        <w:rPr>
          <w:rFonts w:ascii="Times New Roman;sans-serif" w:hAnsi="Times New Roman;sans-serif"/>
          <w:b w:val="false"/>
          <w:color w:val="000000"/>
          <w:sz w:val="24"/>
          <w:u w:val="single"/>
        </w:rPr>
        <w:t>if and only if</w:t>
      </w:r>
      <w:r>
        <w:rPr>
          <w:color w:val="000000"/>
        </w:rPr>
        <w:t xml:space="preserve"> </w:t>
      </w:r>
      <w:r>
        <w:rPr>
          <w:rFonts w:ascii="Times New Roman;sans-serif" w:hAnsi="Times New Roman;sans-serif"/>
          <w:b w:val="false"/>
          <w:color w:val="000000"/>
          <w:sz w:val="24"/>
        </w:rPr>
        <w:t>permitted in a manner that complies with Treasury Regulations Section 1.409A-1(b)(4), no later than the date that is the 15th day of the third calendar month of the applicable year following the year in which the shares of Common Stock issuable as a result of the applicable vest date under this RSU Award are no longer subject to a “substantial risk of forfeiture” within the meaning of Treasury Regulations Section 1.409A-1(d).</w:t>
      </w:r>
    </w:p>
    <w:p>
      <w:pPr>
        <w:pStyle w:val="TextBody"/>
        <w:bidi w:val="0"/>
        <w:spacing w:lineRule="auto" w:line="240" w:before="0" w:after="24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To the extent the RSU Award is a Non-Exempt Award, the provisions of Section 11 of the Plan shall apply.</w:t>
      </w:r>
    </w:p>
    <w:p>
      <w:pPr>
        <w:pStyle w:val="TextBody"/>
        <w:bidi w:val="0"/>
        <w:spacing w:lineRule="auto" w:line="240" w:before="0" w:after="240"/>
        <w:ind w:left="0" w:right="0" w:firstLine="720"/>
        <w:jc w:val="both"/>
        <w:rPr/>
      </w:pPr>
      <w:r>
        <w:rPr>
          <w:rFonts w:ascii="Times New Roman;sans-serif" w:hAnsi="Times New Roman;sans-serif"/>
          <w:b/>
          <w:color w:val="000000"/>
          <w:sz w:val="24"/>
        </w:rPr>
        <w:t>7.    Transferability.</w:t>
      </w:r>
      <w:r>
        <w:rPr>
          <w:color w:val="000000"/>
        </w:rPr>
        <w:t xml:space="preserve"> </w:t>
      </w:r>
      <w:r>
        <w:rPr>
          <w:rFonts w:ascii="Times New Roman;sans-serif" w:hAnsi="Times New Roman;sans-serif"/>
          <w:b w:val="false"/>
          <w:color w:val="000000"/>
          <w:sz w:val="24"/>
        </w:rPr>
        <w:t xml:space="preserve">Except as otherwise provided in the Plan, your RSU Award is not transferable, except by will or by the applicable laws of descent and distribution. </w:t>
      </w:r>
    </w:p>
    <w:p>
      <w:pPr>
        <w:pStyle w:val="TextBody"/>
        <w:bidi w:val="0"/>
        <w:spacing w:lineRule="auto" w:line="240" w:before="0" w:after="240"/>
        <w:ind w:left="0" w:right="0" w:firstLine="720"/>
        <w:jc w:val="both"/>
        <w:rPr/>
      </w:pPr>
      <w:r>
        <w:rPr>
          <w:rFonts w:ascii="Times New Roman;sans-serif" w:hAnsi="Times New Roman;sans-serif"/>
          <w:b/>
          <w:color w:val="000000"/>
          <w:sz w:val="24"/>
        </w:rPr>
        <w:t>8.    Corporate Transaction.</w:t>
      </w:r>
      <w:r>
        <w:rPr>
          <w:color w:val="000000"/>
        </w:rPr>
        <w:t xml:space="preserve"> </w:t>
      </w:r>
      <w:r>
        <w:rPr>
          <w:rFonts w:ascii="Times New Roman;sans-serif" w:hAnsi="Times New Roman;sans-serif"/>
          <w:b w:val="false"/>
          <w:color w:val="000000"/>
          <w:sz w:val="24"/>
        </w:rPr>
        <w:t>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9.    No Liability for Taxes</w:t>
      </w:r>
      <w:r>
        <w:rPr>
          <w:rFonts w:ascii="Times New Roman;sans-serif" w:hAnsi="Times New Roman;sans-serif"/>
          <w:b w:val="false"/>
          <w:color w:val="000000"/>
          <w:sz w:val="24"/>
        </w:rPr>
        <w:t>.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spacing w:lineRule="auto" w:line="240" w:before="0" w:after="240"/>
        <w:ind w:left="0" w:right="0" w:firstLine="720"/>
        <w:jc w:val="both"/>
        <w:rPr/>
      </w:pPr>
      <w:r>
        <w:rPr>
          <w:rFonts w:ascii="Times New Roman;sans-serif" w:hAnsi="Times New Roman;sans-serif"/>
          <w:b/>
          <w:color w:val="000000"/>
          <w:sz w:val="24"/>
        </w:rPr>
        <w:t>10.    Severability</w:t>
      </w:r>
      <w:r>
        <w:rPr>
          <w:rFonts w:ascii="Times New Roman;sans-serif" w:hAnsi="Times New Roman;sans-serif"/>
          <w:b w:val="false"/>
          <w:color w:val="000000"/>
          <w:sz w:val="24"/>
        </w:rPr>
        <w:t>.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both"/>
        <w:rPr/>
      </w:pPr>
      <w:r>
        <w:rPr>
          <w:rFonts w:ascii="Times New Roman;sans-serif" w:hAnsi="Times New Roman;sans-serif"/>
          <w:b/>
          <w:color w:val="000000"/>
          <w:sz w:val="24"/>
        </w:rPr>
        <w:t>11.    Other Documents.</w:t>
      </w:r>
      <w:r>
        <w:rPr>
          <w:color w:val="000000"/>
        </w:rPr>
        <w:t>  </w:t>
      </w:r>
      <w:r>
        <w:rPr>
          <w:rFonts w:ascii="Times New Roman;sans-serif" w:hAnsi="Times New Roman;sans-serif"/>
          <w:b w:val="false"/>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12.    Questions. </w:t>
      </w:r>
      <w:r>
        <w:rPr>
          <w:rFonts w:ascii="Times New Roman;sans-serif" w:hAnsi="Times New Roman;sans-serif"/>
          <w:b w:val="false"/>
          <w:color w:val="000000"/>
          <w:sz w:val="24"/>
        </w:rPr>
        <w:t>If you have questions regarding these or any other terms and conditions applicable to your RSU Award, including a summary of the applicable federal income tax consequences please see the Prospectus.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10.10</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5"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MacroGenics, Inc.</w:t>
        <w:br/>
        <w:t>Stock Option Grant Notice</w:t>
        <w:br/>
        <w:t>(2023 Equity Incentive Plan)</w:t>
      </w:r>
    </w:p>
    <w:p>
      <w:pPr>
        <w:pStyle w:val="TextBody"/>
        <w:bidi w:val="0"/>
        <w:spacing w:lineRule="auto" w:line="240" w:before="0" w:after="120"/>
        <w:jc w:val="both"/>
        <w:rPr/>
      </w:pPr>
      <w:r>
        <w:rPr>
          <w:rFonts w:ascii="Times New Roman;sans-serif" w:hAnsi="Times New Roman;sans-serif"/>
          <w:b w:val="false"/>
          <w:color w:val="000000"/>
          <w:sz w:val="22"/>
        </w:rPr>
        <w:t>MacroGenics,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pursuant to its 2023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has granted to you (“</w:t>
      </w:r>
      <w:r>
        <w:rPr>
          <w:rFonts w:ascii="Times New Roman;sans-serif" w:hAnsi="Times New Roman;sans-serif"/>
          <w:b/>
          <w:i/>
          <w:color w:val="000000"/>
          <w:sz w:val="22"/>
        </w:rPr>
        <w:t>Optionholder</w:t>
      </w:r>
      <w:r>
        <w:rPr>
          <w:color w:val="000000"/>
        </w:rPr>
        <w:t>”</w:t>
      </w:r>
      <w:r>
        <w:rPr>
          <w:rFonts w:ascii="Times New Roman;sans-serif" w:hAnsi="Times New Roman;sans-serif"/>
          <w:b w:val="false"/>
          <w:color w:val="000000"/>
          <w:sz w:val="22"/>
        </w:rPr>
        <w:t>) an option to purchase the number of shares of the Common Stock set forth below (the “</w:t>
      </w:r>
      <w:r>
        <w:rPr>
          <w:rFonts w:ascii="Times New Roman;sans-serif" w:hAnsi="Times New Roman;sans-serif"/>
          <w:b/>
          <w:i/>
          <w:color w:val="000000"/>
          <w:sz w:val="22"/>
        </w:rPr>
        <w:t>Option</w:t>
      </w:r>
      <w:r>
        <w:rPr>
          <w:color w:val="000000"/>
        </w:rPr>
        <w:t>”</w:t>
      </w:r>
      <w:r>
        <w:rPr>
          <w:rFonts w:ascii="Times New Roman;sans-serif" w:hAnsi="Times New Roman;sans-serif"/>
          <w:b w:val="false"/>
          <w:color w:val="000000"/>
          <w:sz w:val="22"/>
        </w:rPr>
        <w:t>). Your Option is subject to all of the terms and conditions as set forth herein and in the Plan and the Stock Option Agreement,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pStyle w:val="TextBody"/>
        <w:bidi w:val="0"/>
        <w:spacing w:before="0" w:after="120"/>
        <w:jc w:val="both"/>
        <w:rPr/>
      </w:pPr>
      <w:r>
        <w:rPr/>
      </w:r>
    </w:p>
    <w:tbl>
      <w:tblPr>
        <w:tblW w:w="5712" w:type="dxa"/>
        <w:jc w:val="left"/>
        <w:tblInd w:w="0" w:type="dxa"/>
        <w:tblLayout w:type="fixed"/>
        <w:tblCellMar>
          <w:top w:w="28" w:type="dxa"/>
          <w:left w:w="28" w:type="dxa"/>
          <w:bottom w:w="28" w:type="dxa"/>
          <w:right w:w="28" w:type="dxa"/>
        </w:tblCellMar>
      </w:tblPr>
      <w:tblGrid>
        <w:gridCol w:w="1936"/>
        <w:gridCol w:w="1700"/>
        <w:gridCol w:w="1704"/>
        <w:gridCol w:w="109"/>
        <w:gridCol w:w="109"/>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61"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Optionholder:</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61"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Date of Grant:</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61"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Exercise Price per Share:</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61"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Number of Shares of Common Stock Subject to Option:</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61"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Type of Option:</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61"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Expiration Date:</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61"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Vesting Schedule*:</w:t>
            </w:r>
          </w:p>
        </w:tc>
        <w:tc>
          <w:tcPr>
            <w:tcW w:w="372" w:type="dxa"/>
            <w:gridSpan w:val="3"/>
            <w:tcBorders/>
            <w:tcMar>
              <w:top w:w="0" w:type="dxa"/>
              <w:left w:w="0" w:type="dxa"/>
              <w:bottom w:w="0" w:type="dxa"/>
              <w:right w:w="0" w:type="dxa"/>
            </w:tcMar>
            <w:vAlign w:val="center"/>
          </w:tcPr>
          <w:p>
            <w:pPr>
              <w:pStyle w:val="TableContents"/>
              <w:bidi w:val="0"/>
              <w:spacing w:before="0" w:after="240"/>
              <w:jc w:val="both"/>
              <w:rPr/>
            </w:pPr>
            <w:r>
              <w:rPr/>
            </w:r>
          </w:p>
        </w:tc>
      </w:tr>
    </w:tbl>
    <w:p>
      <w:pPr>
        <w:pStyle w:val="TextBody"/>
        <w:bidi w:val="0"/>
        <w:spacing w:before="0" w:after="240"/>
        <w:jc w:val="both"/>
        <w:rPr/>
      </w:pPr>
      <w:r>
        <w:rPr/>
      </w:r>
    </w:p>
    <w:p>
      <w:pPr>
        <w:pStyle w:val="TextBody"/>
        <w:bidi w:val="0"/>
        <w:spacing w:lineRule="auto" w:line="240" w:before="0" w:after="200"/>
        <w:ind w:left="0" w:right="0" w:hanging="1800"/>
        <w:jc w:val="both"/>
        <w:rPr/>
      </w:pP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Subject to the Optionholder’s Continuous Service through each applicable vesting date. </w:t>
      </w:r>
    </w:p>
    <w:p>
      <w:pPr>
        <w:pStyle w:val="TextBody"/>
        <w:bidi w:val="0"/>
        <w:spacing w:lineRule="auto" w:line="240" w:before="120" w:after="120"/>
        <w:jc w:val="both"/>
        <w:rPr/>
      </w:pPr>
      <w:r>
        <w:rPr>
          <w:rFonts w:ascii="Times New Roman;sans-serif" w:hAnsi="Times New Roman;sans-serif"/>
          <w:b/>
          <w:color w:val="000000"/>
          <w:sz w:val="22"/>
        </w:rPr>
        <w:t>Optionholder Acknowledgements:</w:t>
      </w:r>
      <w:r>
        <w:rPr>
          <w:color w:val="000000"/>
        </w:rPr>
        <w:t xml:space="preserve"> </w:t>
      </w:r>
      <w:r>
        <w:rPr>
          <w:rFonts w:ascii="Times New Roman;sans-serif" w:hAnsi="Times New Roman;sans-serif"/>
          <w:b w:val="false"/>
          <w:color w:val="000000"/>
          <w:sz w:val="22"/>
        </w:rPr>
        <w:t>By your signature below or by electronic acceptance or authentication in a form authorized by the Company, you understand and agree that:</w:t>
      </w:r>
    </w:p>
    <w:p>
      <w:pPr>
        <w:pStyle w:val="TextBody"/>
        <w:bidi w:val="0"/>
        <w:spacing w:lineRule="auto" w:line="240" w:before="120" w:after="120"/>
        <w:ind w:left="0" w:right="0" w:hanging="720"/>
        <w:jc w:val="both"/>
        <w:rPr/>
      </w:pPr>
      <w:r>
        <w:rPr>
          <w:color w:val="000000"/>
        </w:rPr>
        <w:t>•</w:t>
      </w:r>
      <w:r>
        <w:rPr>
          <w:rFonts w:ascii="Times New Roman;sans-serif" w:hAnsi="Times New Roman;sans-serif"/>
          <w:b w:val="false"/>
          <w:color w:val="000000"/>
          <w:sz w:val="22"/>
        </w:rPr>
        <w:t>The Option is governed by this Stock Option Grant Notice, and the provisions of the Plan and the Stock Option Agreement, all of which are made a part of this document. Unless otherwise provided in the Plan, this Grant Notice and the Stock Option Agreement (together, the “</w:t>
      </w:r>
      <w:r>
        <w:rPr>
          <w:rFonts w:ascii="Times New Roman;sans-serif" w:hAnsi="Times New Roman;sans-serif"/>
          <w:b/>
          <w:i/>
          <w:color w:val="000000"/>
          <w:sz w:val="22"/>
        </w:rPr>
        <w:t>Option Agreement</w:t>
      </w:r>
      <w:r>
        <w:rPr>
          <w:color w:val="000000"/>
        </w:rPr>
        <w:t>”</w:t>
      </w:r>
      <w:r>
        <w:rPr>
          <w:rFonts w:ascii="Times New Roman;sans-serif" w:hAnsi="Times New Roman;sans-serif"/>
          <w:b w:val="false"/>
          <w:color w:val="000000"/>
          <w:sz w:val="22"/>
        </w:rPr>
        <w:t xml:space="preserve">) may not be modified, amended or revised except in a writing signed by you and a duly authorized officer of the Company. </w:t>
      </w:r>
    </w:p>
    <w:p>
      <w:pPr>
        <w:pStyle w:val="TextBody"/>
        <w:bidi w:val="0"/>
        <w:spacing w:lineRule="auto" w:line="240" w:before="120" w:after="120"/>
        <w:ind w:left="0" w:right="0" w:hanging="720"/>
        <w:jc w:val="both"/>
        <w:rPr/>
      </w:pPr>
      <w:r>
        <w:rPr>
          <w:color w:val="000000"/>
        </w:rPr>
        <w:t>•</w:t>
      </w:r>
      <w:r>
        <w:rPr>
          <w:rFonts w:ascii="Times New Roman;sans-serif" w:hAnsi="Times New Roman;sans-serif"/>
          <w:b w:val="false"/>
          <w:color w:val="000000"/>
          <w:sz w:val="22"/>
        </w:rPr>
        <w:t xml:space="preserve">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 </w:t>
      </w:r>
    </w:p>
    <w:p>
      <w:pPr>
        <w:pStyle w:val="TextBody"/>
        <w:bidi w:val="0"/>
        <w:spacing w:lineRule="auto" w:line="240" w:before="120" w:after="120"/>
        <w:ind w:left="0" w:right="0" w:hanging="720"/>
        <w:jc w:val="both"/>
        <w:rPr/>
      </w:pPr>
      <w:r>
        <w:rPr>
          <w:color w:val="000000"/>
        </w:rPr>
        <w:t>•</w:t>
      </w:r>
      <w:r>
        <w:rPr>
          <w:rFonts w:ascii="Times New Roman;sans-serif" w:hAnsi="Times New Roman;sans-serif"/>
          <w:b w:val="false"/>
          <w:color w:val="000000"/>
          <w:sz w:val="22"/>
        </w:rPr>
        <w:t xml:space="preserve">You have read and are familiar with the provisions of the Plan, the Stock Option Agreement, and the Prospectus. In the event of any conflict between the provisions in this Grant Notice, the Option Agreement, or the Prospectus and the terms of the Plan, the terms of the Plan shall control. </w:t>
      </w:r>
    </w:p>
    <w:p>
      <w:pPr>
        <w:pStyle w:val="TextBody"/>
        <w:bidi w:val="0"/>
        <w:spacing w:lineRule="auto" w:line="240" w:before="120" w:after="120"/>
        <w:ind w:left="0" w:right="0" w:hanging="720"/>
        <w:jc w:val="both"/>
        <w:rPr/>
      </w:pPr>
      <w:r>
        <w:rPr>
          <w:color w:val="000000"/>
        </w:rPr>
        <w:t>•</w:t>
      </w:r>
      <w:r>
        <w:rPr>
          <w:rFonts w:ascii="Times New Roman;sans-serif" w:hAnsi="Times New Roman;sans-serif"/>
          <w:b w:val="false"/>
          <w:color w:val="000000"/>
          <w:sz w:val="22"/>
        </w:rPr>
        <w:t xml:space="preserve">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between the Company and you in each case that specifies the terms that should govern this Option. </w:t>
      </w:r>
    </w:p>
    <w:p>
      <w:pPr>
        <w:pStyle w:val="TextBody"/>
        <w:bidi w:val="0"/>
        <w:spacing w:lineRule="auto" w:line="240" w:before="120" w:after="120"/>
        <w:ind w:left="0" w:right="0" w:hanging="720"/>
        <w:jc w:val="both"/>
        <w:rPr/>
      </w:pPr>
      <w:r>
        <w:rPr>
          <w:color w:val="000000"/>
        </w:rPr>
        <w:t>•</w:t>
      </w:r>
      <w:r>
        <w:rPr>
          <w:rFonts w:ascii="Times New Roman;sans-serif" w:hAnsi="Times New Roman;sans-serif"/>
          <w:b w:val="false"/>
          <w:color w:val="000000"/>
          <w:sz w:val="22"/>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spacing w:lineRule="auto" w:line="240" w:before="0" w:after="240"/>
        <w:jc w:val="both"/>
        <w:rPr>
          <w:color w:val="000000"/>
        </w:rPr>
      </w:pPr>
      <w:r>
        <w:rPr>
          <w:color w:val="000000"/>
        </w:rPr>
        <w:t>    </w:t>
      </w:r>
    </w:p>
    <w:tbl>
      <w:tblPr>
        <w:tblW w:w="3463" w:type="dxa"/>
        <w:jc w:val="left"/>
        <w:tblInd w:w="0" w:type="dxa"/>
        <w:tblLayout w:type="fixed"/>
        <w:tblCellMar>
          <w:top w:w="28" w:type="dxa"/>
          <w:left w:w="28" w:type="dxa"/>
          <w:bottom w:w="28" w:type="dxa"/>
          <w:right w:w="28" w:type="dxa"/>
        </w:tblCellMar>
      </w:tblPr>
      <w:tblGrid>
        <w:gridCol w:w="701"/>
        <w:gridCol w:w="616"/>
        <w:gridCol w:w="617"/>
        <w:gridCol w:w="447"/>
        <w:gridCol w:w="447"/>
        <w:gridCol w:w="635"/>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MacroGenics, Inc.</w:t>
            </w:r>
          </w:p>
          <w:p>
            <w:pPr>
              <w:pStyle w:val="TableContents"/>
              <w:bidi w:val="0"/>
              <w:spacing w:lineRule="auto" w:line="240" w:before="0" w:after="0"/>
              <w:jc w:val="both"/>
              <w:rPr/>
            </w:pPr>
            <w:r>
              <w:rPr>
                <w:rFonts w:ascii="Times New Roman;sans-serif" w:hAnsi="Times New Roman;sans-serif"/>
                <w:b w:val="false"/>
                <w:color w:val="000000"/>
                <w:sz w:val="22"/>
              </w:rPr>
              <w:t>By:</w:t>
            </w:r>
            <w:r>
              <w:rPr>
                <w:color w:val="000000"/>
                <w:u w:val="single"/>
              </w:rPr>
              <w:t>    </w:t>
            </w:r>
          </w:p>
          <w:p>
            <w:pPr>
              <w:pStyle w:val="TableContents"/>
              <w:bidi w:val="0"/>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ableContents"/>
              <w:bidi w:val="0"/>
              <w:spacing w:lineRule="auto" w:line="240" w:before="0" w:after="120"/>
              <w:jc w:val="both"/>
              <w:rPr/>
            </w:pPr>
            <w:r>
              <w:rPr>
                <w:rFonts w:ascii="Times New Roman;sans-serif" w:hAnsi="Times New Roman;sans-serif"/>
                <w:b w:val="false"/>
                <w:color w:val="000000"/>
                <w:sz w:val="22"/>
              </w:rPr>
              <w:t>Title:</w:t>
            </w:r>
            <w:r>
              <w:rPr>
                <w:color w:val="000000"/>
                <w:u w:val="single"/>
              </w:rPr>
              <w:t>    </w:t>
            </w:r>
          </w:p>
          <w:p>
            <w:pPr>
              <w:pStyle w:val="TableContents"/>
              <w:bidi w:val="0"/>
              <w:spacing w:lineRule="auto" w:line="240" w:before="0" w:after="240"/>
              <w:jc w:val="both"/>
              <w:rPr/>
            </w:pPr>
            <w:r>
              <w:rPr>
                <w:rFonts w:ascii="Times New Roman;sans-serif" w:hAnsi="Times New Roman;sans-serif"/>
                <w:b w:val="false"/>
                <w:color w:val="000000"/>
                <w:sz w:val="22"/>
              </w:rPr>
              <w:t>Date:</w:t>
            </w:r>
            <w:r>
              <w:rPr>
                <w:color w:val="000000"/>
                <w:u w:val="single"/>
              </w:rPr>
              <w:t>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Optionholder:</w:t>
            </w:r>
          </w:p>
          <w:p>
            <w:pPr>
              <w:pStyle w:val="TableContents"/>
              <w:bidi w:val="0"/>
              <w:spacing w:lineRule="auto" w:line="240" w:before="0" w:after="0"/>
              <w:jc w:val="both"/>
              <w:rPr>
                <w:color w:val="000000"/>
                <w:u w:val="single"/>
              </w:rPr>
            </w:pPr>
            <w:r>
              <w:rPr>
                <w:color w:val="000000"/>
                <w:u w:val="single"/>
              </w:rPr>
              <w:t>    </w:t>
            </w:r>
          </w:p>
          <w:p>
            <w:pPr>
              <w:pStyle w:val="TableContents"/>
              <w:bidi w:val="0"/>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ableContents"/>
              <w:bidi w:val="0"/>
              <w:spacing w:lineRule="auto" w:line="240" w:before="0" w:after="240"/>
              <w:jc w:val="both"/>
              <w:rPr/>
            </w:pPr>
            <w:r>
              <w:rPr>
                <w:rFonts w:ascii="Times New Roman;sans-serif" w:hAnsi="Times New Roman;sans-serif"/>
                <w:b w:val="false"/>
                <w:color w:val="000000"/>
                <w:sz w:val="22"/>
              </w:rPr>
              <w:t>Date:</w:t>
            </w:r>
            <w:r>
              <w:rPr>
                <w:color w:val="000000"/>
                <w:u w:val="single"/>
              </w:rPr>
              <w:t>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1710"/>
        <w:jc w:val="both"/>
        <w:rPr/>
      </w:pPr>
      <w:r>
        <w:rPr>
          <w:rFonts w:ascii="Times New Roman;sans-serif" w:hAnsi="Times New Roman;sans-serif"/>
          <w:b/>
          <w:color w:val="000000"/>
          <w:sz w:val="22"/>
        </w:rPr>
        <w:t>Attachments</w:t>
      </w:r>
      <w:r>
        <w:rPr>
          <w:rFonts w:ascii="Times New Roman;sans-serif" w:hAnsi="Times New Roman;sans-serif"/>
          <w:b w:val="false"/>
          <w:color w:val="000000"/>
          <w:sz w:val="22"/>
        </w:rPr>
        <w:t xml:space="preserve">: Stock Option Agreement and 2023 Equity Incentive Plan </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94995"/>
                <wp:effectExtent l="0" t="0" r="0" b="0"/>
                <wp:wrapNone/>
                <wp:docPr id="127" name="Frame12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Attachment I</w:t>
      </w:r>
    </w:p>
    <w:p>
      <w:pPr>
        <w:pStyle w:val="TextBody"/>
        <w:bidi w:val="0"/>
        <w:spacing w:lineRule="auto" w:line="240" w:before="0" w:after="480"/>
        <w:jc w:val="center"/>
        <w:rPr/>
      </w:pPr>
      <w:r>
        <w:rPr>
          <w:rFonts w:ascii="Times New Roman;sans-serif" w:hAnsi="Times New Roman;sans-serif"/>
          <w:b/>
          <w:color w:val="000000"/>
          <w:sz w:val="29"/>
        </w:rPr>
        <w:t>2023 Equity Incentive Plan</w:t>
        <w:br/>
      </w:r>
      <w:r>
        <w:rPr>
          <w:rFonts w:ascii="Times New Roman;sans-serif" w:hAnsi="Times New Roman;sans-serif"/>
          <w:b/>
          <w:color w:val="000000"/>
          <w:sz w:val="28"/>
        </w:rPr>
        <w:t xml:space="preserve">Stock Option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As reflected by your Stock Option Grant Notice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MacroGenics,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an option under its 2023</w:t>
      </w:r>
      <w:r>
        <w:rPr>
          <w:color w:val="000000"/>
        </w:rPr>
        <w:t xml:space="preserve"> </w:t>
      </w:r>
      <w:r>
        <w:rPr>
          <w:rFonts w:ascii="Times New Roman;sans-serif" w:hAnsi="Times New Roman;sans-serif"/>
          <w:b w:val="false"/>
          <w:color w:val="000000"/>
          <w:sz w:val="24"/>
        </w:rPr>
        <w:t>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to purchase a number of shares of Common Stock at the exercise price indicated in your Grant Notice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general terms and conditions applicable to your Option are as follows:</w:t>
      </w:r>
    </w:p>
    <w:p>
      <w:pPr>
        <w:pStyle w:val="TextBody"/>
        <w:bidi w:val="0"/>
        <w:spacing w:lineRule="auto" w:line="240" w:before="0" w:after="240"/>
        <w:ind w:left="0" w:right="0" w:firstLine="720"/>
        <w:jc w:val="both"/>
        <w:rPr/>
      </w:pPr>
      <w:r>
        <w:rPr>
          <w:rFonts w:ascii="Times New Roman;sans-serif" w:hAnsi="Times New Roman;sans-serif"/>
          <w:b/>
          <w:color w:val="000000"/>
          <w:sz w:val="24"/>
        </w:rPr>
        <w:t>1.    Governing Plan Document.</w:t>
      </w:r>
      <w:r>
        <w:rPr>
          <w:color w:val="000000"/>
        </w:rPr>
        <w:t xml:space="preserve"> </w:t>
      </w:r>
      <w:r>
        <w:rPr>
          <w:rFonts w:ascii="Times New Roman;sans-serif" w:hAnsi="Times New Roman;sans-serif"/>
          <w:b w:val="false"/>
          <w:color w:val="000000"/>
          <w:sz w:val="24"/>
        </w:rPr>
        <w:t>Your Option is subject to all the provisions of the Plan, including but not limited to the provisions in:</w:t>
      </w:r>
    </w:p>
    <w:p>
      <w:pPr>
        <w:pStyle w:val="TextBody"/>
        <w:bidi w:val="0"/>
        <w:spacing w:lineRule="auto" w:line="240" w:before="0" w:after="24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Section 6 regarding the impact of a Capitalization Adjustment, dissolution, liquidation, or Corporate Transaction on your Option;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 xml:space="preserve">Section 9(e) regarding the Company’s retained rights to terminate your Continuous Service notwithstanding the grant of the Option; and </w:t>
      </w:r>
    </w:p>
    <w:p>
      <w:pPr>
        <w:pStyle w:val="TextBody"/>
        <w:bidi w:val="0"/>
        <w:spacing w:lineRule="auto" w:line="240" w:before="0" w:after="24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 xml:space="preserve">Section 8(c) regarding the tax consequences of your Option.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2.    Vesting. </w:t>
      </w:r>
      <w:r>
        <w:rPr>
          <w:rFonts w:ascii="Times New Roman;sans-serif" w:hAnsi="Times New Roman;sans-serif"/>
          <w:b w:val="false"/>
          <w:color w:val="000000"/>
          <w:sz w:val="24"/>
        </w:rPr>
        <w:t xml:space="preserve">Your Option will vest as provided in your Grant Notice, subject to the provisions contained herein and the terms of the Plan. Vesting will cease upon the termination of your Continuous Service. </w:t>
      </w:r>
    </w:p>
    <w:p>
      <w:pPr>
        <w:pStyle w:val="TextBody"/>
        <w:bidi w:val="0"/>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3.    Exercise.</w:t>
      </w:r>
    </w:p>
    <w:p>
      <w:pPr>
        <w:pStyle w:val="TextBody"/>
        <w:bidi w:val="0"/>
        <w:spacing w:lineRule="auto" w:line="240" w:before="0" w:after="24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pStyle w:val="TextBody"/>
        <w:bidi w:val="0"/>
        <w:spacing w:lineRule="auto" w:line="240" w:before="0" w:after="24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To the extent permitted by Applicable Law, you may pay your Option exercise price as follows:</w:t>
      </w:r>
    </w:p>
    <w:p>
      <w:pPr>
        <w:pStyle w:val="TextBody"/>
        <w:bidi w:val="0"/>
        <w:spacing w:lineRule="auto" w:line="240" w:before="0" w:after="240"/>
        <w:ind w:left="0" w:right="0" w:firstLine="2160"/>
        <w:jc w:val="both"/>
        <w:rPr/>
      </w:pPr>
      <w:r>
        <w:rPr>
          <w:rFonts w:ascii="Times New Roman;sans-serif" w:hAnsi="Times New Roman;sans-serif"/>
          <w:b/>
          <w:color w:val="000000"/>
          <w:sz w:val="24"/>
        </w:rPr>
        <w:t>(i)    </w:t>
      </w:r>
      <w:r>
        <w:rPr>
          <w:rFonts w:ascii="Times New Roman;sans-serif" w:hAnsi="Times New Roman;sans-serif"/>
          <w:b w:val="false"/>
          <w:color w:val="000000"/>
          <w:sz w:val="24"/>
        </w:rPr>
        <w:t xml:space="preserve">cash, check, bank draft or money order; </w:t>
      </w:r>
    </w:p>
    <w:p>
      <w:pPr>
        <w:pStyle w:val="TextBody"/>
        <w:bidi w:val="0"/>
        <w:spacing w:lineRule="auto" w:line="240" w:before="0" w:after="240"/>
        <w:ind w:left="0" w:right="0" w:firstLine="2160"/>
        <w:jc w:val="both"/>
        <w:rPr/>
      </w:pPr>
      <w:r>
        <w:rPr>
          <w:rFonts w:ascii="Times New Roman;sans-serif" w:hAnsi="Times New Roman;sans-serif"/>
          <w:b/>
          <w:color w:val="000000"/>
          <w:sz w:val="24"/>
        </w:rPr>
        <w:t>(ii)    </w:t>
      </w:r>
      <w:r>
        <w:rPr>
          <w:rFonts w:ascii="Times New Roman;sans-serif" w:hAnsi="Times New Roman;sans-serif"/>
          <w:b w:val="false"/>
          <w:color w:val="000000"/>
          <w:sz w:val="24"/>
        </w:rPr>
        <w:t>pursuant to a “cashless exercise” program as further described in Section 4(c)(ii) of the Plan if at the time of exercise the Common Stock is publicly traded;</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94995"/>
                <wp:effectExtent l="0" t="0" r="0" b="0"/>
                <wp:wrapNone/>
                <wp:docPr id="128" name="Frame1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color w:val="000000"/>
          <w:sz w:val="24"/>
        </w:rPr>
        <w:t>(iii)    </w:t>
      </w:r>
      <w:r>
        <w:rPr>
          <w:rFonts w:ascii="Times New Roman;sans-serif" w:hAnsi="Times New Roman;sans-serif"/>
          <w:b w:val="false"/>
          <w:color w:val="000000"/>
          <w:sz w:val="24"/>
        </w:rPr>
        <w:t>subject to Company and/or Committee consent at the time of exercise, by delivery of previously owned shares of Common Stock as further described in Section 4(c)(iii) of the Plan; or</w:t>
      </w:r>
    </w:p>
    <w:p>
      <w:pPr>
        <w:pStyle w:val="TextBody"/>
        <w:bidi w:val="0"/>
        <w:spacing w:lineRule="auto" w:line="240" w:before="0" w:after="240"/>
        <w:ind w:left="0" w:right="0" w:firstLine="2160"/>
        <w:jc w:val="both"/>
        <w:rPr/>
      </w:pPr>
      <w:r>
        <w:rPr>
          <w:rFonts w:ascii="Times New Roman;sans-serif" w:hAnsi="Times New Roman;sans-serif"/>
          <w:b/>
          <w:color w:val="000000"/>
          <w:sz w:val="24"/>
        </w:rPr>
        <w:t>(iv)    </w:t>
      </w:r>
      <w:r>
        <w:rPr>
          <w:rFonts w:ascii="Times New Roman;sans-serif" w:hAnsi="Times New Roman;sans-serif"/>
          <w:b w:val="false"/>
          <w:color w:val="000000"/>
          <w:sz w:val="24"/>
        </w:rPr>
        <w:t>subject to Company and/or Committee consent at the time of exercise, by a “net exercise” arrangement as further described in Section 4(c)(iv) of the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4.    Term.</w:t>
      </w:r>
      <w:r>
        <w:rPr>
          <w:color w:val="000000"/>
        </w:rPr>
        <w:t xml:space="preserve"> </w:t>
      </w:r>
      <w:r>
        <w:rPr>
          <w:rFonts w:ascii="Times New Roman;sans-serif" w:hAnsi="Times New Roman;sans-serif"/>
          <w:b w:val="false"/>
          <w:color w:val="000000"/>
          <w:sz w:val="24"/>
        </w:rPr>
        <w:t>You may not exercise your Option before the commencement of its term or after its term expires. The term of your Option commences on the Date of Grant and expires upon the earliest of the following:</w:t>
      </w:r>
    </w:p>
    <w:p>
      <w:pPr>
        <w:pStyle w:val="TextBody"/>
        <w:bidi w:val="0"/>
        <w:spacing w:lineRule="auto" w:line="240" w:before="0" w:after="24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immediately upon the termination of your Continuous Service for Cause;</w:t>
      </w:r>
    </w:p>
    <w:p>
      <w:pPr>
        <w:pStyle w:val="TextBody"/>
        <w:bidi w:val="0"/>
        <w:spacing w:lineRule="auto" w:line="240" w:before="0" w:after="24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three months after the termination of your Continuous Service for any reason other than Cause, Disability or death;</w:t>
      </w:r>
    </w:p>
    <w:p>
      <w:pPr>
        <w:pStyle w:val="TextBody"/>
        <w:bidi w:val="0"/>
        <w:spacing w:lineRule="auto" w:line="240" w:before="0" w:after="24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12 months after the termination of your Continuous Service due to your Disability;</w:t>
      </w:r>
    </w:p>
    <w:p>
      <w:pPr>
        <w:pStyle w:val="TextBody"/>
        <w:bidi w:val="0"/>
        <w:spacing w:lineRule="auto" w:line="240" w:before="0" w:after="240"/>
        <w:ind w:left="0" w:right="0" w:firstLine="1440"/>
        <w:jc w:val="both"/>
        <w:rPr/>
      </w:pPr>
      <w:r>
        <w:rPr>
          <w:rFonts w:ascii="Times New Roman;sans-serif" w:hAnsi="Times New Roman;sans-serif"/>
          <w:b/>
          <w:color w:val="000000"/>
          <w:sz w:val="24"/>
        </w:rPr>
        <w:t>(d)    </w:t>
      </w:r>
      <w:r>
        <w:rPr>
          <w:rFonts w:ascii="Times New Roman;sans-serif" w:hAnsi="Times New Roman;sans-serif"/>
          <w:b w:val="false"/>
          <w:color w:val="000000"/>
          <w:sz w:val="24"/>
        </w:rPr>
        <w:t>18 months after your death if you die during your Continuous Service;</w:t>
      </w:r>
    </w:p>
    <w:p>
      <w:pPr>
        <w:pStyle w:val="TextBody"/>
        <w:bidi w:val="0"/>
        <w:spacing w:lineRule="auto" w:line="240" w:before="0" w:after="240"/>
        <w:ind w:left="0" w:right="0" w:firstLine="1440"/>
        <w:jc w:val="both"/>
        <w:rPr/>
      </w:pPr>
      <w:r>
        <w:rPr>
          <w:rFonts w:ascii="Times New Roman;sans-serif" w:hAnsi="Times New Roman;sans-serif"/>
          <w:b/>
          <w:color w:val="000000"/>
          <w:sz w:val="24"/>
        </w:rPr>
        <w:t>(e)    </w:t>
      </w:r>
      <w:r>
        <w:rPr>
          <w:rFonts w:ascii="Times New Roman;sans-serif" w:hAnsi="Times New Roman;sans-serif"/>
          <w:b w:val="false"/>
          <w:color w:val="000000"/>
          <w:sz w:val="24"/>
        </w:rPr>
        <w:t>immediately upon a Corporate Transaction if the Board has determined that the Option will terminate in connection with a Corporate Transaction,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(f)    </w:t>
      </w:r>
      <w:r>
        <w:rPr>
          <w:rFonts w:ascii="Times New Roman;sans-serif" w:hAnsi="Times New Roman;sans-serif"/>
          <w:b w:val="false"/>
          <w:color w:val="000000"/>
          <w:sz w:val="24"/>
        </w:rPr>
        <w:t>the Expiration Date indicated in your Grant Notice; or</w:t>
      </w:r>
    </w:p>
    <w:p>
      <w:pPr>
        <w:pStyle w:val="TextBody"/>
        <w:bidi w:val="0"/>
        <w:spacing w:lineRule="auto" w:line="240" w:before="0" w:after="240"/>
        <w:ind w:left="0" w:right="0" w:firstLine="1440"/>
        <w:jc w:val="both"/>
        <w:rPr/>
      </w:pPr>
      <w:r>
        <w:rPr>
          <w:rFonts w:ascii="Times New Roman;sans-serif" w:hAnsi="Times New Roman;sans-serif"/>
          <w:b/>
          <w:color w:val="000000"/>
          <w:sz w:val="24"/>
        </w:rPr>
        <w:t>(g)    </w:t>
      </w:r>
      <w:r>
        <w:rPr>
          <w:rFonts w:ascii="Times New Roman;sans-serif" w:hAnsi="Times New Roman;sans-serif"/>
          <w:b w:val="false"/>
          <w:color w:val="000000"/>
          <w:sz w:val="24"/>
        </w:rPr>
        <w:t>the day before the 10th anniversary of the Date of Grant.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5.    Withholding Obligations. </w:t>
      </w:r>
      <w:r>
        <w:rPr>
          <w:rFonts w:ascii="Times New Roman;sans-serif" w:hAnsi="Times New Roman;sans-serif"/>
          <w:b w:val="false"/>
          <w:color w:val="000000"/>
          <w:sz w:val="24"/>
        </w:rPr>
        <w:t>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94995"/>
                <wp:effectExtent l="0" t="0" r="0" b="0"/>
                <wp:wrapNone/>
                <wp:docPr id="129" name="Frame12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6.    Transferability.</w:t>
      </w:r>
      <w:r>
        <w:rPr>
          <w:color w:val="000000"/>
        </w:rPr>
        <w:t xml:space="preserve"> </w:t>
      </w:r>
      <w:r>
        <w:rPr>
          <w:rFonts w:ascii="Times New Roman;sans-serif" w:hAnsi="Times New Roman;sans-serif"/>
          <w:b w:val="false"/>
          <w:color w:val="000000"/>
          <w:sz w:val="24"/>
        </w:rPr>
        <w:t xml:space="preserve">Except as otherwise provided in Section 4(e) of the Plan, your Option is not transferable, except by will or by the applicable laws of descent and distribution, and is exercisable during your life only by you. </w:t>
      </w:r>
    </w:p>
    <w:p>
      <w:pPr>
        <w:pStyle w:val="TextBody"/>
        <w:bidi w:val="0"/>
        <w:spacing w:lineRule="auto" w:line="240" w:before="0" w:after="240"/>
        <w:ind w:left="0" w:right="0" w:firstLine="720"/>
        <w:jc w:val="both"/>
        <w:rPr/>
      </w:pPr>
      <w:r>
        <w:rPr>
          <w:rFonts w:ascii="Times New Roman;sans-serif" w:hAnsi="Times New Roman;sans-serif"/>
          <w:b/>
          <w:color w:val="000000"/>
          <w:sz w:val="24"/>
        </w:rPr>
        <w:t>7.    Corporate Transaction.</w:t>
      </w:r>
      <w:r>
        <w:rPr>
          <w:color w:val="000000"/>
        </w:rPr>
        <w:t xml:space="preserve"> </w:t>
      </w:r>
      <w:r>
        <w:rPr>
          <w:rFonts w:ascii="Times New Roman;sans-serif" w:hAnsi="Times New Roman;sans-serif"/>
          <w:b w:val="false"/>
          <w:color w:val="000000"/>
          <w:sz w:val="24"/>
        </w:rPr>
        <w:t xml:space="preserve">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40" w:before="0" w:after="240"/>
        <w:ind w:left="0" w:right="0" w:firstLine="720"/>
        <w:jc w:val="both"/>
        <w:rPr/>
      </w:pPr>
      <w:r>
        <w:rPr>
          <w:rFonts w:ascii="Times New Roman;sans-serif" w:hAnsi="Times New Roman;sans-serif"/>
          <w:b/>
          <w:color w:val="000000"/>
          <w:sz w:val="24"/>
        </w:rPr>
        <w:t>8.    No Liability for Taxes</w:t>
      </w:r>
      <w:r>
        <w:rPr>
          <w:rFonts w:ascii="Times New Roman;sans-serif" w:hAnsi="Times New Roman;sans-serif"/>
          <w:b w:val="false"/>
          <w:color w:val="000000"/>
          <w:sz w:val="24"/>
        </w:rPr>
        <w:t>.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pStyle w:val="TextBody"/>
        <w:bidi w:val="0"/>
        <w:spacing w:lineRule="auto" w:line="240" w:before="0" w:after="240"/>
        <w:ind w:left="0" w:right="0" w:firstLine="720"/>
        <w:jc w:val="both"/>
        <w:rPr/>
      </w:pPr>
      <w:r>
        <w:rPr>
          <w:rFonts w:ascii="Times New Roman;sans-serif" w:hAnsi="Times New Roman;sans-serif"/>
          <w:b/>
          <w:color w:val="000000"/>
          <w:sz w:val="24"/>
        </w:rPr>
        <w:t>9.    Severability</w:t>
      </w:r>
      <w:r>
        <w:rPr>
          <w:rFonts w:ascii="Times New Roman;sans-serif" w:hAnsi="Times New Roman;sans-serif"/>
          <w:b w:val="false"/>
          <w:color w:val="000000"/>
          <w:sz w:val="24"/>
        </w:rPr>
        <w:t>.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both"/>
        <w:rPr/>
      </w:pPr>
      <w:r>
        <w:rPr>
          <w:rFonts w:ascii="Times New Roman;sans-serif" w:hAnsi="Times New Roman;sans-serif"/>
          <w:b/>
          <w:color w:val="000000"/>
          <w:sz w:val="24"/>
        </w:rPr>
        <w:t>10.    Other Documents.</w:t>
      </w:r>
      <w:r>
        <w:rPr>
          <w:color w:val="000000"/>
        </w:rPr>
        <w:t>  </w:t>
      </w:r>
      <w:r>
        <w:rPr>
          <w:rFonts w:ascii="Times New Roman;sans-serif" w:hAnsi="Times New Roman;sans-serif"/>
          <w:b w:val="false"/>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11.    Questions. </w:t>
      </w:r>
      <w:r>
        <w:rPr>
          <w:rFonts w:ascii="Times New Roman;sans-serif" w:hAnsi="Times New Roman;sans-serif"/>
          <w:b w:val="false"/>
          <w:color w:val="000000"/>
          <w:sz w:val="24"/>
        </w:rPr>
        <w:t>If you have questions regarding these or any other terms and conditions applicable to your Option, including a summary of the applicable federal income tax consequences please see the Prospectus.</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94995"/>
                <wp:effectExtent l="0" t="0" r="0" b="0"/>
                <wp:wrapNone/>
                <wp:docPr id="130" name="Frame1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center"/>
        <w:rPr/>
      </w:pPr>
      <w:r>
        <w:rPr>
          <w:rFonts w:ascii="Times New Roman;sans-serif" w:hAnsi="Times New Roman;sans-serif"/>
          <w:b/>
          <w:color w:val="000000"/>
          <w:sz w:val="28"/>
        </w:rPr>
        <w:t>MacroGenics, Inc.</w:t>
      </w:r>
      <w:r>
        <w:rPr>
          <w:rFonts w:ascii="Times New Roman;sans-serif" w:hAnsi="Times New Roman;sans-serif"/>
          <w:b/>
          <w:color w:val="000000"/>
          <w:sz w:val="29"/>
        </w:rPr>
        <w:br/>
        <w:t>RSU Award</w:t>
      </w:r>
      <w:r>
        <w:rPr>
          <w:color w:val="000000"/>
        </w:rPr>
        <w:t xml:space="preserve"> </w:t>
      </w:r>
      <w:r>
        <w:rPr>
          <w:rFonts w:ascii="Times New Roman;sans-serif" w:hAnsi="Times New Roman;sans-serif"/>
          <w:b/>
          <w:color w:val="000000"/>
          <w:sz w:val="28"/>
        </w:rPr>
        <w:t>Grant Notice</w:t>
        <w:br/>
      </w:r>
      <w:r>
        <w:rPr>
          <w:rFonts w:ascii="Times New Roman;sans-serif" w:hAnsi="Times New Roman;sans-serif"/>
          <w:b/>
          <w:color w:val="000000"/>
          <w:sz w:val="24"/>
        </w:rPr>
        <w:t>(2023 Equity Incentive Plan)</w:t>
      </w:r>
    </w:p>
    <w:p>
      <w:pPr>
        <w:pStyle w:val="TextBody"/>
        <w:bidi w:val="0"/>
        <w:spacing w:lineRule="auto" w:line="288" w:before="0" w:after="180"/>
        <w:jc w:val="both"/>
        <w:rPr/>
      </w:pPr>
      <w:r>
        <w:rPr>
          <w:rFonts w:ascii="Times New Roman;sans-serif" w:hAnsi="Times New Roman;sans-serif"/>
          <w:b w:val="false"/>
          <w:color w:val="000000"/>
          <w:sz w:val="20"/>
        </w:rPr>
        <w:t>MacroGenics,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awarded to you (the “</w:t>
      </w:r>
      <w:r>
        <w:rPr>
          <w:rFonts w:ascii="Times New Roman;sans-serif" w:hAnsi="Times New Roman;sans-serif"/>
          <w:b/>
          <w:i/>
          <w:color w:val="000000"/>
          <w:sz w:val="20"/>
        </w:rPr>
        <w:t>Participant</w:t>
      </w:r>
      <w:r>
        <w:rPr>
          <w:color w:val="000000"/>
        </w:rPr>
        <w:t>”</w:t>
      </w:r>
      <w:r>
        <w:rPr>
          <w:rFonts w:ascii="Times New Roman;sans-serif" w:hAnsi="Times New Roman;sans-serif"/>
          <w:b w:val="false"/>
          <w:color w:val="000000"/>
          <w:sz w:val="20"/>
        </w:rPr>
        <w:t>) the number of restricted stock units specified and on the terms set forth below in consideration of your services (the “</w:t>
      </w:r>
      <w:r>
        <w:rPr>
          <w:rFonts w:ascii="Times New Roman;sans-serif" w:hAnsi="Times New Roman;sans-serif"/>
          <w:b/>
          <w:i/>
          <w:color w:val="000000"/>
          <w:sz w:val="20"/>
        </w:rPr>
        <w:t>RSU Award</w:t>
      </w:r>
      <w:r>
        <w:rPr>
          <w:color w:val="000000"/>
        </w:rPr>
        <w:t>”</w:t>
      </w:r>
      <w:r>
        <w:rPr>
          <w:rFonts w:ascii="Times New Roman;sans-serif" w:hAnsi="Times New Roman;sans-serif"/>
          <w:b w:val="false"/>
          <w:color w:val="000000"/>
          <w:sz w:val="20"/>
        </w:rPr>
        <w:t>). Your RSU Award is subject to all of the terms and conditions as set forth herein and in the Company’s 2023</w:t>
      </w:r>
      <w:r>
        <w:rPr>
          <w:color w:val="4F81BD"/>
        </w:rPr>
        <w:t xml:space="preserve"> </w:t>
      </w:r>
      <w:r>
        <w:rPr>
          <w:rFonts w:ascii="Times New Roman;sans-serif" w:hAnsi="Times New Roman;sans-serif"/>
          <w:b w:val="false"/>
          <w:color w:val="000000"/>
          <w:sz w:val="20"/>
        </w:rPr>
        <w:t>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the Award Agreement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which are attached hereto and incorporated herein in their entirety. Capitalized terms not explicitly defined herein but defined in the Plan or the Agreement shall have the meanings set forth in the Plan or the Agreement.</w:t>
      </w:r>
    </w:p>
    <w:tbl>
      <w:tblPr>
        <w:tblW w:w="2984" w:type="dxa"/>
        <w:jc w:val="left"/>
        <w:tblInd w:w="0" w:type="dxa"/>
        <w:tblLayout w:type="fixed"/>
        <w:tblCellMar>
          <w:top w:w="28" w:type="dxa"/>
          <w:left w:w="28" w:type="dxa"/>
          <w:bottom w:w="28" w:type="dxa"/>
          <w:right w:w="28" w:type="dxa"/>
        </w:tblCellMar>
      </w:tblPr>
      <w:tblGrid>
        <w:gridCol w:w="955"/>
        <w:gridCol w:w="839"/>
        <w:gridCol w:w="1190"/>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Participant:</w:t>
            </w:r>
          </w:p>
        </w:tc>
      </w:tr>
      <w:tr>
        <w:trPr/>
        <w:tc>
          <w:tcPr>
            <w:tcW w:w="298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Total Number of RSUs Awarded :</w:t>
            </w:r>
          </w:p>
        </w:tc>
      </w:tr>
      <w:tr>
        <w:trPr/>
        <w:tc>
          <w:tcPr>
            <w:tcW w:w="2984"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Date of Grant :</w:t>
            </w:r>
          </w:p>
        </w:tc>
      </w:tr>
    </w:tbl>
    <w:p>
      <w:pPr>
        <w:pStyle w:val="TextBody"/>
        <w:bidi w:val="0"/>
        <w:spacing w:lineRule="auto" w:line="288" w:before="0" w:after="180"/>
        <w:ind w:left="0" w:right="0" w:hanging="1782"/>
        <w:jc w:val="left"/>
        <w:rPr/>
      </w:pPr>
      <w:r>
        <w:rPr>
          <w:rFonts w:ascii="Times New Roman;sans-serif" w:hAnsi="Times New Roman;sans-serif"/>
          <w:b/>
          <w:color w:val="000000"/>
          <w:sz w:val="20"/>
        </w:rPr>
        <w:t>Vesting Schedule</w:t>
      </w:r>
      <w:r>
        <w:rPr>
          <w:rFonts w:ascii="Times New Roman;sans-serif" w:hAnsi="Times New Roman;sans-serif"/>
          <w:b w:val="false"/>
          <w:color w:val="000000"/>
          <w:sz w:val="20"/>
        </w:rPr>
        <w:t>:     Subject to the Participant’s Continuous Service through each applicable vesting date, the RSU Award will vest as follows: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Restricted Stock Units subject to the RSU Award will vest on the one year anniversary of the Date of Grant, or the day prior to the Company’s next Annual Meeting of Stockholders, if earlier.</w:t>
      </w:r>
    </w:p>
    <w:p>
      <w:pPr>
        <w:pStyle w:val="TextBody"/>
        <w:bidi w:val="0"/>
        <w:spacing w:lineRule="auto" w:line="288" w:before="0" w:after="180"/>
        <w:ind w:left="0" w:right="0" w:hanging="1800"/>
        <w:jc w:val="both"/>
        <w:rPr/>
      </w:pPr>
      <w:r>
        <w:rPr>
          <w:rFonts w:ascii="Times New Roman;sans-serif" w:hAnsi="Times New Roman;sans-serif"/>
          <w:b/>
          <w:color w:val="000000"/>
          <w:sz w:val="20"/>
        </w:rPr>
        <w:t>Issuance Schedule:    </w:t>
      </w:r>
      <w:r>
        <w:rPr>
          <w:rFonts w:ascii="Times New Roman;sans-serif" w:hAnsi="Times New Roman;sans-serif"/>
          <w:b w:val="false"/>
          <w:color w:val="000000"/>
          <w:sz w:val="20"/>
        </w:rPr>
        <w:t>One share of Common Stock will be issued for each restricted stock unit which vests at the time set forth in Section 6 of the Agreement.</w:t>
      </w:r>
    </w:p>
    <w:p>
      <w:pPr>
        <w:pStyle w:val="TextBody"/>
        <w:bidi w:val="0"/>
        <w:spacing w:lineRule="auto" w:line="288" w:before="120" w:after="180"/>
        <w:jc w:val="both"/>
        <w:rPr/>
      </w:pPr>
      <w:r>
        <w:rPr>
          <w:rFonts w:ascii="Times New Roman;sans-serif" w:hAnsi="Times New Roman;sans-serif"/>
          <w:b/>
          <w:color w:val="000000"/>
          <w:sz w:val="20"/>
        </w:rPr>
        <w:t>Participant Acknowledgements:</w:t>
      </w:r>
      <w:r>
        <w:rPr>
          <w:color w:val="000000"/>
        </w:rPr>
        <w:t xml:space="preserve"> </w:t>
      </w:r>
      <w:r>
        <w:rPr>
          <w:rFonts w:ascii="Times New Roman;sans-serif" w:hAnsi="Times New Roman;sans-serif"/>
          <w:b w:val="false"/>
          <w:color w:val="000000"/>
          <w:sz w:val="20"/>
        </w:rPr>
        <w:t>By your signature below or by electronic acceptance or authentication in a form authorized by the Company, you understand and agree that:</w:t>
      </w:r>
    </w:p>
    <w:p>
      <w:pPr>
        <w:pStyle w:val="TextBody"/>
        <w:bidi w:val="0"/>
        <w:spacing w:lineRule="auto" w:line="288" w:before="120" w:after="180"/>
        <w:ind w:left="0" w:right="0" w:hanging="630"/>
        <w:jc w:val="both"/>
        <w:rPr/>
      </w:pPr>
      <w:r>
        <w:rPr>
          <w:color w:val="000000"/>
        </w:rPr>
        <w:t>•</w:t>
      </w:r>
      <w:r>
        <w:rPr>
          <w:rFonts w:ascii="Times New Roman;sans-serif" w:hAnsi="Times New Roman;sans-serif"/>
          <w:b w:val="false"/>
          <w:color w:val="000000"/>
          <w:sz w:val="20"/>
        </w:rPr>
        <w:t>The RSU Award is governed by this RSU Award Grant Notice (the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the provisions of the Plan and the Agreement, all of which are made a part of this document. Unless otherwise provided in the Plan, this Grant Notice and the Agreement (together, the “</w:t>
      </w:r>
      <w:r>
        <w:rPr>
          <w:rFonts w:ascii="Times New Roman;sans-serif" w:hAnsi="Times New Roman;sans-serif"/>
          <w:b/>
          <w:i/>
          <w:color w:val="000000"/>
          <w:sz w:val="20"/>
        </w:rPr>
        <w:t>RSU Award Agreement</w:t>
      </w:r>
      <w:r>
        <w:rPr>
          <w:color w:val="000000"/>
        </w:rPr>
        <w:t>”</w:t>
      </w:r>
      <w:r>
        <w:rPr>
          <w:rFonts w:ascii="Times New Roman;sans-serif" w:hAnsi="Times New Roman;sans-serif"/>
          <w:b w:val="false"/>
          <w:color w:val="000000"/>
          <w:sz w:val="20"/>
        </w:rPr>
        <w:t xml:space="preserve">) may not be modified, amended or revised except in a writing signed by you and a duly authorized officer of the Company. </w:t>
      </w:r>
    </w:p>
    <w:p>
      <w:pPr>
        <w:pStyle w:val="TextBody"/>
        <w:bidi w:val="0"/>
        <w:spacing w:lineRule="auto" w:line="288" w:before="120" w:after="180"/>
        <w:ind w:left="0" w:right="0" w:hanging="630"/>
        <w:jc w:val="both"/>
        <w:rPr/>
      </w:pPr>
      <w:r>
        <w:rPr>
          <w:color w:val="000000"/>
        </w:rPr>
        <w:t>•</w:t>
      </w:r>
      <w:r>
        <w:rPr>
          <w:rFonts w:ascii="Times New Roman;sans-serif" w:hAnsi="Times New Roman;sans-serif"/>
          <w:b w:val="false"/>
          <w:color w:val="000000"/>
          <w:sz w:val="20"/>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lineRule="auto" w:line="288" w:before="120" w:after="180"/>
        <w:ind w:left="0" w:right="0" w:hanging="630"/>
        <w:jc w:val="both"/>
        <w:rPr/>
      </w:pPr>
      <w:r>
        <w:rPr>
          <w:color w:val="000000"/>
        </w:rPr>
        <w:t>•</w:t>
      </w:r>
      <w:r>
        <w:rPr>
          <w:rFonts w:ascii="Times New Roman;sans-serif" w:hAnsi="Times New Roman;sans-serif"/>
          <w:b w:val="false"/>
          <w:color w:val="000000"/>
          <w:sz w:val="20"/>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MacroGenics, Inc.    Participant:</w:t>
      </w:r>
    </w:p>
    <w:p>
      <w:pPr>
        <w:pStyle w:val="TextBody"/>
        <w:bidi w:val="0"/>
        <w:spacing w:lineRule="auto" w:line="288" w:before="0" w:after="0"/>
        <w:jc w:val="both"/>
        <w:rPr/>
      </w:pPr>
      <w:r>
        <w:rPr>
          <w:rFonts w:ascii="Times New Roman;sans-serif" w:hAnsi="Times New Roman;sans-serif"/>
          <w:b w:val="false"/>
          <w:color w:val="000000"/>
          <w:sz w:val="20"/>
        </w:rPr>
        <w:t xml:space="preserve">By: </w:t>
      </w:r>
      <w:r>
        <w:rPr>
          <w:color w:val="000000"/>
          <w:u w:val="single"/>
        </w:rPr>
        <w:t>    </w:t>
      </w:r>
      <w:r>
        <w:rPr>
          <w:color w:val="000000"/>
        </w:rPr>
        <w:t>    </w:t>
      </w:r>
      <w:r>
        <w:rPr>
          <w:color w:val="000000"/>
          <w:u w:val="single"/>
        </w:rPr>
        <w:t>    </w:t>
      </w:r>
    </w:p>
    <w:p>
      <w:pPr>
        <w:pStyle w:val="TextBody"/>
        <w:bidi w:val="0"/>
        <w:spacing w:lineRule="auto" w:line="288" w:before="0" w:after="180"/>
        <w:jc w:val="both"/>
        <w:rPr>
          <w:color w:val="000000"/>
        </w:rPr>
      </w:pPr>
      <w:r>
        <w:rPr>
          <w:color w:val="000000"/>
        </w:rPr>
        <w:t>    </w:t>
      </w:r>
      <w:r>
        <w:rPr>
          <w:rFonts w:ascii="Times New Roman;sans-serif" w:hAnsi="Times New Roman;sans-serif"/>
          <w:b w:val="false"/>
          <w:color w:val="000000"/>
          <w:sz w:val="20"/>
        </w:rPr>
        <w:t>Signature    Signature</w:t>
      </w:r>
    </w:p>
    <w:p>
      <w:pPr>
        <w:pStyle w:val="TextBody"/>
        <w:bidi w:val="0"/>
        <w:spacing w:lineRule="auto" w:line="288" w:before="0" w:after="180"/>
        <w:jc w:val="both"/>
        <w:rPr/>
      </w:pPr>
      <w:r>
        <w:rPr>
          <w:rFonts w:ascii="Times New Roman;sans-serif" w:hAnsi="Times New Roman;sans-serif"/>
          <w:b w:val="false"/>
          <w:color w:val="000000"/>
          <w:sz w:val="20"/>
        </w:rPr>
        <w:t xml:space="preserve">Title: </w:t>
      </w:r>
      <w:r>
        <w:rPr>
          <w:color w:val="000000"/>
          <w:u w:val="single"/>
        </w:rPr>
        <w:t>    </w:t>
      </w:r>
      <w:r>
        <w:rPr>
          <w:color w:val="000000"/>
        </w:rPr>
        <w:t>    </w:t>
      </w:r>
      <w:r>
        <w:rPr>
          <w:rFonts w:ascii="Times New Roman;sans-serif" w:hAnsi="Times New Roman;sans-serif"/>
          <w:b w:val="false"/>
          <w:color w:val="000000"/>
          <w:sz w:val="20"/>
        </w:rPr>
        <w:t xml:space="preserve">Date: </w:t>
      </w:r>
      <w:r>
        <w:rPr>
          <w:color w:val="000000"/>
          <w:u w:val="single"/>
        </w:rPr>
        <w:t>    </w:t>
      </w:r>
    </w:p>
    <w:p>
      <w:pPr>
        <w:pStyle w:val="TextBody"/>
        <w:bidi w:val="0"/>
        <w:spacing w:lineRule="auto" w:line="288" w:before="0" w:after="180"/>
        <w:jc w:val="both"/>
        <w:rPr/>
      </w:pPr>
      <w:r>
        <w:rPr>
          <w:rFonts w:ascii="Times New Roman;sans-serif" w:hAnsi="Times New Roman;sans-serif"/>
          <w:b w:val="false"/>
          <w:color w:val="000000"/>
          <w:sz w:val="20"/>
        </w:rPr>
        <w:t>Date:</w:t>
      </w:r>
      <w:r>
        <w:rPr>
          <w:color w:val="000000"/>
          <w:u w:val="single"/>
        </w:rPr>
        <w:t>    </w:t>
      </w:r>
    </w:p>
    <w:p>
      <w:pPr>
        <w:pStyle w:val="TextBody"/>
        <w:bidi w:val="0"/>
        <w:spacing w:lineRule="auto" w:line="288" w:before="0" w:after="180"/>
        <w:ind w:left="0" w:right="0" w:hanging="1710"/>
        <w:jc w:val="both"/>
        <w:rPr/>
      </w:pPr>
      <w:r>
        <w:rPr>
          <w:rFonts w:ascii="Times New Roman;sans-serif" w:hAnsi="Times New Roman;sans-serif"/>
          <w:b/>
          <w:color w:val="000000"/>
          <w:sz w:val="20"/>
        </w:rPr>
        <w:t>Attachments</w:t>
      </w:r>
      <w:r>
        <w:rPr>
          <w:rFonts w:ascii="Times New Roman;sans-serif" w:hAnsi="Times New Roman;sans-serif"/>
          <w:b w:val="false"/>
          <w:color w:val="000000"/>
          <w:sz w:val="20"/>
        </w:rPr>
        <w:t>:     RSU Award Agreement, 2023</w:t>
      </w:r>
      <w:r>
        <w:rPr>
          <w:color w:val="4F81BD"/>
        </w:rPr>
        <w:t xml:space="preserve"> </w:t>
      </w:r>
      <w:r>
        <w:rPr>
          <w:rFonts w:ascii="Times New Roman;sans-serif" w:hAnsi="Times New Roman;sans-serif"/>
          <w:b w:val="false"/>
          <w:color w:val="000000"/>
          <w:sz w:val="20"/>
        </w:rPr>
        <w:t>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color w:val="000000"/>
        </w:rPr>
      </w:pPr>
      <w:r>
        <w:rPr>
          <w:color w:val="000000"/>
        </w:rPr>
        <w:t>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MacroGenics, Inc.</w:t>
      </w:r>
    </w:p>
    <w:p>
      <w:pPr>
        <w:pStyle w:val="TextBody"/>
        <w:bidi w:val="0"/>
        <w:spacing w:lineRule="auto" w:line="240" w:before="0" w:after="240"/>
        <w:jc w:val="center"/>
        <w:rPr>
          <w:rFonts w:ascii="Times New Roman;sans-serif" w:hAnsi="Times New Roman;sans-serif"/>
          <w:b/>
          <w:color w:val="000000"/>
          <w:sz w:val="28"/>
        </w:rPr>
      </w:pPr>
      <w:r>
        <w:rPr>
          <w:rFonts w:ascii="Times New Roman;sans-serif" w:hAnsi="Times New Roman;sans-serif"/>
          <w:b/>
          <w:color w:val="000000"/>
          <w:sz w:val="28"/>
        </w:rPr>
        <w:t>2023 Equity Incentive Plan</w: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Award Agreement (RSU Award)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As reflected by your Restricted Stock Unit Grant Notice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MacroGenics,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a RSU Award under its 2023 Equity Incentive Plan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for the number of restricted stock units as indicated in your Grant Notice (the “</w:t>
      </w:r>
      <w:r>
        <w:rPr>
          <w:rFonts w:ascii="Times New Roman;sans-serif" w:hAnsi="Times New Roman;sans-serif"/>
          <w:b/>
          <w:i/>
          <w:color w:val="000000"/>
          <w:sz w:val="24"/>
        </w:rPr>
        <w:t>RSU Award</w:t>
      </w:r>
      <w:r>
        <w:rPr>
          <w:color w:val="000000"/>
        </w:rPr>
        <w:t>”</w:t>
      </w:r>
      <w:r>
        <w:rPr>
          <w:rFonts w:ascii="Times New Roman;sans-serif" w:hAnsi="Times New Roman;sans-serif"/>
          <w:b w:val="false"/>
          <w:color w:val="000000"/>
          <w:sz w:val="24"/>
        </w:rPr>
        <w:t>). The terms of your RSU Award as specified in this Award Agreement for your RSU Award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and the Grant Notice constitute your “</w:t>
      </w:r>
      <w:r>
        <w:rPr>
          <w:rFonts w:ascii="Times New Roman;sans-serif" w:hAnsi="Times New Roman;sans-serif"/>
          <w:b/>
          <w:i/>
          <w:color w:val="000000"/>
          <w:sz w:val="24"/>
        </w:rPr>
        <w:t>RSU Award Agreement</w:t>
      </w:r>
      <w:r>
        <w:rPr>
          <w:color w:val="000000"/>
        </w:rPr>
        <w:t>”</w:t>
      </w:r>
      <w:r>
        <w:rPr>
          <w:rFonts w:ascii="Times New Roman;sans-serif" w:hAnsi="Times New Roman;sans-serif"/>
          <w:b w:val="false"/>
          <w:color w:val="000000"/>
          <w:sz w:val="24"/>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general terms applicable to your RSU Award are as follows:</w:t>
      </w:r>
    </w:p>
    <w:p>
      <w:pPr>
        <w:pStyle w:val="TextBody"/>
        <w:bidi w:val="0"/>
        <w:spacing w:lineRule="auto" w:line="240" w:before="0" w:after="240"/>
        <w:ind w:left="0" w:right="0" w:firstLine="720"/>
        <w:jc w:val="both"/>
        <w:rPr/>
      </w:pPr>
      <w:r>
        <w:rPr>
          <w:rFonts w:ascii="Times New Roman;sans-serif" w:hAnsi="Times New Roman;sans-serif"/>
          <w:b/>
          <w:color w:val="000000"/>
          <w:sz w:val="24"/>
        </w:rPr>
        <w:t>1.    Governing Plan Document.</w:t>
      </w:r>
      <w:r>
        <w:rPr>
          <w:color w:val="000000"/>
        </w:rPr>
        <w:t xml:space="preserve"> </w:t>
      </w:r>
      <w:r>
        <w:rPr>
          <w:rFonts w:ascii="Times New Roman;sans-serif" w:hAnsi="Times New Roman;sans-serif"/>
          <w:b w:val="false"/>
          <w:color w:val="000000"/>
          <w:sz w:val="24"/>
        </w:rPr>
        <w:t xml:space="preserve">Your RSU Award is subject to all the provisions of the Plan, including but not limited to the provisions in: </w:t>
      </w:r>
    </w:p>
    <w:p>
      <w:pPr>
        <w:pStyle w:val="TextBody"/>
        <w:bidi w:val="0"/>
        <w:spacing w:lineRule="auto" w:line="240" w:before="0" w:after="24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Section 6 of the Plan regarding the impact of a Capitalization Adjustment, dissolution, liquidation, or Corporate Transaction on your RSU Award;</w:t>
      </w:r>
    </w:p>
    <w:p>
      <w:pPr>
        <w:pStyle w:val="TextBody"/>
        <w:bidi w:val="0"/>
        <w:spacing w:lineRule="auto" w:line="240" w:before="0" w:after="24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 xml:space="preserve">Section 9(e) of the Plan regarding the Company’s retained rights to terminate your Continuous Service notwithstanding the grant of the RSU Award; and </w:t>
      </w:r>
    </w:p>
    <w:p>
      <w:pPr>
        <w:pStyle w:val="TextBody"/>
        <w:bidi w:val="0"/>
        <w:spacing w:lineRule="auto" w:line="240" w:before="0" w:after="24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 xml:space="preserve">Section 8(c) of the Plan regarding the tax consequences of your RSU Award.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2.    Grant of the RSU Award. </w:t>
      </w:r>
      <w:r>
        <w:rPr>
          <w:rFonts w:ascii="Times New Roman;sans-serif" w:hAnsi="Times New Roman;sans-serif"/>
          <w:b w:val="false"/>
          <w:color w:val="000000"/>
          <w:sz w:val="24"/>
        </w:rPr>
        <w:t>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sans-serif" w:hAnsi="Times New Roman;sans-serif"/>
          <w:b/>
          <w:i/>
          <w:color w:val="000000"/>
          <w:sz w:val="24"/>
        </w:rPr>
        <w:t>Restricted Stock Units</w:t>
      </w:r>
      <w:r>
        <w:rPr>
          <w:color w:val="000000"/>
        </w:rPr>
        <w:t>”</w:t>
      </w:r>
      <w:r>
        <w:rPr>
          <w:rFonts w:ascii="Times New Roman;sans-serif" w:hAnsi="Times New Roman;sans-serif"/>
          <w:b w:val="false"/>
          <w:color w:val="000000"/>
          <w:sz w:val="24"/>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bidi w:val="0"/>
        <w:spacing w:lineRule="auto" w:line="240" w:before="0" w:after="240"/>
        <w:ind w:left="0" w:right="0" w:firstLine="720"/>
        <w:jc w:val="both"/>
        <w:rPr/>
      </w:pPr>
      <w:r>
        <w:rPr>
          <w:rFonts w:ascii="Times New Roman;sans-serif" w:hAnsi="Times New Roman;sans-serif"/>
          <w:b/>
          <w:color w:val="000000"/>
          <w:sz w:val="24"/>
        </w:rPr>
        <w:t>3.    Vesting.</w:t>
      </w:r>
      <w:r>
        <w:rPr>
          <w:color w:val="000000"/>
        </w:rPr>
        <w:t xml:space="preserve"> </w:t>
      </w:r>
      <w:r>
        <w:rPr>
          <w:rFonts w:ascii="Times New Roman;sans-serif" w:hAnsi="Times New Roman;sans-serif"/>
          <w:b w:val="false"/>
          <w:color w:val="000000"/>
          <w:sz w:val="24"/>
        </w:rPr>
        <w:t xml:space="preserve">Your Restricted Stock Units will vest, if at all, in accordance with the vesting schedule provided in the Grant Notice, subject to the provisions contained herein and the terms of the Plan.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4.    Dividends.  </w:t>
      </w:r>
      <w:r>
        <w:rPr>
          <w:rFonts w:ascii="Times New Roman;sans-serif" w:hAnsi="Times New Roman;sans-serif"/>
          <w:b w:val="false"/>
          <w:color w:val="000000"/>
          <w:sz w:val="24"/>
        </w:rPr>
        <w:t xml:space="preserve">You will receive no benefit or adjustment to this RSU Award with respect to any cash dividend, stock dividend or other distribution except as provided in the Plan with respect to a Capitalization Adjustment.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5.    Withholding Obligations. </w:t>
      </w:r>
      <w:r>
        <w:rPr>
          <w:rFonts w:ascii="Times New Roman;sans-serif" w:hAnsi="Times New Roman;sans-serif"/>
          <w:b w:val="false"/>
          <w:color w:val="000000"/>
          <w:sz w:val="24"/>
        </w:rPr>
        <w:t xml:space="preserve">As further provided in Section 8 of the Plan, and as applicable, you hereby authorize withholding any amounts payable to you, and otherwise agree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1945"/>
                <wp:effectExtent l="0" t="0" r="0" b="0"/>
                <wp:wrapNone/>
                <wp:docPr id="132" name="Frame1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to make adequate provision for, any sums required to satisfy the federal, state, local and foreign tax withholding obligations, if any, which arise in connection with your RSU Award (the “</w:t>
      </w:r>
      <w:r>
        <w:rPr>
          <w:rFonts w:ascii="Times New Roman;sans-serif" w:hAnsi="Times New Roman;sans-serif"/>
          <w:b/>
          <w:i/>
          <w:color w:val="000000"/>
          <w:sz w:val="24"/>
        </w:rPr>
        <w:t>Withholding Obligation</w:t>
      </w:r>
      <w:r>
        <w:rPr>
          <w:color w:val="000000"/>
        </w:rPr>
        <w:t>”</w:t>
      </w:r>
      <w:r>
        <w:rPr>
          <w:rFonts w:ascii="Times New Roman;sans-serif" w:hAnsi="Times New Roman;sans-serif"/>
          <w:b w:val="false"/>
          <w:color w:val="000000"/>
          <w:sz w:val="24"/>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pStyle w:val="TextBody"/>
        <w:bidi w:val="0"/>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 xml:space="preserve">6.    Date of Issuance. </w:t>
      </w:r>
    </w:p>
    <w:p>
      <w:pPr>
        <w:pStyle w:val="TextBody"/>
        <w:bidi w:val="0"/>
        <w:spacing w:lineRule="auto" w:line="240" w:before="0" w:after="240"/>
        <w:ind w:left="0" w:right="0" w:firstLine="1440"/>
        <w:jc w:val="both"/>
        <w:rPr/>
      </w:pPr>
      <w:r>
        <w:rPr>
          <w:rFonts w:ascii="Times New Roman;sans-serif" w:hAnsi="Times New Roman;sans-serif"/>
          <w:b/>
          <w:color w:val="000000"/>
          <w:sz w:val="24"/>
        </w:rPr>
        <w:t>(a)    </w:t>
      </w:r>
      <w:r>
        <w:rPr>
          <w:rFonts w:ascii="Times New Roman;sans-serif" w:hAnsi="Times New Roman;sans-serif"/>
          <w:b w:val="false"/>
          <w:color w:val="000000"/>
          <w:sz w:val="24"/>
        </w:rPr>
        <w:t xml:space="preserve">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 </w:t>
      </w:r>
    </w:p>
    <w:p>
      <w:pPr>
        <w:pStyle w:val="TextBody"/>
        <w:bidi w:val="0"/>
        <w:spacing w:lineRule="auto" w:line="240" w:before="0" w:after="240"/>
        <w:ind w:left="0" w:right="0" w:firstLine="1440"/>
        <w:jc w:val="both"/>
        <w:rPr/>
      </w:pPr>
      <w:r>
        <w:rPr>
          <w:rFonts w:ascii="Times New Roman;sans-serif" w:hAnsi="Times New Roman;sans-serif"/>
          <w:b/>
          <w:color w:val="000000"/>
          <w:sz w:val="24"/>
        </w:rPr>
        <w:t>(b)    </w:t>
      </w:r>
      <w:r>
        <w:rPr>
          <w:rFonts w:ascii="Times New Roman;sans-serif" w:hAnsi="Times New Roman;sans-serif"/>
          <w:b w:val="false"/>
          <w:color w:val="000000"/>
          <w:sz w:val="24"/>
        </w:rPr>
        <w:t>In addition, the following provisions shall apply to the extent applicable at a vesting date when shares of Common Stock are registered under the Securities Act, unless otherwise determined by the Company. If:</w:t>
      </w:r>
    </w:p>
    <w:p>
      <w:pPr>
        <w:pStyle w:val="TextBody"/>
        <w:bidi w:val="0"/>
        <w:spacing w:lineRule="auto" w:line="240" w:before="0" w:after="240"/>
        <w:ind w:left="0" w:right="0" w:firstLine="2160"/>
        <w:jc w:val="both"/>
        <w:rPr/>
      </w:pPr>
      <w:r>
        <w:rPr>
          <w:rFonts w:ascii="Times New Roman;sans-serif" w:hAnsi="Times New Roman;sans-serif"/>
          <w:b/>
          <w:color w:val="000000"/>
          <w:sz w:val="24"/>
        </w:rPr>
        <w:t>(i)    </w:t>
      </w:r>
      <w:r>
        <w:rPr>
          <w:rFonts w:ascii="Times New Roman;sans-serif" w:hAnsi="Times New Roman;sans-serif"/>
          <w:b w:val="false"/>
          <w:color w:val="000000"/>
          <w:sz w:val="24"/>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ans-serif" w:hAnsi="Times New Roman;sans-serif"/>
          <w:b/>
          <w:i/>
          <w:color w:val="000000"/>
          <w:sz w:val="24"/>
        </w:rPr>
        <w:t>10b5-1 Arrangement</w:t>
      </w:r>
      <w:r>
        <w:rPr>
          <w:color w:val="000000"/>
        </w:rPr>
        <w:t>”</w:t>
      </w:r>
      <w:r>
        <w:rPr>
          <w:rFonts w:ascii="Times New Roman;sans-serif" w:hAnsi="Times New Roman;sans-serif"/>
          <w:b w:val="false"/>
          <w:color w:val="000000"/>
          <w:sz w:val="24"/>
        </w:rPr>
        <w:t xml:space="preserve">) or under such other policy expressly approved by the Company), </w:t>
      </w:r>
      <w:r>
        <w:rPr>
          <w:rFonts w:ascii="Times New Roman;sans-serif" w:hAnsi="Times New Roman;sans-serif"/>
          <w:b w:val="false"/>
          <w:i/>
          <w:color w:val="000000"/>
          <w:sz w:val="24"/>
        </w:rPr>
        <w:t>and</w:t>
      </w:r>
      <w:r>
        <w:rPr>
          <w:color w:val="000000"/>
        </w:rPr>
        <w:t xml:space="preserve"> </w:t>
      </w:r>
    </w:p>
    <w:p>
      <w:pPr>
        <w:pStyle w:val="TextBody"/>
        <w:bidi w:val="0"/>
        <w:spacing w:lineRule="auto" w:line="240" w:before="0" w:after="240"/>
        <w:ind w:left="0" w:right="0" w:firstLine="2160"/>
        <w:jc w:val="both"/>
        <w:rPr/>
      </w:pPr>
      <w:r>
        <w:rPr>
          <w:rFonts w:ascii="Times New Roman;sans-serif" w:hAnsi="Times New Roman;sans-serif"/>
          <w:b/>
          <w:color w:val="000000"/>
          <w:sz w:val="24"/>
        </w:rPr>
        <w:t>(ii)    </w:t>
      </w:r>
      <w:r>
        <w:rPr>
          <w:rFonts w:ascii="Times New Roman;sans-serif" w:hAnsi="Times New Roman;sans-serif"/>
          <w:b w:val="false"/>
          <w:color w:val="000000"/>
          <w:sz w:val="24"/>
        </w:rPr>
        <w:t xml:space="preserve">either (1) a Withholding Obligation does not apply, or (2) the Company decides, prior to the applicable vest date, (A) not to satisfy the Withholding Obligation by withholding shares of Common Stock from the shares otherwise due to you under this RSU Award, and (B) not to permit you to enter into a “same day sale” commitment with a broker-dealer (including but not limited to a commitment under a 10b5-1 Arrangement) and (C) not to permit you to pay your Withholding Obligation in cash, </w:t>
      </w:r>
    </w:p>
    <w:p>
      <w:pPr>
        <w:pStyle w:val="TextBody"/>
        <w:bidi w:val="0"/>
        <w:spacing w:lineRule="auto" w:line="240" w:before="0" w:after="240"/>
        <w:jc w:val="both"/>
        <w:rPr/>
      </w:pPr>
      <w:r>
        <w:rPr>
          <w:rFonts w:ascii="Times New Roman;sans-serif" w:hAnsi="Times New Roman;sans-serif"/>
          <w:b w:val="false"/>
          <w:color w:val="000000"/>
          <w:sz w:val="24"/>
          <w:u w:val="single"/>
        </w:rPr>
        <w:t>then</w:t>
      </w:r>
      <w:r>
        <w:rPr>
          <w:color w:val="000000"/>
        </w:rPr>
        <w:t xml:space="preserve"> </w:t>
      </w:r>
      <w:r>
        <w:rPr>
          <w:rFonts w:ascii="Times New Roman;sans-serif" w:hAnsi="Times New Roman;sans-serif"/>
          <w:b w:val="false"/>
          <w:color w:val="000000"/>
          <w:sz w:val="24"/>
        </w:rPr>
        <w:t>the shares that would otherwise be issued to you on the applicable vest date will not be delivered on such applicable vest date and will instead be delivered on the first business day when you are not prohibited from selling shares of the Company’s Common Stock in the open public market or on such other date determined by the Company, but in no event later than the Issuance Deadline.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w:t>
      </w:r>
      <w:r>
        <w:rPr>
          <w:rFonts w:ascii="Times New Roman;sans-serif" w:hAnsi="Times New Roman;sans-serif"/>
          <w:b/>
          <w:i/>
          <w:color w:val="000000"/>
          <w:sz w:val="24"/>
        </w:rPr>
        <w:t>Issuance Deadline</w:t>
      </w:r>
      <w:r>
        <w:rPr>
          <w:color w:val="000000"/>
        </w:rPr>
        <w:t xml:space="preserve">” </w:t>
      </w:r>
      <w:r>
        <w:rPr>
          <w:rFonts w:ascii="Times New Roman;sans-serif" w:hAnsi="Times New Roman;sans-serif"/>
          <w:b w:val="false"/>
          <w:color w:val="000000"/>
          <w:sz w:val="24"/>
        </w:rPr>
        <w:t xml:space="preserve">means (a) December 31 of the calendar year in which the applicable vest date occurs (that is, the last day of your taxable year in which the applicable vest date occurs), or (b) </w:t>
      </w:r>
      <w:r>
        <w:rPr>
          <w:rFonts w:ascii="Times New Roman;sans-serif" w:hAnsi="Times New Roman;sans-serif"/>
          <w:b w:val="false"/>
          <w:color w:val="000000"/>
          <w:sz w:val="24"/>
          <w:u w:val="single"/>
        </w:rPr>
        <w:t>if and only if</w:t>
      </w:r>
      <w:r>
        <w:rPr>
          <w:color w:val="000000"/>
        </w:rPr>
        <w:t xml:space="preserve"> </w:t>
      </w:r>
      <w:r>
        <w:rPr>
          <w:rFonts w:ascii="Times New Roman;sans-serif" w:hAnsi="Times New Roman;sans-serif"/>
          <w:b w:val="false"/>
          <w:color w:val="000000"/>
          <w:sz w:val="24"/>
        </w:rPr>
        <w:t>permitted in a manner that complies with Treasury Regulations Section 1.409A-1(b)(4), no later than the date that is the 15th day of the third calendar month of the applicable year following the year in which the shares of Common Stock issuable as a result of the applicable vest date under this RSU Award are no longer subject to a “substantial risk of forfeiture” within the meaning of Treasury Regulations Section 1.409A-1(d).</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1945"/>
                <wp:effectExtent l="0" t="0" r="0" b="0"/>
                <wp:wrapNone/>
                <wp:docPr id="133" name="Frame1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(c)    </w:t>
      </w:r>
      <w:r>
        <w:rPr>
          <w:rFonts w:ascii="Times New Roman;sans-serif" w:hAnsi="Times New Roman;sans-serif"/>
          <w:b w:val="false"/>
          <w:color w:val="000000"/>
          <w:sz w:val="24"/>
        </w:rPr>
        <w:t>To the extent the RSU Award is a Non-Exempt Award, the provisions of Section 11 of the Plan shall apply.</w:t>
      </w:r>
    </w:p>
    <w:p>
      <w:pPr>
        <w:pStyle w:val="TextBody"/>
        <w:bidi w:val="0"/>
        <w:spacing w:lineRule="auto" w:line="240" w:before="0" w:after="240"/>
        <w:ind w:left="0" w:right="0" w:firstLine="720"/>
        <w:jc w:val="both"/>
        <w:rPr/>
      </w:pPr>
      <w:r>
        <w:rPr>
          <w:rFonts w:ascii="Times New Roman;sans-serif" w:hAnsi="Times New Roman;sans-serif"/>
          <w:b/>
          <w:color w:val="000000"/>
          <w:sz w:val="24"/>
        </w:rPr>
        <w:t>7.    Transferability.</w:t>
      </w:r>
      <w:r>
        <w:rPr>
          <w:color w:val="000000"/>
        </w:rPr>
        <w:t xml:space="preserve"> </w:t>
      </w:r>
      <w:r>
        <w:rPr>
          <w:rFonts w:ascii="Times New Roman;sans-serif" w:hAnsi="Times New Roman;sans-serif"/>
          <w:b w:val="false"/>
          <w:color w:val="000000"/>
          <w:sz w:val="24"/>
        </w:rPr>
        <w:t xml:space="preserve">Except as otherwise provided in the Plan, your RSU Award is not transferable, except by will or by the applicable laws of descent and distribution. </w:t>
      </w:r>
    </w:p>
    <w:p>
      <w:pPr>
        <w:pStyle w:val="TextBody"/>
        <w:bidi w:val="0"/>
        <w:spacing w:lineRule="auto" w:line="240" w:before="0" w:after="240"/>
        <w:ind w:left="0" w:right="0" w:firstLine="720"/>
        <w:jc w:val="both"/>
        <w:rPr/>
      </w:pPr>
      <w:r>
        <w:rPr>
          <w:rFonts w:ascii="Times New Roman;sans-serif" w:hAnsi="Times New Roman;sans-serif"/>
          <w:b/>
          <w:color w:val="000000"/>
          <w:sz w:val="24"/>
        </w:rPr>
        <w:t>8.    Corporate Transaction.</w:t>
      </w:r>
      <w:r>
        <w:rPr>
          <w:color w:val="000000"/>
        </w:rPr>
        <w:t xml:space="preserve"> </w:t>
      </w:r>
      <w:r>
        <w:rPr>
          <w:rFonts w:ascii="Times New Roman;sans-serif" w:hAnsi="Times New Roman;sans-serif"/>
          <w:b w:val="false"/>
          <w:color w:val="000000"/>
          <w:sz w:val="24"/>
        </w:rPr>
        <w:t>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9.    No Liability for Taxes</w:t>
      </w:r>
      <w:r>
        <w:rPr>
          <w:rFonts w:ascii="Times New Roman;sans-serif" w:hAnsi="Times New Roman;sans-serif"/>
          <w:b w:val="false"/>
          <w:color w:val="000000"/>
          <w:sz w:val="24"/>
        </w:rPr>
        <w:t>.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spacing w:lineRule="auto" w:line="240" w:before="0" w:after="240"/>
        <w:ind w:left="0" w:right="0" w:firstLine="720"/>
        <w:jc w:val="both"/>
        <w:rPr/>
      </w:pPr>
      <w:r>
        <w:rPr>
          <w:rFonts w:ascii="Times New Roman;sans-serif" w:hAnsi="Times New Roman;sans-serif"/>
          <w:b/>
          <w:color w:val="000000"/>
          <w:sz w:val="24"/>
        </w:rPr>
        <w:t>10.    Personal Data.</w:t>
      </w:r>
      <w:r>
        <w:rPr>
          <w:color w:val="000000"/>
        </w:rPr>
        <w:t xml:space="preserve"> </w:t>
      </w:r>
      <w:r>
        <w:rPr>
          <w:rFonts w:ascii="Times New Roman;sans-serif" w:hAnsi="Times New Roman;sans-serif"/>
          <w:b w:val="false"/>
          <w:color w:val="000000"/>
          <w:sz w:val="24"/>
        </w:rPr>
        <w:t>You acknowledge and agree that the Company will process and retain certain personal data for the purposes of (1) calculating RSU Awards, (2) monitoring RSU Award terms and conditions, and (3) otherwise administering the Plan and Awards made under it. Such personal data may include, among other things, your address and social security number, pay data, job title, and employment dates. You consent to such processing, and to the sharing of such personal data with the Company, its agents, its advisers, its regulators, and tax authorities, wherever appropriate.</w:t>
      </w:r>
    </w:p>
    <w:p>
      <w:pPr>
        <w:pStyle w:val="TextBody"/>
        <w:bidi w:val="0"/>
        <w:spacing w:lineRule="auto" w:line="240" w:before="0" w:after="240"/>
        <w:ind w:left="0" w:right="0" w:firstLine="720"/>
        <w:jc w:val="both"/>
        <w:rPr/>
      </w:pPr>
      <w:r>
        <w:rPr>
          <w:rFonts w:ascii="Times New Roman;sans-serif" w:hAnsi="Times New Roman;sans-serif"/>
          <w:b/>
          <w:color w:val="000000"/>
          <w:sz w:val="24"/>
        </w:rPr>
        <w:t>11.    Severability</w:t>
      </w:r>
      <w:r>
        <w:rPr>
          <w:rFonts w:ascii="Times New Roman;sans-serif" w:hAnsi="Times New Roman;sans-serif"/>
          <w:b w:val="false"/>
          <w:color w:val="000000"/>
          <w:sz w:val="24"/>
        </w:rPr>
        <w:t>.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both"/>
        <w:rPr/>
      </w:pPr>
      <w:r>
        <w:rPr>
          <w:rFonts w:ascii="Times New Roman;sans-serif" w:hAnsi="Times New Roman;sans-serif"/>
          <w:b/>
          <w:color w:val="000000"/>
          <w:sz w:val="24"/>
        </w:rPr>
        <w:t>12.    Other Documents.</w:t>
      </w:r>
      <w:r>
        <w:rPr>
          <w:color w:val="000000"/>
        </w:rPr>
        <w:t>  </w:t>
      </w:r>
      <w:r>
        <w:rPr>
          <w:rFonts w:ascii="Times New Roman;sans-serif" w:hAnsi="Times New Roman;sans-serif"/>
          <w:b w:val="false"/>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13.    Questions. </w:t>
      </w:r>
      <w:r>
        <w:rPr>
          <w:rFonts w:ascii="Times New Roman;sans-serif" w:hAnsi="Times New Roman;sans-serif"/>
          <w:b w:val="false"/>
          <w:color w:val="000000"/>
          <w:sz w:val="24"/>
        </w:rPr>
        <w:t>If you have questions regarding these or any other terms and conditions applicable to your RSU Award, including a summary of the applicable federal income tax consequences please see the Prospectus.</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1945"/>
                <wp:effectExtent l="0" t="0" r="0" b="0"/>
                <wp:wrapNone/>
                <wp:docPr id="134" name="Frame1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23.1</w:t>
      </w:r>
    </w:p>
    <w:p>
      <w:pPr>
        <w:pStyle w:val="TextBody"/>
        <w:bidi w:val="0"/>
        <w:spacing w:before="240" w:after="283"/>
        <w:jc w:val="center"/>
        <w:rPr/>
      </w:pPr>
      <w:r>
        <w:rPr/>
      </w:r>
    </w:p>
    <w:p>
      <w:pPr>
        <w:pStyle w:val="TextBody"/>
        <w:bidi w:val="0"/>
        <w:spacing w:lineRule="auto" w:line="288" w:before="24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lineRule="auto" w:line="288" w:before="0" w:after="60"/>
        <w:jc w:val="left"/>
        <w:rPr>
          <w:color w:val="000000"/>
        </w:rPr>
      </w:pPr>
      <w:r>
        <w:rPr>
          <w:color w:val="000000"/>
        </w:rPr>
        <w:t>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S-8 No. 333-192277) pertaining to the 2000 Stock Option and Incentive Plan, the 2003 Equity Incentive Plan, and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2.Registration Statements (Form S-8 No. 333-202470)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3.Registration Statements (Form S-8 No. 333-209812)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4.Registration Statements (Form S-8 No. 333-217620)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5.Registration Statements (Form S-8 No. 333-223682)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6.Registration Statements (Form S-8 No. 333-230292)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7.Registration Statements (Form S-8 No. 333-237127)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8.Registration Statements (Form S-8 No. 333-253502)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9.Registration Statements (Form S-8 No. 333-262967) pertaining to the 2013 Equity Incentive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10.Registration Statement (Form S-8 No. 333-270562) pertaining to the 2013 Equity Incentive Plan of MacroGenics, Inc.,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11.Registration Statement (Form S-8 No. 333-214386) pertaining to the 2016 Employee Stock Purchase Plan of MacroGenics, Inc.,</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12.Registration Statement (Form S-8 No. 333-272451) pertaining to the 2023 Equity Incentive Plan of MacroGenics, Inc.,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13.Registration Statement (Form S-3 No. 333-275343) of MacroGenics,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March 7, 2024, with respect to the consolidated financial statements of MacroGenics, Inc. and the effectiveness of internal control over financial reporting of MacroGenics, Inc. included in this Annual Report (Form 10-K) of MacroGenics, Inc. for the year ended December 31, 2023.</w:t>
      </w:r>
    </w:p>
    <w:p>
      <w:pPr>
        <w:pStyle w:val="TextBody"/>
        <w:bidi w:val="0"/>
        <w:spacing w:lineRule="auto" w:line="288" w:before="36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Tysons, Virginia</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certify that:</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period ended December 31, 2023 of MacroGenics, Inc.;</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8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Koenig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7,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James Karrels, certify that:</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period ended December 31, 2023 of MacroGenics, Inc.;</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11"/>
        <w:gridCol w:w="1211"/>
        <w:gridCol w:w="1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Karrels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7,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 18 U.S.C. 1350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President and Chief Executive Officer (principal executive officer) of MacroGenics, Inc. (the “Registrant”), certify, to the best of my knowledge, based upon a review of the Annual Report on Form 10-K for the period ended December 31, 2023 of the Registrant (the “Report”),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7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Scott Koenig </w:t>
      </w:r>
    </w:p>
    <w:p>
      <w:pPr>
        <w:pStyle w:val="TextBody"/>
        <w:bidi w:val="0"/>
        <w:spacing w:lineRule="auto" w:line="288" w:before="0" w:after="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Name: Scott Koenig, M.D., Ph.D.</w:t>
      </w:r>
    </w:p>
    <w:p>
      <w:pPr>
        <w:pStyle w:val="TextBody"/>
        <w:bidi w:val="0"/>
        <w:spacing w:lineRule="auto" w:line="288" w:before="0" w:after="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7,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 18 U.S.C. 1350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Karrels, Senior Vice President and Chief Financial Officer (principal financial officer) of MacroGenics, Inc. (the “Registrant”), certify, to the best of my knowledge, based upon a review of the Annual Report on Form 10-K for the period ended December 31, 2023 of the Registrant (the “Report”),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p>
      <w:pPr>
        <w:pStyle w:val="TextBody"/>
        <w:bidi w:val="0"/>
        <w:spacing w:lineRule="auto" w:line="288" w:before="0" w:after="0"/>
        <w:ind w:left="0" w:right="0" w:firstLine="57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    </w:t>
      </w:r>
    </w:p>
    <w:p>
      <w:pPr>
        <w:pStyle w:val="TextBody"/>
        <w:bidi w:val="0"/>
        <w:spacing w:lineRule="auto" w:line="288" w:before="0" w:after="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Karrels</w:t>
      </w:r>
    </w:p>
    <w:p>
      <w:pPr>
        <w:pStyle w:val="TextBody"/>
        <w:bidi w:val="0"/>
        <w:spacing w:lineRule="auto" w:line="288" w:before="0" w:after="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7,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MACROGENICS, INC.</w:t>
      </w:r>
    </w:p>
    <w:p>
      <w:pPr>
        <w:pStyle w:val="TextBody"/>
        <w:bidi w:val="0"/>
        <w:spacing w:lineRule="auto" w:line="288" w:before="0" w:after="180"/>
        <w:ind w:left="0" w:right="0" w:firstLine="1528"/>
        <w:jc w:val="center"/>
        <w:rPr>
          <w:rFonts w:ascii="Times New Roman;sans-serif" w:hAnsi="Times New Roman;sans-serif"/>
          <w:b/>
          <w:color w:val="000000"/>
          <w:sz w:val="24"/>
        </w:rPr>
      </w:pPr>
      <w:r>
        <w:rPr>
          <w:rFonts w:ascii="Times New Roman;sans-serif" w:hAnsi="Times New Roman;sans-serif"/>
          <w:b/>
          <w:color w:val="000000"/>
          <w:sz w:val="24"/>
        </w:rPr>
        <w:t>INCENTIVE COMPENSATION RECOUPMENT POLICY</w:t>
      </w:r>
    </w:p>
    <w:p>
      <w:pPr>
        <w:pStyle w:val="TextBody"/>
        <w:bidi w:val="0"/>
        <w:spacing w:lineRule="auto" w:line="288" w:before="0" w:after="180"/>
        <w:ind w:left="0" w:right="0" w:firstLine="1528"/>
        <w:jc w:val="center"/>
        <w:rPr>
          <w:rFonts w:ascii="Times New Roman;sans-serif" w:hAnsi="Times New Roman;sans-serif"/>
          <w:b/>
          <w:color w:val="000000"/>
          <w:sz w:val="24"/>
        </w:rPr>
      </w:pPr>
      <w:r>
        <w:rPr>
          <w:rFonts w:ascii="Times New Roman;sans-serif" w:hAnsi="Times New Roman;sans-serif"/>
          <w:b/>
          <w:color w:val="000000"/>
          <w:sz w:val="24"/>
        </w:rPr>
        <w:t>(Adopted November 30, 2023)</w:t>
      </w:r>
    </w:p>
    <w:p>
      <w:pPr>
        <w:pStyle w:val="TextBody"/>
        <w:bidi w:val="0"/>
        <w:spacing w:lineRule="auto" w:line="288" w:before="0" w:after="18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1.INTRODUCTION</w:t>
      </w:r>
    </w:p>
    <w:p>
      <w:pPr>
        <w:pStyle w:val="TextBody"/>
        <w:bidi w:val="0"/>
        <w:spacing w:lineRule="auto" w:line="288" w:before="0" w:after="180"/>
        <w:ind w:left="0" w:right="0" w:firstLine="839"/>
        <w:jc w:val="both"/>
        <w:rPr/>
      </w:pPr>
      <w:r>
        <w:rPr>
          <w:rFonts w:ascii="Times New Roman;sans-serif" w:hAnsi="Times New Roman;sans-serif"/>
          <w:b w:val="false"/>
          <w:color w:val="000000"/>
          <w:sz w:val="22"/>
        </w:rPr>
        <w:t>The Board of Directors</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MacroGenics,</w:t>
      </w:r>
      <w:r>
        <w:rPr>
          <w:color w:val="000000"/>
        </w:rPr>
        <w:t xml:space="preserve"> </w:t>
      </w:r>
      <w:r>
        <w:rPr>
          <w:rFonts w:ascii="Times New Roman;sans-serif" w:hAnsi="Times New Roman;sans-serif"/>
          <w:b w:val="false"/>
          <w:color w:val="000000"/>
          <w:sz w:val="22"/>
        </w:rPr>
        <w:t>Inc., a Delaware corporation (the</w:t>
      </w:r>
      <w:r>
        <w:rPr>
          <w:color w:val="000000"/>
        </w:rPr>
        <w:t xml:space="preserv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has</w:t>
      </w:r>
      <w:r>
        <w:rPr>
          <w:color w:val="000000"/>
        </w:rPr>
        <w:t xml:space="preserve"> </w:t>
      </w:r>
      <w:r>
        <w:rPr>
          <w:rFonts w:ascii="Times New Roman;sans-serif" w:hAnsi="Times New Roman;sans-serif"/>
          <w:b w:val="false"/>
          <w:color w:val="000000"/>
          <w:sz w:val="22"/>
        </w:rPr>
        <w:t>determined</w:t>
      </w:r>
      <w:r>
        <w:rPr>
          <w:color w:val="000000"/>
        </w:rPr>
        <w:t xml:space="preserve"> </w:t>
      </w:r>
      <w:r>
        <w:rPr>
          <w:rFonts w:ascii="Times New Roman;sans-serif" w:hAnsi="Times New Roman;sans-serif"/>
          <w:b w:val="false"/>
          <w:color w:val="000000"/>
          <w:sz w:val="22"/>
        </w:rPr>
        <w:t>that it is</w:t>
      </w:r>
      <w:r>
        <w:rPr>
          <w:color w:val="000000"/>
        </w:rPr>
        <w:t xml:space="preserve"> </w:t>
      </w:r>
      <w:r>
        <w:rPr>
          <w:rFonts w:ascii="Times New Roman;sans-serif" w:hAnsi="Times New Roman;sans-serif"/>
          <w:b w:val="false"/>
          <w:color w:val="000000"/>
          <w:sz w:val="22"/>
        </w:rPr>
        <w:t>in the best interests of the Company and its stockholders to adopt a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2"/>
        </w:rPr>
        <w:t>) providing for the Company’s recoupment of certain Incentive Compensation (as defined below) paid to Covered Officers (as defined below) of the Company under certain circumstances.</w:t>
      </w:r>
      <w:r>
        <w:rPr>
          <w:color w:val="000000"/>
        </w:rPr>
        <w:t xml:space="preserve"> </w:t>
      </w:r>
      <w:r>
        <w:rPr>
          <w:rFonts w:ascii="Times New Roman;sans-serif" w:hAnsi="Times New Roman;sans-serif"/>
          <w:b w:val="false"/>
          <w:color w:val="000000"/>
          <w:sz w:val="22"/>
        </w:rPr>
        <w:t>The Board may delegate determinations to be made under</w:t>
      </w:r>
      <w:r>
        <w:rPr>
          <w:color w:val="000000"/>
        </w:rPr>
        <w:t xml:space="preserve"> </w:t>
      </w:r>
      <w:r>
        <w:rPr>
          <w:rFonts w:ascii="Times New Roman;sans-serif" w:hAnsi="Times New Roman;sans-serif"/>
          <w:b w:val="false"/>
          <w:color w:val="000000"/>
          <w:sz w:val="22"/>
        </w:rPr>
        <w:t>the Policy to</w:t>
      </w:r>
      <w:r>
        <w:rPr>
          <w:color w:val="000000"/>
        </w:rPr>
        <w:t xml:space="preserve"> </w:t>
      </w:r>
      <w:r>
        <w:rPr>
          <w:rFonts w:ascii="Times New Roman;sans-serif" w:hAnsi="Times New Roman;sans-serif"/>
          <w:b w:val="false"/>
          <w:color w:val="000000"/>
          <w:sz w:val="22"/>
        </w:rPr>
        <w:t>the Compensation Committee of</w:t>
      </w:r>
      <w:r>
        <w:rPr>
          <w:color w:val="000000"/>
        </w:rPr>
        <w:t xml:space="preserve"> </w:t>
      </w:r>
      <w:r>
        <w:rPr>
          <w:rFonts w:ascii="Times New Roman;sans-serif" w:hAnsi="Times New Roman;sans-serif"/>
          <w:b w:val="false"/>
          <w:color w:val="000000"/>
          <w:sz w:val="22"/>
        </w:rPr>
        <w:t>the Board</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4"/>
        </w:rPr>
        <w:t>Compensation Committee</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and the Board and the Compensation Committee are collectively referred to in this Policy as the “</w:t>
      </w:r>
      <w:r>
        <w:rPr>
          <w:rFonts w:ascii="Times New Roman;sans-serif" w:hAnsi="Times New Roman;sans-serif"/>
          <w:b/>
          <w:i/>
          <w:color w:val="000000"/>
          <w:sz w:val="24"/>
        </w:rPr>
        <w:t>Board</w:t>
      </w:r>
      <w:r>
        <w:rPr>
          <w:rFonts w:ascii="Times New Roman;sans-serif" w:hAnsi="Times New Roman;sans-serif"/>
          <w:b w:val="false"/>
          <w:color w:val="000000"/>
          <w:sz w:val="22"/>
        </w:rPr>
        <w:t>.”</w:t>
      </w:r>
    </w:p>
    <w:p>
      <w:pPr>
        <w:pStyle w:val="TextBody"/>
        <w:bidi w:val="0"/>
        <w:spacing w:lineRule="auto" w:line="288" w:before="0" w:after="180"/>
        <w:ind w:left="0" w:right="0" w:firstLine="720"/>
        <w:jc w:val="both"/>
        <w:rPr/>
      </w:pPr>
      <w:r>
        <w:rPr>
          <w:rFonts w:ascii="Times New Roman;sans-serif" w:hAnsi="Times New Roman;sans-serif"/>
          <w:b w:val="false"/>
          <w:color w:val="000000"/>
          <w:sz w:val="22"/>
        </w:rPr>
        <w:t>This Policy shall be administered by the Board and, except as specifically provided herein, the Board shall have full and final authority to make any and all determinations required under this Policy. Any determination by the Board with respect to this Policy shall be final, conclusive, and binding on all interested parties. Subject to applicable law, the Board may authorize and empower any officer or employee of the Company to take any and all actions that the Board, in its sole discretion, deems necessary or appropriate to carry out the purpose and intent of this Policy (other than with respect to any recovery under this Policy involving such officer or employee).</w:t>
      </w:r>
      <w:r>
        <w:rPr>
          <w:color w:val="000000"/>
        </w:rPr>
        <w:t xml:space="preserve"> </w:t>
      </w:r>
      <w:r>
        <w:rPr>
          <w:rFonts w:ascii="Times New Roman;sans-serif" w:hAnsi="Times New Roman;sans-serif"/>
          <w:b w:val="false"/>
          <w:color w:val="000000"/>
          <w:sz w:val="22"/>
        </w:rPr>
        <w:t>The Board may amend or terminate this Policy at any time.</w:t>
      </w:r>
    </w:p>
    <w:p>
      <w:pPr>
        <w:pStyle w:val="TextBody"/>
        <w:bidi w:val="0"/>
        <w:spacing w:lineRule="auto" w:line="288" w:before="0" w:after="180"/>
        <w:ind w:left="0" w:right="0" w:firstLine="720"/>
        <w:jc w:val="both"/>
        <w:rPr/>
      </w:pPr>
      <w:r>
        <w:rPr>
          <w:rFonts w:ascii="Times New Roman;sans-serif" w:hAnsi="Times New Roman;sans-serif"/>
          <w:b w:val="false"/>
          <w:color w:val="000000"/>
          <w:sz w:val="22"/>
        </w:rPr>
        <w:t>This Policy is designed to comply with, and shall be interpreted to be consistent with, Section 10D of the Securities Exchange Act of 1934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2"/>
        </w:rPr>
        <w:t>), Rule 10D-1 promulgated thereunder (“</w:t>
      </w:r>
      <w:r>
        <w:rPr>
          <w:rFonts w:ascii="Times New Roman;sans-serif" w:hAnsi="Times New Roman;sans-serif"/>
          <w:b/>
          <w:i/>
          <w:color w:val="000000"/>
          <w:sz w:val="24"/>
        </w:rPr>
        <w:t>Rule 10D-1</w:t>
      </w:r>
      <w:r>
        <w:rPr>
          <w:color w:val="000000"/>
        </w:rPr>
        <w:t>”</w:t>
      </w:r>
      <w:r>
        <w:rPr>
          <w:rFonts w:ascii="Times New Roman;sans-serif" w:hAnsi="Times New Roman;sans-serif"/>
          <w:b w:val="false"/>
          <w:color w:val="000000"/>
          <w:sz w:val="22"/>
        </w:rPr>
        <w:t>) and Nasdaq Listing Rule 5608 (the “</w:t>
      </w:r>
      <w:r>
        <w:rPr>
          <w:rFonts w:ascii="Times New Roman;sans-serif" w:hAnsi="Times New Roman;sans-serif"/>
          <w:b/>
          <w:i/>
          <w:color w:val="000000"/>
          <w:sz w:val="24"/>
        </w:rPr>
        <w:t>Listing Standards</w:t>
      </w:r>
      <w:r>
        <w:rPr>
          <w:color w:val="000000"/>
        </w:rPr>
        <w:t>”</w:t>
      </w:r>
      <w:r>
        <w:rPr>
          <w:rFonts w:ascii="Times New Roman;sans-serif" w:hAnsi="Times New Roman;sans-serif"/>
          <w:b w:val="false"/>
          <w:color w:val="000000"/>
          <w:sz w:val="22"/>
        </w:rPr>
        <w:t>).</w:t>
      </w:r>
    </w:p>
    <w:p>
      <w:pPr>
        <w:pStyle w:val="TextBody"/>
        <w:bidi w:val="0"/>
        <w:spacing w:lineRule="auto" w:line="288" w:before="0" w:after="180"/>
        <w:ind w:left="0" w:right="0" w:hanging="360"/>
        <w:jc w:val="both"/>
        <w:rPr/>
      </w:pPr>
      <w:r>
        <w:rPr>
          <w:rFonts w:ascii="Times New Roman;sans-serif" w:hAnsi="Times New Roman;sans-serif"/>
          <w:b/>
          <w:color w:val="000000"/>
          <w:sz w:val="22"/>
        </w:rPr>
        <w:t>2.</w:t>
      </w:r>
      <w:r>
        <w:rPr>
          <w:rFonts w:ascii="Times New Roman;sans-serif" w:hAnsi="Times New Roman;sans-serif"/>
          <w:b/>
          <w:color w:val="000000"/>
          <w:sz w:val="24"/>
        </w:rPr>
        <w:t>EFFECTIVE DATE</w:t>
      </w:r>
    </w:p>
    <w:p>
      <w:pPr>
        <w:pStyle w:val="TextBody"/>
        <w:bidi w:val="0"/>
        <w:spacing w:lineRule="auto" w:line="288" w:before="0" w:after="180"/>
        <w:ind w:left="0" w:right="0" w:firstLine="720"/>
        <w:jc w:val="both"/>
        <w:rPr/>
      </w:pPr>
      <w:r>
        <w:rPr>
          <w:rFonts w:ascii="Times New Roman;sans-serif" w:hAnsi="Times New Roman;sans-serif"/>
          <w:b w:val="false"/>
          <w:color w:val="000000"/>
          <w:sz w:val="22"/>
        </w:rPr>
        <w:t>This Policy shall apply to all Incentive Compensation that is received by a Covered Officer on or after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2"/>
        </w:rPr>
        <w:t>). Incentive Compensation is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2"/>
        </w:rPr>
        <w:t>in the Company’s fiscal period in which the Financial Reporting Measure (as defined below) specified in the Incentive Compensation award is attained, even if the payment or grant of such Incentive Compensation occurs after the end of that period.</w:t>
      </w:r>
    </w:p>
    <w:p>
      <w:pPr>
        <w:pStyle w:val="TextBody"/>
        <w:bidi w:val="0"/>
        <w:spacing w:lineRule="auto" w:line="288" w:before="0" w:after="180"/>
        <w:ind w:left="0" w:right="0" w:hanging="360"/>
        <w:jc w:val="both"/>
        <w:rPr/>
      </w:pPr>
      <w:r>
        <w:rPr>
          <w:rFonts w:ascii="Times New Roman;sans-serif" w:hAnsi="Times New Roman;sans-serif"/>
          <w:b/>
          <w:color w:val="000000"/>
          <w:sz w:val="22"/>
        </w:rPr>
        <w:t>3.</w:t>
      </w:r>
      <w:r>
        <w:rPr>
          <w:rFonts w:ascii="Times New Roman;sans-serif" w:hAnsi="Times New Roman;sans-serif"/>
          <w:b/>
          <w:color w:val="000000"/>
          <w:sz w:val="24"/>
        </w:rPr>
        <w:t>DEFINITIONS</w:t>
      </w:r>
    </w:p>
    <w:p>
      <w:pPr>
        <w:pStyle w:val="TextBody"/>
        <w:bidi w:val="0"/>
        <w:spacing w:lineRule="auto" w:line="288" w:before="0" w:after="180"/>
        <w:ind w:left="0" w:right="0" w:firstLine="8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Policy, the following terms shall have the meanings set forth below: </w:t>
      </w:r>
    </w:p>
    <w:p>
      <w:pPr>
        <w:pStyle w:val="TextBody"/>
        <w:bidi w:val="0"/>
        <w:spacing w:lineRule="auto" w:line="288" w:before="0" w:after="180"/>
        <w:ind w:left="0" w:right="0" w:firstLine="810"/>
        <w:jc w:val="both"/>
        <w:rPr/>
      </w:pPr>
      <w:r>
        <w:rPr>
          <w:color w:val="000000"/>
        </w:rPr>
        <w:t>“</w:t>
      </w:r>
      <w:r>
        <w:rPr>
          <w:rFonts w:ascii="Times New Roman;sans-serif" w:hAnsi="Times New Roman;sans-serif"/>
          <w:b/>
          <w:i/>
          <w:color w:val="000000"/>
          <w:sz w:val="24"/>
        </w:rPr>
        <w:t>Accounting Restatement</w:t>
      </w:r>
      <w:r>
        <w:rPr>
          <w:color w:val="000000"/>
        </w:rPr>
        <w:t xml:space="preserve">” </w:t>
      </w:r>
      <w:r>
        <w:rPr>
          <w:rFonts w:ascii="Times New Roman;sans-serif" w:hAnsi="Times New Roman;sans-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Accounting Restatement Date</w:t>
      </w:r>
      <w:r>
        <w:rPr>
          <w:color w:val="000000"/>
        </w:rPr>
        <w:t xml:space="preserve">” </w:t>
      </w:r>
      <w:r>
        <w:rPr>
          <w:rFonts w:ascii="Times New Roman;sans-serif" w:hAnsi="Times New Roman;sans-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Code</w:t>
      </w:r>
      <w:r>
        <w:rPr>
          <w:color w:val="000000"/>
        </w:rPr>
        <w:t xml:space="preserve">” </w:t>
      </w:r>
      <w:r>
        <w:rPr>
          <w:rFonts w:ascii="Times New Roman;sans-serif" w:hAnsi="Times New Roman;sans-serif"/>
          <w:b w:val="false"/>
          <w:color w:val="000000"/>
          <w:sz w:val="22"/>
        </w:rPr>
        <w:t>means the U.S. Internal Revenue Code of 1986, as amended, and the regulations promulgated thereunder.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Covered Officer</w:t>
      </w:r>
      <w:r>
        <w:rPr>
          <w:color w:val="000000"/>
        </w:rPr>
        <w:t xml:space="preserve">” </w:t>
      </w:r>
      <w:r>
        <w:rPr>
          <w:rFonts w:ascii="Times New Roman;sans-serif" w:hAnsi="Times New Roman;sans-serif"/>
          <w:b w:val="false"/>
          <w:color w:val="000000"/>
          <w:sz w:val="22"/>
        </w:rPr>
        <w:t>means</w:t>
      </w:r>
      <w:r>
        <w:rPr>
          <w:color w:val="000000"/>
        </w:rPr>
        <w:t xml:space="preserve"> </w:t>
      </w:r>
      <w:r>
        <w:rPr>
          <w:rFonts w:ascii="Times New Roman;sans-serif" w:hAnsi="Times New Roman;sans-serif"/>
          <w:b w:val="false"/>
          <w:color w:val="000000"/>
          <w:sz w:val="22"/>
        </w:rPr>
        <w:t>each</w:t>
      </w:r>
      <w:r>
        <w:rPr>
          <w:color w:val="000000"/>
        </w:rPr>
        <w:t xml:space="preserve"> </w:t>
      </w:r>
      <w:r>
        <w:rPr>
          <w:rFonts w:ascii="Times New Roman;sans-serif" w:hAnsi="Times New Roman;sans-serif"/>
          <w:b w:val="false"/>
          <w:color w:val="000000"/>
          <w:sz w:val="22"/>
        </w:rPr>
        <w:t>current</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2"/>
        </w:rPr>
        <w:t>former</w:t>
      </w:r>
      <w:r>
        <w:rPr>
          <w:color w:val="000000"/>
        </w:rPr>
        <w:t xml:space="preserve"> </w:t>
      </w:r>
      <w:r>
        <w:rPr>
          <w:rFonts w:ascii="Times New Roman;sans-serif" w:hAnsi="Times New Roman;sans-serif"/>
          <w:b w:val="false"/>
          <w:color w:val="000000"/>
          <w:sz w:val="22"/>
        </w:rPr>
        <w:t>Executive</w:t>
      </w:r>
      <w:r>
        <w:rPr>
          <w:color w:val="000000"/>
        </w:rPr>
        <w:t xml:space="preserve"> </w:t>
      </w:r>
      <w:r>
        <w:rPr>
          <w:rFonts w:ascii="Times New Roman;sans-serif" w:hAnsi="Times New Roman;sans-serif"/>
          <w:b w:val="false"/>
          <w:color w:val="000000"/>
          <w:sz w:val="22"/>
        </w:rPr>
        <w:t>Officer.</w:t>
      </w:r>
      <w:r>
        <w:rPr>
          <w:color w:val="000000"/>
        </w:rPr>
        <w:t xml:space="preserve"> </w:t>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Exchange</w:t>
      </w:r>
      <w:r>
        <w:rPr>
          <w:color w:val="000000"/>
        </w:rPr>
        <w:t xml:space="preserve">” </w:t>
      </w:r>
      <w:r>
        <w:rPr>
          <w:rFonts w:ascii="Times New Roman;sans-serif" w:hAnsi="Times New Roman;sans-serif"/>
          <w:b w:val="false"/>
          <w:color w:val="000000"/>
          <w:sz w:val="22"/>
        </w:rPr>
        <w:t>means the Nasdaq Stock Market.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ans-serif" w:hAnsi="Times New Roman;sans-serif"/>
          <w:b/>
          <w:i/>
          <w:color w:val="000000"/>
          <w:sz w:val="24"/>
        </w:rPr>
        <w:t>TSR</w:t>
      </w:r>
      <w:r>
        <w:rPr>
          <w:color w:val="000000"/>
        </w:rPr>
        <w:t>”</w:t>
      </w:r>
      <w:r>
        <w:rPr>
          <w:rFonts w:ascii="Times New Roman;sans-serif" w:hAnsi="Times New Roman;sans-serif"/>
          <w:b w:val="false"/>
          <w:color w:val="000000"/>
          <w:sz w:val="24"/>
        </w:rPr>
        <w:t>). A measure need not be presented in the Company’s financial statements or included in a filing with the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in order to be a Financial Reporting Measure.</w:t>
      </w:r>
    </w:p>
    <w:p>
      <w:pPr>
        <w:pStyle w:val="TextBody"/>
        <w:bidi w:val="0"/>
        <w:spacing w:lineRule="auto" w:line="288" w:before="0" w:after="180"/>
        <w:ind w:left="0" w:right="0" w:firstLine="840"/>
        <w:jc w:val="both"/>
        <w:rPr/>
      </w:pPr>
      <w:r>
        <w:rPr>
          <w:color w:val="000000"/>
        </w:rPr>
        <w:t>“</w:t>
      </w:r>
      <w:r>
        <w:rPr>
          <w:rFonts w:ascii="Times New Roman;sans-serif" w:hAnsi="Times New Roman;sans-serif"/>
          <w:b/>
          <w:i/>
          <w:color w:val="000000"/>
          <w:sz w:val="24"/>
        </w:rPr>
        <w:t>Incentive Compensation</w:t>
      </w:r>
      <w:r>
        <w:rPr>
          <w:color w:val="000000"/>
        </w:rPr>
        <w:t xml:space="preserve">” </w:t>
      </w:r>
      <w:r>
        <w:rPr>
          <w:rFonts w:ascii="Times New Roman;sans-serif" w:hAnsi="Times New Roman;sans-serif"/>
          <w:b w:val="false"/>
          <w:color w:val="000000"/>
          <w:sz w:val="22"/>
        </w:rPr>
        <w:t>means any compensation that is granted, earned, or vested based in whole or in part on the attainment of a Financial Reporting Measure.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Lookback Period</w:t>
      </w:r>
      <w:r>
        <w:rPr>
          <w:color w:val="000000"/>
        </w:rPr>
        <w:t xml:space="preserve">” </w:t>
      </w:r>
      <w:r>
        <w:rPr>
          <w:rFonts w:ascii="Times New Roman;sans-serif" w:hAnsi="Times New Roman;sans-serif"/>
          <w:b w:val="false"/>
          <w:color w:val="000000"/>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720"/>
        <w:jc w:val="both"/>
        <w:rPr/>
      </w:pPr>
      <w:r>
        <w:rPr>
          <w:color w:val="000000"/>
        </w:rPr>
        <w:t>“</w:t>
      </w:r>
      <w:r>
        <w:rPr>
          <w:rFonts w:ascii="Times New Roman;sans-serif" w:hAnsi="Times New Roman;sans-serif"/>
          <w:b/>
          <w:i/>
          <w:color w:val="000000"/>
          <w:sz w:val="24"/>
        </w:rPr>
        <w:t>Recoverable Incentive Compensation</w:t>
      </w:r>
      <w:r>
        <w:rPr>
          <w:color w:val="000000"/>
        </w:rPr>
        <w:t xml:space="preserve">” </w:t>
      </w:r>
      <w:r>
        <w:rPr>
          <w:rFonts w:ascii="Times New Roman;sans-serif" w:hAnsi="Times New Roman;sans-serif"/>
          <w:b w:val="false"/>
          <w:color w:val="000000"/>
          <w:sz w:val="24"/>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sans-serif" w:hAnsi="Times New Roman;sans-serif"/>
          <w:b w:val="false"/>
          <w:i/>
          <w:color w:val="000000"/>
          <w:sz w:val="24"/>
        </w:rPr>
        <w:t>i.e.</w:t>
      </w:r>
      <w:r>
        <w:rPr>
          <w:rFonts w:ascii="Times New Roman;sans-serif" w:hAnsi="Times New Roman;sans-serif"/>
          <w:b w:val="false"/>
          <w:color w:val="000000"/>
          <w:sz w:val="24"/>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Board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88" w:before="0" w:after="180"/>
        <w:ind w:left="0" w:right="0" w:hanging="360"/>
        <w:jc w:val="both"/>
        <w:rPr/>
      </w:pPr>
      <w:r>
        <w:rPr>
          <w:rFonts w:ascii="Times New Roman;sans-serif" w:hAnsi="Times New Roman;sans-serif"/>
          <w:b/>
          <w:color w:val="000000"/>
          <w:sz w:val="22"/>
        </w:rPr>
        <w:t>4.</w:t>
      </w:r>
      <w:r>
        <w:rPr>
          <w:rFonts w:ascii="Times New Roman;sans-serif" w:hAnsi="Times New Roman;sans-serif"/>
          <w:b/>
          <w:color w:val="000000"/>
          <w:sz w:val="24"/>
        </w:rPr>
        <w:t>RECOUPMENT</w:t>
      </w:r>
    </w:p>
    <w:p>
      <w:pPr>
        <w:pStyle w:val="TextBody"/>
        <w:bidi w:val="0"/>
        <w:spacing w:lineRule="auto" w:line="288" w:before="0" w:after="18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4"/>
        </w:rPr>
        <w:t xml:space="preserve">Applicability of Policy. </w:t>
      </w:r>
      <w:r>
        <w:rPr>
          <w:rFonts w:ascii="Times New Roman;sans-serif" w:hAnsi="Times New Roman;sans-serif"/>
          <w:b w:val="false"/>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lineRule="auto" w:line="288" w:before="0" w:after="18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4"/>
        </w:rPr>
        <w:t xml:space="preserve">Recoupment Generally. </w:t>
      </w:r>
      <w:r>
        <w:rPr>
          <w:rFonts w:ascii="Times New Roman;sans-serif" w:hAnsi="Times New Roman;sans-serif"/>
          <w:b w:val="false"/>
          <w:color w:val="000000"/>
          <w:sz w:val="22"/>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r>
        <w:rPr>
          <w:color w:val="000000"/>
        </w:rPr>
        <w:t xml:space="preserve"> </w:t>
      </w:r>
    </w:p>
    <w:p>
      <w:pPr>
        <w:pStyle w:val="TextBody"/>
        <w:bidi w:val="0"/>
        <w:spacing w:lineRule="auto" w:line="288" w:before="0" w:after="180"/>
        <w:ind w:left="0" w:right="0" w:hanging="360"/>
        <w:jc w:val="both"/>
        <w:rPr/>
      </w:pPr>
      <w:r>
        <w:rPr>
          <w:rFonts w:ascii="Times New Roman;sans-serif" w:hAnsi="Times New Roman;sans-serif"/>
          <w:b/>
          <w:color w:val="000000"/>
          <w:sz w:val="22"/>
        </w:rPr>
        <w:t>c.</w:t>
      </w:r>
      <w:r>
        <w:rPr>
          <w:rFonts w:ascii="Times New Roman;sans-serif" w:hAnsi="Times New Roman;sans-serif"/>
          <w:b/>
          <w:color w:val="000000"/>
          <w:sz w:val="24"/>
        </w:rPr>
        <w:t>Impracticability of Recovery.</w:t>
      </w:r>
      <w:r>
        <w:rPr>
          <w:color w:val="000000"/>
        </w:rPr>
        <w:t xml:space="preserve"> </w:t>
      </w:r>
      <w:r>
        <w:rPr>
          <w:rFonts w:ascii="Times New Roman;sans-serif" w:hAnsi="Times New Roman;sans-serif"/>
          <w:b w:val="false"/>
          <w:color w:val="000000"/>
          <w:sz w:val="22"/>
        </w:rPr>
        <w:t>Recoupment may be determined to be impracticable if, and only if:</w:t>
      </w:r>
    </w:p>
    <w:p>
      <w:pPr>
        <w:pStyle w:val="TextBody"/>
        <w:bidi w:val="0"/>
        <w:spacing w:lineRule="auto" w:line="288" w:before="0" w:after="180"/>
        <w:ind w:left="0" w:right="0" w:hanging="465"/>
        <w:jc w:val="both"/>
        <w:rPr/>
      </w:pPr>
      <w:r>
        <w:rPr>
          <w:rFonts w:ascii="Times New Roman;sans-serif" w:hAnsi="Times New Roman;sans-serif"/>
          <w:b w:val="false"/>
          <w:color w:val="000000"/>
          <w:sz w:val="20"/>
        </w:rPr>
        <w:t>i.</w:t>
      </w:r>
      <w:r>
        <w:rPr>
          <w:rFonts w:ascii="Times New Roman;sans-serif" w:hAnsi="Times New Roman;sans-serif"/>
          <w:b w:val="false"/>
          <w:color w:val="000000"/>
          <w:sz w:val="22"/>
        </w:rPr>
        <w:t xml:space="preserve">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w:t>
      </w:r>
      <w:r>
        <w:rPr>
          <w:rFonts w:ascii="Times New Roman;sans-serif" w:hAnsi="Times New Roman;sans-serif"/>
          <w:b w:val="false"/>
          <w:color w:val="000000"/>
          <w:sz w:val="20"/>
        </w:rPr>
        <w:t>or</w:t>
      </w:r>
    </w:p>
    <w:p>
      <w:pPr>
        <w:pStyle w:val="TextBody"/>
        <w:bidi w:val="0"/>
        <w:spacing w:lineRule="auto" w:line="288" w:before="0" w:after="180"/>
        <w:ind w:left="0" w:right="0" w:hanging="537"/>
        <w:jc w:val="both"/>
        <w:rPr/>
      </w:pPr>
      <w:r>
        <w:rPr>
          <w:rFonts w:ascii="Times New Roman;sans-serif" w:hAnsi="Times New Roman;sans-serif"/>
          <w:b w:val="false"/>
          <w:color w:val="000000"/>
          <w:sz w:val="22"/>
        </w:rPr>
        <w:t>ii.</w:t>
      </w:r>
      <w:r>
        <w:rPr>
          <w:rFonts w:ascii="Times New Roman;sans-serif" w:hAnsi="Times New Roman;sans-serif"/>
          <w:b w:val="false"/>
          <w:color w:val="000000"/>
          <w:sz w:val="24"/>
        </w:rPr>
        <w:t xml:space="preserve">recoupment of the applicable Recoverable Incentive Compensation </w:t>
      </w:r>
      <w:r>
        <w:rPr>
          <w:rFonts w:ascii="Times New Roman;sans-serif" w:hAnsi="Times New Roman;sans-serif"/>
          <w:b w:val="false"/>
          <w:color w:val="000000"/>
          <w:sz w:val="22"/>
        </w:rPr>
        <w:t>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hanging="360"/>
        <w:jc w:val="both"/>
        <w:rPr/>
      </w:pPr>
      <w:r>
        <w:rPr>
          <w:rFonts w:ascii="Times New Roman;sans-serif" w:hAnsi="Times New Roman;sans-serif"/>
          <w:b/>
          <w:color w:val="000000"/>
          <w:sz w:val="22"/>
        </w:rPr>
        <w:t>d.</w:t>
      </w:r>
      <w:r>
        <w:rPr>
          <w:rFonts w:ascii="Times New Roman;sans-serif" w:hAnsi="Times New Roman;sans-serif"/>
          <w:b/>
          <w:color w:val="000000"/>
          <w:sz w:val="24"/>
        </w:rPr>
        <w:t xml:space="preserve">Sources of Recoupment. </w:t>
      </w:r>
      <w:r>
        <w:rPr>
          <w:rFonts w:ascii="Times New Roman;sans-serif" w:hAnsi="Times New Roman;sans-serif"/>
          <w:b w:val="false"/>
          <w:color w:val="000000"/>
          <w:sz w:val="22"/>
        </w:rPr>
        <w:t xml:space="preserve">To the extent permitted by applicable law, the Board shall, in its sole discretion, determine the timing and method for recouping Recoverable Incentive Compensation hereunder, provided that such recoupment is undertaken reasonably promptly. The Board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Board may effectuate recoupment under this Policy from any amount otherwise payable to the Covered Officer, including amounts payable to such individual under any otherwise applicable Company plan or program, </w:t>
      </w:r>
      <w:r>
        <w:rPr>
          <w:rFonts w:ascii="Times New Roman;sans-serif" w:hAnsi="Times New Roman;sans-serif"/>
          <w:b w:val="false"/>
          <w:i/>
          <w:color w:val="000000"/>
          <w:sz w:val="24"/>
        </w:rPr>
        <w:t>e.g.</w:t>
      </w:r>
      <w:r>
        <w:rPr>
          <w:rFonts w:ascii="Times New Roman;sans-serif" w:hAnsi="Times New Roman;sans-serif"/>
          <w:b w:val="false"/>
          <w:color w:val="000000"/>
          <w:sz w:val="22"/>
        </w:rPr>
        <w:t>, base salary, bonuses or commissions and compensation previously deferred by the Covered Officer. The Board need not utilize the same method of recovery for all Covered Officers or with respect to all types of Recoverable Incentive Compensation.</w:t>
      </w:r>
    </w:p>
    <w:p>
      <w:pPr>
        <w:pStyle w:val="TextBody"/>
        <w:bidi w:val="0"/>
        <w:spacing w:lineRule="auto" w:line="288" w:before="0" w:after="180"/>
        <w:ind w:left="0" w:right="0" w:hanging="360"/>
        <w:jc w:val="both"/>
        <w:rPr/>
      </w:pPr>
      <w:r>
        <w:rPr>
          <w:rFonts w:ascii="Times New Roman;sans-serif" w:hAnsi="Times New Roman;sans-serif"/>
          <w:b/>
          <w:color w:val="000000"/>
          <w:sz w:val="22"/>
        </w:rPr>
        <w:t>e.</w:t>
      </w:r>
      <w:r>
        <w:rPr>
          <w:rFonts w:ascii="Times New Roman;sans-serif" w:hAnsi="Times New Roman;sans-serif"/>
          <w:b/>
          <w:color w:val="000000"/>
          <w:sz w:val="24"/>
        </w:rPr>
        <w:t>No Indemnification of Covered Officers.</w:t>
      </w:r>
      <w:r>
        <w:rPr>
          <w:color w:val="000000"/>
        </w:rPr>
        <w:t xml:space="preserve"> </w:t>
      </w:r>
      <w:r>
        <w:rPr>
          <w:rFonts w:ascii="Times New Roman;sans-serif" w:hAnsi="Times New Roman;sans-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88" w:before="0" w:after="180"/>
        <w:ind w:left="0" w:right="0" w:hanging="360"/>
        <w:jc w:val="both"/>
        <w:rPr/>
      </w:pPr>
      <w:r>
        <w:rPr>
          <w:rFonts w:ascii="Times New Roman;sans-serif" w:hAnsi="Times New Roman;sans-serif"/>
          <w:b/>
          <w:color w:val="000000"/>
          <w:sz w:val="22"/>
        </w:rPr>
        <w:t>f.</w:t>
      </w:r>
      <w:r>
        <w:rPr>
          <w:rFonts w:ascii="Times New Roman;sans-serif" w:hAnsi="Times New Roman;sans-serif"/>
          <w:b/>
          <w:color w:val="000000"/>
          <w:sz w:val="24"/>
        </w:rPr>
        <w:t>Indemnification of the Board.</w:t>
      </w:r>
      <w:r>
        <w:rPr>
          <w:color w:val="000000"/>
        </w:rPr>
        <w:t xml:space="preserve"> </w:t>
      </w:r>
      <w:r>
        <w:rPr>
          <w:rFonts w:ascii="Times New Roman;sans-serif" w:hAnsi="Times New Roman;sans-serif"/>
          <w:b w:val="false"/>
          <w:color w:val="000000"/>
          <w:sz w:val="22"/>
        </w:rPr>
        <w:t>Any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88" w:before="0" w:after="180"/>
        <w:ind w:left="0" w:right="0" w:hanging="360"/>
        <w:jc w:val="both"/>
        <w:rPr/>
      </w:pPr>
      <w:r>
        <w:rPr>
          <w:rFonts w:ascii="Times New Roman;sans-serif" w:hAnsi="Times New Roman;sans-serif"/>
          <w:b/>
          <w:color w:val="000000"/>
          <w:sz w:val="22"/>
        </w:rPr>
        <w:t>g.</w:t>
      </w:r>
      <w:r>
        <w:rPr>
          <w:rFonts w:ascii="Times New Roman;sans-serif" w:hAnsi="Times New Roman;sans-serif"/>
          <w:b/>
          <w:color w:val="000000"/>
          <w:sz w:val="24"/>
        </w:rPr>
        <w:t>No “Good Reason” for Covered Officers.</w:t>
      </w:r>
      <w:r>
        <w:rPr>
          <w:color w:val="000000"/>
        </w:rPr>
        <w:t xml:space="preserve"> </w:t>
      </w:r>
      <w:r>
        <w:rPr>
          <w:rFonts w:ascii="Times New Roman;sans-serif" w:hAnsi="Times New Roman;sans-serif"/>
          <w:b w:val="false"/>
          <w:color w:val="000000"/>
          <w:sz w:val="24"/>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lineRule="auto" w:line="288" w:before="0" w:after="180"/>
        <w:ind w:left="0" w:right="0" w:hanging="360"/>
        <w:jc w:val="left"/>
        <w:rPr/>
      </w:pPr>
      <w:r>
        <w:rPr>
          <w:rFonts w:ascii="Times New Roman;sans-serif" w:hAnsi="Times New Roman;sans-serif"/>
          <w:b/>
          <w:color w:val="000000"/>
          <w:sz w:val="22"/>
        </w:rPr>
        <w:t>5.</w:t>
      </w:r>
      <w:r>
        <w:rPr>
          <w:rFonts w:ascii="Times New Roman;sans-serif" w:hAnsi="Times New Roman;sans-serif"/>
          <w:b/>
          <w:color w:val="000000"/>
          <w:sz w:val="24"/>
        </w:rPr>
        <w:t>SEVERABILITY</w:t>
      </w:r>
    </w:p>
    <w:p>
      <w:pPr>
        <w:pStyle w:val="TextBody"/>
        <w:bidi w:val="0"/>
        <w:spacing w:lineRule="auto" w:line="288" w:before="0" w:after="180"/>
        <w:ind w:left="0" w:right="0" w:firstLine="841"/>
        <w:jc w:val="both"/>
        <w:rPr/>
      </w:pPr>
      <w:r>
        <w:rPr>
          <w:rFonts w:ascii="Times New Roman;sans-serif" w:hAnsi="Times New Roman;sans-serif"/>
          <w:b w:val="false"/>
          <w:color w:val="000000"/>
          <w:sz w:val="22"/>
        </w:rPr>
        <w:t>If</w:t>
      </w:r>
      <w:r>
        <w:rPr>
          <w:color w:val="000000"/>
        </w:rPr>
        <w:t xml:space="preserve"> </w:t>
      </w:r>
      <w:r>
        <w:rPr>
          <w:rFonts w:ascii="Times New Roman;sans-serif" w:hAnsi="Times New Roman;sans-serif"/>
          <w:b w:val="false"/>
          <w:color w:val="000000"/>
          <w:sz w:val="22"/>
        </w:rPr>
        <w:t>any</w:t>
      </w:r>
      <w:r>
        <w:rPr>
          <w:color w:val="000000"/>
        </w:rPr>
        <w:t xml:space="preserve"> </w:t>
      </w:r>
      <w:r>
        <w:rPr>
          <w:rFonts w:ascii="Times New Roman;sans-serif" w:hAnsi="Times New Roman;sans-serif"/>
          <w:b w:val="false"/>
          <w:color w:val="000000"/>
          <w:sz w:val="22"/>
        </w:rPr>
        <w:t>provision</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this</w:t>
      </w:r>
      <w:r>
        <w:rPr>
          <w:color w:val="000000"/>
        </w:rPr>
        <w:t xml:space="preserve"> </w:t>
      </w:r>
      <w:r>
        <w:rPr>
          <w:rFonts w:ascii="Times New Roman;sans-serif" w:hAnsi="Times New Roman;sans-serif"/>
          <w:b w:val="false"/>
          <w:color w:val="000000"/>
          <w:sz w:val="22"/>
        </w:rPr>
        <w:t>Policy</w:t>
      </w:r>
      <w:r>
        <w:rPr>
          <w:color w:val="000000"/>
        </w:rPr>
        <w:t xml:space="preserv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application</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any</w:t>
      </w:r>
      <w:r>
        <w:rPr>
          <w:color w:val="000000"/>
        </w:rPr>
        <w:t xml:space="preserve"> </w:t>
      </w:r>
      <w:r>
        <w:rPr>
          <w:rFonts w:ascii="Times New Roman;sans-serif" w:hAnsi="Times New Roman;sans-serif"/>
          <w:b w:val="false"/>
          <w:color w:val="000000"/>
          <w:sz w:val="22"/>
        </w:rPr>
        <w:t>such</w:t>
      </w:r>
      <w:r>
        <w:rPr>
          <w:color w:val="000000"/>
        </w:rPr>
        <w:t xml:space="preserve"> </w:t>
      </w:r>
      <w:r>
        <w:rPr>
          <w:rFonts w:ascii="Times New Roman;sans-serif" w:hAnsi="Times New Roman;sans-serif"/>
          <w:b w:val="false"/>
          <w:color w:val="000000"/>
          <w:sz w:val="22"/>
        </w:rPr>
        <w:t>provision</w:t>
      </w:r>
      <w:r>
        <w:rPr>
          <w:color w:val="000000"/>
        </w:rPr>
        <w:t xml:space="preserve"> </w:t>
      </w:r>
      <w:r>
        <w:rPr>
          <w:rFonts w:ascii="Times New Roman;sans-serif" w:hAnsi="Times New Roman;sans-serif"/>
          <w:b w:val="false"/>
          <w:color w:val="000000"/>
          <w:sz w:val="22"/>
        </w:rPr>
        <w:t>to</w:t>
      </w:r>
      <w:r>
        <w:rPr>
          <w:color w:val="000000"/>
        </w:rPr>
        <w:t xml:space="preserve"> </w:t>
      </w:r>
      <w:r>
        <w:rPr>
          <w:rFonts w:ascii="Times New Roman;sans-serif" w:hAnsi="Times New Roman;sans-serif"/>
          <w:b w:val="false"/>
          <w:color w:val="000000"/>
          <w:sz w:val="22"/>
        </w:rPr>
        <w:t>any</w:t>
      </w:r>
      <w:r>
        <w:rPr>
          <w:color w:val="000000"/>
        </w:rPr>
        <w:t xml:space="preserve"> </w:t>
      </w:r>
      <w:r>
        <w:rPr>
          <w:rFonts w:ascii="Times New Roman;sans-serif" w:hAnsi="Times New Roman;sans-serif"/>
          <w:b w:val="false"/>
          <w:color w:val="000000"/>
          <w:sz w:val="22"/>
        </w:rPr>
        <w:t>Covered</w:t>
      </w:r>
      <w:r>
        <w:rPr>
          <w:color w:val="000000"/>
        </w:rPr>
        <w:t xml:space="preserve"> </w:t>
      </w:r>
      <w:r>
        <w:rPr>
          <w:rFonts w:ascii="Times New Roman;sans-serif" w:hAnsi="Times New Roman;sans-serif"/>
          <w:b w:val="false"/>
          <w:color w:val="000000"/>
          <w:sz w:val="22"/>
        </w:rPr>
        <w:t>Officer</w:t>
      </w:r>
      <w:r>
        <w:rPr>
          <w:color w:val="000000"/>
        </w:rPr>
        <w:t xml:space="preserve"> </w:t>
      </w:r>
      <w:r>
        <w:rPr>
          <w:rFonts w:ascii="Times New Roman;sans-serif" w:hAnsi="Times New Roman;sans-serif"/>
          <w:b w:val="false"/>
          <w:color w:val="000000"/>
          <w:sz w:val="22"/>
        </w:rPr>
        <w:t>shall be</w:t>
      </w:r>
      <w:r>
        <w:rPr>
          <w:color w:val="000000"/>
        </w:rPr>
        <w:t xml:space="preserve"> </w:t>
      </w:r>
      <w:r>
        <w:rPr>
          <w:rFonts w:ascii="Times New Roman;sans-serif" w:hAnsi="Times New Roman;sans-serif"/>
          <w:b w:val="false"/>
          <w:color w:val="000000"/>
          <w:sz w:val="22"/>
        </w:rPr>
        <w:t>adjudicated</w:t>
      </w:r>
      <w:r>
        <w:rPr>
          <w:color w:val="000000"/>
        </w:rPr>
        <w:t xml:space="preserve"> </w:t>
      </w:r>
      <w:r>
        <w:rPr>
          <w:rFonts w:ascii="Times New Roman;sans-serif" w:hAnsi="Times New Roman;sans-serif"/>
          <w:b w:val="false"/>
          <w:color w:val="000000"/>
          <w:sz w:val="22"/>
        </w:rPr>
        <w:t>to</w:t>
      </w:r>
      <w:r>
        <w:rPr>
          <w:color w:val="000000"/>
        </w:rPr>
        <w:t xml:space="preserve"> </w:t>
      </w:r>
      <w:r>
        <w:rPr>
          <w:rFonts w:ascii="Times New Roman;sans-serif" w:hAnsi="Times New Roman;sans-serif"/>
          <w:b w:val="false"/>
          <w:color w:val="000000"/>
          <w:sz w:val="22"/>
        </w:rPr>
        <w:t>be</w:t>
      </w:r>
      <w:r>
        <w:rPr>
          <w:color w:val="000000"/>
        </w:rPr>
        <w:t xml:space="preserve"> </w:t>
      </w:r>
      <w:r>
        <w:rPr>
          <w:rFonts w:ascii="Times New Roman;sans-serif" w:hAnsi="Times New Roman;sans-serif"/>
          <w:b w:val="false"/>
          <w:color w:val="000000"/>
          <w:sz w:val="22"/>
        </w:rPr>
        <w:t>invalid,</w:t>
      </w:r>
      <w:r>
        <w:rPr>
          <w:color w:val="000000"/>
        </w:rPr>
        <w:t xml:space="preserve"> </w:t>
      </w:r>
      <w:r>
        <w:rPr>
          <w:rFonts w:ascii="Times New Roman;sans-serif" w:hAnsi="Times New Roman;sans-serif"/>
          <w:b w:val="false"/>
          <w:color w:val="000000"/>
          <w:sz w:val="22"/>
        </w:rPr>
        <w:t>illegal,</w:t>
      </w:r>
      <w:r>
        <w:rPr>
          <w:color w:val="000000"/>
        </w:rPr>
        <w:t xml:space="preserv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val="false"/>
          <w:color w:val="000000"/>
          <w:sz w:val="22"/>
        </w:rPr>
        <w:t>unenforceable</w:t>
      </w:r>
      <w:r>
        <w:rPr>
          <w:color w:val="000000"/>
        </w:rPr>
        <w:t xml:space="preserve"> </w:t>
      </w: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any</w:t>
      </w:r>
      <w:r>
        <w:rPr>
          <w:color w:val="000000"/>
        </w:rPr>
        <w:t xml:space="preserve"> </w:t>
      </w:r>
      <w:r>
        <w:rPr>
          <w:rFonts w:ascii="Times New Roman;sans-serif" w:hAnsi="Times New Roman;sans-serif"/>
          <w:b w:val="false"/>
          <w:color w:val="000000"/>
          <w:sz w:val="22"/>
        </w:rPr>
        <w:t>respect,</w:t>
      </w:r>
      <w:r>
        <w:rPr>
          <w:color w:val="000000"/>
        </w:rPr>
        <w:t xml:space="preserve"> </w:t>
      </w:r>
      <w:r>
        <w:rPr>
          <w:rFonts w:ascii="Times New Roman;sans-serif" w:hAnsi="Times New Roman;sans-serif"/>
          <w:b w:val="false"/>
          <w:color w:val="000000"/>
          <w:sz w:val="22"/>
        </w:rPr>
        <w:t>such</w:t>
      </w:r>
      <w:r>
        <w:rPr>
          <w:color w:val="000000"/>
        </w:rPr>
        <w:t xml:space="preserve"> </w:t>
      </w:r>
      <w:r>
        <w:rPr>
          <w:rFonts w:ascii="Times New Roman;sans-serif" w:hAnsi="Times New Roman;sans-serif"/>
          <w:b w:val="false"/>
          <w:color w:val="000000"/>
          <w:sz w:val="22"/>
        </w:rPr>
        <w:t>invalidity,</w:t>
      </w:r>
      <w:r>
        <w:rPr>
          <w:color w:val="000000"/>
        </w:rPr>
        <w:t xml:space="preserve"> </w:t>
      </w:r>
      <w:r>
        <w:rPr>
          <w:rFonts w:ascii="Times New Roman;sans-serif" w:hAnsi="Times New Roman;sans-serif"/>
          <w:b w:val="false"/>
          <w:color w:val="000000"/>
          <w:sz w:val="22"/>
        </w:rPr>
        <w:t>illegality</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2"/>
        </w:rPr>
        <w:t>unenforceability</w:t>
      </w:r>
      <w:r>
        <w:rPr>
          <w:color w:val="000000"/>
        </w:rPr>
        <w:t xml:space="preserve"> </w:t>
      </w:r>
      <w:r>
        <w:rPr>
          <w:rFonts w:ascii="Times New Roman;sans-serif" w:hAnsi="Times New Roman;sans-serif"/>
          <w:b w:val="false"/>
          <w:color w:val="000000"/>
          <w:sz w:val="22"/>
        </w:rPr>
        <w:t>shall</w:t>
      </w:r>
      <w:r>
        <w:rPr>
          <w:color w:val="000000"/>
        </w:rPr>
        <w:t xml:space="preserve"> </w:t>
      </w:r>
      <w:r>
        <w:rPr>
          <w:rFonts w:ascii="Times New Roman;sans-serif" w:hAnsi="Times New Roman;sans-serif"/>
          <w:b w:val="false"/>
          <w:color w:val="000000"/>
          <w:sz w:val="22"/>
        </w:rPr>
        <w:t>not</w:t>
      </w:r>
      <w:r>
        <w:rPr>
          <w:color w:val="000000"/>
        </w:rPr>
        <w:t xml:space="preserve"> </w:t>
      </w:r>
      <w:r>
        <w:rPr>
          <w:rFonts w:ascii="Times New Roman;sans-serif" w:hAnsi="Times New Roman;sans-serif"/>
          <w:b w:val="false"/>
          <w:color w:val="000000"/>
          <w:sz w:val="22"/>
        </w:rPr>
        <w:t>affect</w:t>
      </w:r>
      <w:r>
        <w:rPr>
          <w:color w:val="000000"/>
        </w:rPr>
        <w:t xml:space="preserve"> </w:t>
      </w:r>
      <w:r>
        <w:rPr>
          <w:rFonts w:ascii="Times New Roman;sans-serif" w:hAnsi="Times New Roman;sans-serif"/>
          <w:b w:val="false"/>
          <w:color w:val="000000"/>
          <w:sz w:val="22"/>
        </w:rPr>
        <w:t>any</w:t>
      </w:r>
      <w:r>
        <w:rPr>
          <w:color w:val="000000"/>
        </w:rPr>
        <w:t xml:space="preserve"> </w:t>
      </w:r>
      <w:r>
        <w:rPr>
          <w:rFonts w:ascii="Times New Roman;sans-serif" w:hAnsi="Times New Roman;sans-serif"/>
          <w:b w:val="false"/>
          <w:color w:val="000000"/>
          <w:sz w:val="22"/>
        </w:rPr>
        <w:t>other</w:t>
      </w:r>
      <w:r>
        <w:rPr>
          <w:color w:val="000000"/>
        </w:rPr>
        <w:t xml:space="preserve"> </w:t>
      </w:r>
      <w:r>
        <w:rPr>
          <w:rFonts w:ascii="Times New Roman;sans-serif" w:hAnsi="Times New Roman;sans-serif"/>
          <w:b w:val="false"/>
          <w:color w:val="000000"/>
          <w:sz w:val="22"/>
        </w:rPr>
        <w:t>provisions</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this</w:t>
      </w:r>
      <w:r>
        <w:rPr>
          <w:color w:val="000000"/>
        </w:rPr>
        <w:t xml:space="preserve"> </w:t>
      </w:r>
      <w:r>
        <w:rPr>
          <w:rFonts w:ascii="Times New Roman;sans-serif" w:hAnsi="Times New Roman;sans-serif"/>
          <w:b w:val="false"/>
          <w:color w:val="000000"/>
          <w:sz w:val="22"/>
        </w:rPr>
        <w:t>Policy,</w:t>
      </w:r>
      <w:r>
        <w:rPr>
          <w:color w:val="000000"/>
        </w:rPr>
        <w:t xml:space="preserve">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invalid,</w:t>
      </w:r>
      <w:r>
        <w:rPr>
          <w:color w:val="000000"/>
        </w:rPr>
        <w:t xml:space="preserve"> </w:t>
      </w:r>
      <w:r>
        <w:rPr>
          <w:rFonts w:ascii="Times New Roman;sans-serif" w:hAnsi="Times New Roman;sans-serif"/>
          <w:b w:val="false"/>
          <w:color w:val="000000"/>
          <w:sz w:val="22"/>
        </w:rPr>
        <w:t>illegal</w:t>
      </w:r>
      <w:r>
        <w:rPr>
          <w:color w:val="000000"/>
        </w:rPr>
        <w:t xml:space="preserv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val="false"/>
          <w:color w:val="000000"/>
          <w:sz w:val="22"/>
        </w:rPr>
        <w:t>unenforceable provisions shall be deemed amended to the minimum extent necessary to render any such provision or application enforceable.</w:t>
      </w:r>
    </w:p>
    <w:p>
      <w:pPr>
        <w:pStyle w:val="TextBody"/>
        <w:bidi w:val="0"/>
        <w:spacing w:lineRule="auto" w:line="288" w:before="0" w:after="180"/>
        <w:ind w:left="0" w:right="0" w:hanging="360"/>
        <w:jc w:val="left"/>
        <w:rPr/>
      </w:pPr>
      <w:r>
        <w:rPr>
          <w:rFonts w:ascii="Times New Roman;sans-serif" w:hAnsi="Times New Roman;sans-serif"/>
          <w:b/>
          <w:color w:val="000000"/>
          <w:sz w:val="22"/>
        </w:rPr>
        <w:t>6.</w:t>
      </w:r>
      <w:r>
        <w:rPr>
          <w:rFonts w:ascii="Times New Roman;sans-serif" w:hAnsi="Times New Roman;sans-serif"/>
          <w:b/>
          <w:color w:val="000000"/>
          <w:sz w:val="24"/>
        </w:rPr>
        <w:t>NO IMPAIRMENT OF OTHER REMEDIES</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w:t>
      </w:r>
      <w:r>
        <w:rPr>
          <w:color w:val="000000"/>
        </w:rPr>
        <w:t xml:space="preserve"> </w:t>
      </w:r>
      <w:r>
        <w:rPr>
          <w:rFonts w:ascii="Times New Roman;sans-serif" w:hAnsi="Times New Roman;sans-serif"/>
          <w:b w:val="false"/>
          <w:color w:val="000000"/>
          <w:sz w:val="22"/>
        </w:rPr>
        <w:t>This Policy is in addition to the requirements of Section 304 of the Sarbanes-Oxley Act of 2002 (“</w:t>
      </w:r>
      <w:r>
        <w:rPr>
          <w:rFonts w:ascii="Times New Roman;sans-serif" w:hAnsi="Times New Roman;sans-serif"/>
          <w:b/>
          <w:i/>
          <w:color w:val="000000"/>
          <w:sz w:val="24"/>
        </w:rPr>
        <w:t>SOX 304</w:t>
      </w:r>
      <w:r>
        <w:rPr>
          <w:color w:val="000000"/>
        </w:rPr>
        <w:t>”</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2"/>
        </w:rPr>
        <w:t>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88" w:before="0" w:after="180"/>
        <w:ind w:left="0" w:right="0" w:hanging="360"/>
        <w:jc w:val="both"/>
        <w:rPr/>
      </w:pPr>
      <w:r>
        <w:rPr>
          <w:rFonts w:ascii="Times New Roman;sans-serif" w:hAnsi="Times New Roman;sans-serif"/>
          <w:b/>
          <w:color w:val="000000"/>
          <w:sz w:val="22"/>
        </w:rPr>
        <w:t>7.</w:t>
      </w:r>
      <w:r>
        <w:rPr>
          <w:rFonts w:ascii="Times New Roman;sans-serif" w:hAnsi="Times New Roman;sans-serif"/>
          <w:b/>
          <w:color w:val="000000"/>
          <w:sz w:val="24"/>
        </w:rPr>
        <w:t>SUCCESSORS</w:t>
      </w:r>
    </w:p>
    <w:p>
      <w:pPr>
        <w:pStyle w:val="TextBody"/>
        <w:bidi w:val="0"/>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88" w:before="0" w:after="180"/>
        <w:ind w:left="0" w:right="0" w:hanging="360"/>
        <w:jc w:val="both"/>
        <w:rPr/>
      </w:pPr>
      <w:r>
        <w:rPr>
          <w:rFonts w:ascii="Times New Roman;sans-serif" w:hAnsi="Times New Roman;sans-serif"/>
          <w:b/>
          <w:color w:val="000000"/>
          <w:sz w:val="22"/>
        </w:rPr>
        <w:t>8.</w:t>
      </w:r>
      <w:r>
        <w:rPr>
          <w:color w:val="000000"/>
        </w:rPr>
        <w:t xml:space="preserve"> </w:t>
      </w:r>
      <w:r>
        <w:rPr>
          <w:rFonts w:ascii="Times New Roman;sans-serif" w:hAnsi="Times New Roman;sans-serif"/>
          <w:b/>
          <w:color w:val="000000"/>
          <w:sz w:val="24"/>
        </w:rPr>
        <w:t>REQUIRED FILINGS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make any disclosures and filings with respect to this Policy that are required by law, including as required by the SEC.</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MACROGENICS, INC.</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Incentive Compensation Recoupment Policy</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Form of Executive Acknowledgment</w:t>
      </w:r>
    </w:p>
    <w:p>
      <w:pPr>
        <w:pStyle w:val="TextBody"/>
        <w:bidi w:val="0"/>
        <w:spacing w:before="0" w:after="180"/>
        <w:jc w:val="left"/>
        <w:rPr/>
      </w:pPr>
      <w:r>
        <w:rPr/>
      </w:r>
    </w:p>
    <w:p>
      <w:pPr>
        <w:pStyle w:val="TextBody"/>
        <w:bidi w:val="0"/>
        <w:spacing w:lineRule="auto" w:line="288" w:before="0" w:after="180"/>
        <w:jc w:val="both"/>
        <w:rPr/>
      </w:pPr>
      <w:r>
        <w:rPr>
          <w:rFonts w:ascii="Times New Roman;sans-serif" w:hAnsi="Times New Roman;sans-serif"/>
          <w:b w:val="false"/>
          <w:color w:val="000000"/>
          <w:sz w:val="22"/>
        </w:rPr>
        <w:t>I, the undersigned, agree and acknowledge that I am bound by, and subject to, the MacroGenics, Inc. Incentive Compensation Recoupment Policy, as may be amended, restated, supplemented, or otherwise modified from time to time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2"/>
        </w:rPr>
        <w:t>). In the event of any inconsistency between the Policy and the terms of any employment agreement, offer letter or other individual agreement with MacroGenics,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Board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180"/>
        <w:jc w:val="left"/>
        <w:rPr/>
      </w:pPr>
      <w:r>
        <w:rPr/>
      </w:r>
    </w:p>
    <w:p>
      <w:pPr>
        <w:pStyle w:val="TextBody"/>
        <w:bidi w:val="0"/>
        <w:spacing w:lineRule="auto" w:line="288" w:before="0" w:after="180"/>
        <w:jc w:val="both"/>
        <w:rPr>
          <w:rFonts w:ascii="Times New Roman;sans-serif" w:hAnsi="Times New Roman;sans-serif"/>
          <w:b/>
          <w:color w:val="000000"/>
          <w:sz w:val="24"/>
        </w:rPr>
      </w:pPr>
      <w:r>
        <w:rPr>
          <w:rFonts w:ascii="Times New Roman;sans-serif" w:hAnsi="Times New Roman;sans-serif"/>
          <w:b/>
          <w:color w:val="000000"/>
          <w:sz w:val="24"/>
        </w:rPr>
        <w:t>Agreed and Acknowledged:</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125345/000119312513402831/d613759dex31.htm" TargetMode="External"/><Relationship Id="rId6" Type="http://schemas.openxmlformats.org/officeDocument/2006/relationships/hyperlink" Target="http://www.sec.gov/Archives/edgar/data/1125345/000119312513402831/d613759dex33.htm" TargetMode="External"/><Relationship Id="rId7" Type="http://schemas.openxmlformats.org/officeDocument/2006/relationships/hyperlink" Target="https://www.sec.gov/Archives/edgar/data/0001125345/000112534521000052/a8-k_bylawxamendmentxexx3x1.htm" TargetMode="External"/><Relationship Id="rId8" Type="http://schemas.openxmlformats.org/officeDocument/2006/relationships/hyperlink" Target="http://www.sec.gov/Archives/edgar/data/1125345/000119312513394786/d575431dex42.htm" TargetMode="External"/><Relationship Id="rId9" Type="http://schemas.openxmlformats.org/officeDocument/2006/relationships/hyperlink" Target="https://www.sec.gov/Archives/edgar/data/1125345/000112534521000035/mgnxexhibit4-2202010xk.htm" TargetMode="External"/><Relationship Id="rId10" Type="http://schemas.openxmlformats.org/officeDocument/2006/relationships/hyperlink" Target="http://www.sec.gov/Archives/edgar/data/1125345/000119312513386872/d575431dex1014.htm" TargetMode="External"/><Relationship Id="rId11" Type="http://schemas.openxmlformats.org/officeDocument/2006/relationships/hyperlink" Target="http://www.sec.gov/Archives/edgar/data/1125345/000112534518000022/exhibit10-3201710xkfinal.htm" TargetMode="External"/><Relationship Id="rId12" Type="http://schemas.openxmlformats.org/officeDocument/2006/relationships/hyperlink" Target="http://www.sec.gov/Archives/edgar/data/1125345/000119312513386872/d575431dex105.htm" TargetMode="External"/><Relationship Id="rId13" Type="http://schemas.openxmlformats.org/officeDocument/2006/relationships/hyperlink" Target="http://www.sec.gov/Archives/edgar/data/1125345/000119312513386872/d575431dex106.htm" TargetMode="External"/><Relationship Id="rId14" Type="http://schemas.openxmlformats.org/officeDocument/2006/relationships/hyperlink" Target="http://www.sec.gov/Archives/edgar/data/1125345/000119312513386872/d575431dex107.htm" TargetMode="External"/><Relationship Id="rId15" Type="http://schemas.openxmlformats.org/officeDocument/2006/relationships/hyperlink" Target="http://www.sec.gov/Archives/edgar/data/1125345/000112534515000013/exhibit10-2.htm" TargetMode="External"/><Relationship Id="rId16" Type="http://schemas.openxmlformats.org/officeDocument/2006/relationships/hyperlink" Target="https://www.sec.gov/Archives/edgar/data/1125345/000112534523000102/form_s-8x2023eipxex991.htm" TargetMode="External"/><Relationship Id="rId17" Type="http://schemas.openxmlformats.org/officeDocument/2006/relationships/hyperlink" Target="https://www.sec.gov/Archives/edgar/data/1125345/000112534523000102/form_s-8x2023eipxex991.htm" TargetMode="External"/><Relationship Id="rId18" Type="http://schemas.openxmlformats.org/officeDocument/2006/relationships/hyperlink" Target="https://www.sec.gov/Archives/edgar/data/1125345/000112534523000102/form_s-8x2023eipxex991.htm" TargetMode="External"/><Relationship Id="rId19" Type="http://schemas.openxmlformats.org/officeDocument/2006/relationships/hyperlink" Target="https://www.sec.gov/Archives/edgar/data/1125345/000112534523000102/form_s-8x2023eipxex991.htm" TargetMode="External"/><Relationship Id="rId20" Type="http://schemas.openxmlformats.org/officeDocument/2006/relationships/hyperlink" Target="https://www.sec.gov/Archives/edgar/data/1125345/000112534523000102/form_s-8x2023eipxex991.htm" TargetMode="External"/><Relationship Id="rId21" Type="http://schemas.openxmlformats.org/officeDocument/2006/relationships/hyperlink" Target="https://www.sec.gov/Archives/edgar/data/1125345/000112534523000102/form_s-8x2023eipxex991.htm" TargetMode="External"/><Relationship Id="rId22" Type="http://schemas.openxmlformats.org/officeDocument/2006/relationships/hyperlink" Target="https://www.sec.gov/Archives/edgar/data/1125345/000112534523000102/form_s-8x2023eipxex991.htm" TargetMode="External"/><Relationship Id="rId23" Type="http://schemas.openxmlformats.org/officeDocument/2006/relationships/hyperlink" Target="https://www.sec.gov/Archives/edgar/data/1125345/000112534523000102/form_s-8x2023eipxex991.htm" TargetMode="External"/><Relationship Id="rId24" Type="http://schemas.openxmlformats.org/officeDocument/2006/relationships/hyperlink" Target="https://www.sec.gov/Archives/edgar/data/1125345/000112534523000102/form_s-8x2023eipxex991.htm" TargetMode="External"/><Relationship Id="rId25" Type="http://schemas.openxmlformats.org/officeDocument/2006/relationships/hyperlink" Target="https://www.sec.gov/Archives/edgar/data/1125345/000112534523000102/form_s-8x2023eipxex991.htm" TargetMode="External"/><Relationship Id="rId26" Type="http://schemas.openxmlformats.org/officeDocument/2006/relationships/hyperlink" Target="https://www.sec.gov/Archives/edgar/data/1125345/000112534523000102/form_s-8x2023eipxex991.htm" TargetMode="External"/><Relationship Id="rId27" Type="http://schemas.openxmlformats.org/officeDocument/2006/relationships/hyperlink" Target="http://www.sec.gov/Archives/edgar/data/1125345/000155278116002035/e00576_ex4-1.htm" TargetMode="External"/><Relationship Id="rId28" Type="http://schemas.openxmlformats.org/officeDocument/2006/relationships/hyperlink" Target="http://www.sec.gov/Archives/edgar/data/1125345/000112534516000046/exhibit1014.htm" TargetMode="External"/><Relationship Id="rId29" Type="http://schemas.openxmlformats.org/officeDocument/2006/relationships/hyperlink" Target="http://www.sec.gov/Archives/edgar/data/1125345/000112534516000046/exhibit1015.htm" TargetMode="External"/><Relationship Id="rId30" Type="http://schemas.openxmlformats.org/officeDocument/2006/relationships/hyperlink" Target="http://www.sec.gov/Archives/edgar/data/1125345/000112534516000056/exhibit10-3.htm" TargetMode="External"/><Relationship Id="rId31" Type="http://schemas.openxmlformats.org/officeDocument/2006/relationships/hyperlink" Target="http://www.sec.gov/Archives/edgar/data/1125345/000112534517000041/exhibit1016.htm" TargetMode="External"/><Relationship Id="rId32" Type="http://schemas.openxmlformats.org/officeDocument/2006/relationships/hyperlink" Target="https://www.sec.gov/Archives/edgar/data/0001125345/000112534521000060/exhibit101stepheneckemploy.htm" TargetMode="External"/><Relationship Id="rId33" Type="http://schemas.openxmlformats.org/officeDocument/2006/relationships/hyperlink" Target="https://www.sec.gov/Archives/edgar/data/1125345/000112534522000047/ex101spitznagelemploymenta.htm" TargetMode="External"/><Relationship Id="rId34" Type="http://schemas.openxmlformats.org/officeDocument/2006/relationships/hyperlink" Target="http://www.sec.gov/Archives/edgar/data/1125345/000112534518000058/exhibit101incyteamendment.htm" TargetMode="External"/><Relationship Id="rId35" Type="http://schemas.openxmlformats.org/officeDocument/2006/relationships/hyperlink" Target="https://www.sec.gov/Archives/edgar/data/1125345/000112534522000090/exhibit101-incyte2ndamend.htm" TargetMode="External"/><Relationship Id="rId36" Type="http://schemas.openxmlformats.org/officeDocument/2006/relationships/hyperlink" Target="https://www.sec.gov/Archives/edgar/data/1125345/000112534522000104/exhibit101-incyte3rdamend.htm" TargetMode="External"/><Relationship Id="rId37" Type="http://schemas.openxmlformats.org/officeDocument/2006/relationships/hyperlink" Target="https://www.sec.gov/Archives/edgar/data/0001125345/000112534521000035/exhibit1016incytecommercia.htm" TargetMode="External"/><Relationship Id="rId38" Type="http://schemas.openxmlformats.org/officeDocument/2006/relationships/hyperlink" Target="https://www.sec.gov/Archives/edgar/data/1125345/000112534523000059/a1022_gileadcollab.htm" TargetMode="External"/><Relationship Id="rId39" Type="http://schemas.openxmlformats.org/officeDocument/2006/relationships/hyperlink" Target="https://www.sec.gov/Archives/edgar/data/1125345/000112534523000059/a1023_proventionapa.htm" TargetMode="External"/><Relationship Id="rId40" Type="http://schemas.openxmlformats.org/officeDocument/2006/relationships/hyperlink" Target="https://www.sec.gov/Archives/edgar/data/1125345/000112534523000059/a1024_proventionapaamendme.htm" TargetMode="External"/><Relationship Id="rId41" Type="http://schemas.openxmlformats.org/officeDocument/2006/relationships/hyperlink" Target="https://www.sec.gov/Archives/edgar/data/1125345/000112534523000124/exhibit101q32023.htm" TargetMode="External"/><Relationship Id="rId42" Type="http://schemas.openxmlformats.org/officeDocument/2006/relationships/hyperlink" Target="https://www.sec.gov/Archives/edgar/data/1125345/000112534523000124/exhibit101q32023.htm" TargetMode="External"/><Relationship Id="rId43" Type="http://schemas.openxmlformats.org/officeDocument/2006/relationships/hyperlink" Target="https://www.sec.gov/Archives/edgar/data/1125345/000112534523000124/exhibit101q32023.htm" TargetMode="External"/><Relationship Id="rId44" Type="http://schemas.openxmlformats.org/officeDocument/2006/relationships/hyperlink" Target="https://www.sec.gov/Archives/edgar/data/1125345/000112534523000124/exhibit101q32023.htm" TargetMode="External"/><Relationship Id="rId45" Type="http://schemas.openxmlformats.org/officeDocument/2006/relationships/hyperlink" Target="https://www.sec.gov/Archives/edgar/data/1125345/000112534523000124/exhibit101q32023.htm" TargetMode="External"/><Relationship Id="rId46" Type="http://schemas.openxmlformats.org/officeDocument/2006/relationships/hyperlink" Target="https://www.sec.gov/Archives/edgar/data/1125345/000112534523000124/exhibit101q32023.htm" TargetMode="External"/><Relationship Id="rId47" Type="http://schemas.openxmlformats.org/officeDocument/2006/relationships/hyperlink" Target="https://www.sec.gov/Archives/edgar/data/1125345/000112534523000124/exhibit101q32023.htm" TargetMode="External"/><Relationship Id="rId48" Type="http://schemas.openxmlformats.org/officeDocument/2006/relationships/hyperlink" Target="https://www.sec.gov/Archives/edgar/data/1125345/000112534523000124/exhibit101q32023.htm" TargetMode="External"/><Relationship Id="rId49" Type="http://schemas.openxmlformats.org/officeDocument/2006/relationships/hyperlink" Target="https://www.sec.gov/Archives/edgar/data/1125345/000112534523000059/a1025_hqlease.htm" TargetMode="External"/><Relationship Id="rId50" Type="http://schemas.openxmlformats.org/officeDocument/2006/relationships/hyperlink" Target="https://www.sec.gov/Archives/edgar/data/1125345/000112534523000059/a1026_firstamendmenttohqle.htm" TargetMode="External"/><Relationship Id="rId51" Type="http://schemas.openxmlformats.org/officeDocument/2006/relationships/hyperlink" Target="https://www.sec.gov/Archives/edgar/data/1125345/000112534523000059/a1027_secondamendmenttohql.htm" TargetMode="External"/><Relationship Id="rId52" Type="http://schemas.openxmlformats.org/officeDocument/2006/relationships/hyperlink" Target="https://www.sec.gov/Archives/edgar/data/1125345/000112534523000059/a1028_thirdamendmenttohqle.htm" TargetMode="External"/><Relationship Id="rId53" Type="http://schemas.openxmlformats.org/officeDocument/2006/relationships/hyperlink" Target="https://www.sec.gov/Archives/edgar/data/1125345/000112534523000059/a1029_fourthamendmenttolea.htm" TargetMode="External"/><Relationship Id="rId54" Type="http://schemas.openxmlformats.org/officeDocument/2006/relationships/hyperlink" Target="https://www.sec.gov/Archives/edgar/data/1125345/000112534523000059/a1030_fifthamendmenttohqle.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85130</Words>
  <Characters>483221</Characters>
  <CharactersWithSpaces>567043</CharactersWithSpaces>
  <Paragraphs>3345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