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2" w:lineRule="exact"/>
        <w:rPr>
          <w:sz w:val="24"/>
          <w:szCs w:val="24"/>
          <w:color w:val="auto"/>
        </w:rPr>
      </w:pPr>
    </w:p>
    <w:p>
      <w:pPr>
        <w:ind w:left="660" w:hanging="621"/>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60" w:hanging="621"/>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-5080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001-36112</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MACROGENICS, INC.</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20" w:type="dxa"/>
            <w:vAlign w:val="bottom"/>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06-1591613</w:t>
            </w:r>
          </w:p>
        </w:tc>
        <w:tc>
          <w:tcPr>
            <w:tcW w:w="0" w:type="dxa"/>
            <w:vAlign w:val="bottom"/>
          </w:tcPr>
          <w:p>
            <w:pPr>
              <w:spacing w:after="0"/>
              <w:rPr>
                <w:sz w:val="1"/>
                <w:szCs w:val="1"/>
                <w:color w:val="auto"/>
              </w:rPr>
            </w:pPr>
          </w:p>
        </w:tc>
      </w:tr>
      <w:tr>
        <w:trPr>
          <w:trHeight w:val="184"/>
        </w:trPr>
        <w:tc>
          <w:tcPr>
            <w:tcW w:w="4420" w:type="dxa"/>
            <w:vAlign w:val="bottom"/>
            <w:gridSpan w:val="2"/>
          </w:tcPr>
          <w:p>
            <w:pPr>
              <w:jc w:val="center"/>
              <w:ind w:left="13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20" w:type="dxa"/>
            <w:vAlign w:val="bottom"/>
          </w:tcPr>
          <w:p>
            <w:pPr>
              <w:jc w:val="center"/>
              <w:ind w:right="4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(I.R.S. Employer</w:t>
            </w:r>
          </w:p>
        </w:tc>
        <w:tc>
          <w:tcPr>
            <w:tcW w:w="0" w:type="dxa"/>
            <w:vAlign w:val="bottom"/>
          </w:tcPr>
          <w:p>
            <w:pPr>
              <w:spacing w:after="0"/>
              <w:rPr>
                <w:sz w:val="1"/>
                <w:szCs w:val="1"/>
                <w:color w:val="auto"/>
              </w:rPr>
            </w:pPr>
          </w:p>
        </w:tc>
      </w:tr>
      <w:tr>
        <w:trPr>
          <w:trHeight w:val="238"/>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9704 Medical Center Drive</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20850</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r>
        <w:trPr>
          <w:trHeight w:val="418"/>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301-251-5172</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6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324"/>
        </w:trPr>
        <w:tc>
          <w:tcPr>
            <w:tcW w:w="65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MGNX</w:t>
            </w:r>
          </w:p>
        </w:tc>
        <w:tc>
          <w:tcPr>
            <w:tcW w:w="46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2" w:lineRule="exact"/>
        <w:rPr>
          <w:sz w:val="24"/>
          <w:szCs w:val="24"/>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0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56"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080" w:firstLine="648"/>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8, 2026, 63,563,123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2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78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100" w:type="dxa"/>
            <w:vAlign w:val="bottom"/>
            <w:gridSpan w:val="8"/>
          </w:tcPr>
          <w:p>
            <w:pPr>
              <w:spacing w:after="0"/>
              <w:rPr>
                <w:sz w:val="24"/>
                <w:szCs w:val="24"/>
                <w:color w:val="auto"/>
              </w:rPr>
            </w:pP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6980" w:type="dxa"/>
            <w:vAlign w:val="bottom"/>
            <w:gridSpan w:val="11"/>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61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March 31, 2026 (unaudited) and December 31, 2025</w:t>
            </w:r>
          </w:p>
        </w:tc>
        <w:tc>
          <w:tcPr>
            <w:tcW w:w="2400" w:type="dxa"/>
            <w:vAlign w:val="bottom"/>
            <w:gridSpan w:val="5"/>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months ended March 31, 2026 and</w:t>
            </w:r>
          </w:p>
        </w:tc>
      </w:tr>
      <w:tr>
        <w:trPr>
          <w:trHeight w:val="156"/>
        </w:trPr>
        <w:tc>
          <w:tcPr>
            <w:tcW w:w="2740" w:type="dxa"/>
            <w:vAlign w:val="bottom"/>
          </w:tcPr>
          <w:p>
            <w:pPr>
              <w:spacing w:after="0"/>
              <w:rPr>
                <w:sz w:val="13"/>
                <w:szCs w:val="13"/>
                <w:color w:val="auto"/>
              </w:rPr>
            </w:pPr>
          </w:p>
        </w:tc>
        <w:tc>
          <w:tcPr>
            <w:tcW w:w="816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March 31, 2025 (unaudited)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3"/>
        </w:trPr>
        <w:tc>
          <w:tcPr>
            <w:tcW w:w="2740" w:type="dxa"/>
            <w:vAlign w:val="bottom"/>
          </w:tcPr>
          <w:p>
            <w:pPr>
              <w:spacing w:after="0"/>
              <w:rPr>
                <w:sz w:val="24"/>
                <w:szCs w:val="24"/>
                <w:color w:val="auto"/>
              </w:rPr>
            </w:pP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months ended March 31, 2026 and March 31, 2025</w:t>
            </w:r>
          </w:p>
        </w:tc>
      </w:tr>
      <w:tr>
        <w:trPr>
          <w:trHeight w:val="156"/>
        </w:trPr>
        <w:tc>
          <w:tcPr>
            <w:tcW w:w="274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(unaudited)</w:t>
            </w:r>
          </w:p>
        </w:tc>
        <w:tc>
          <w:tcPr>
            <w:tcW w:w="7340" w:type="dxa"/>
            <w:vAlign w:val="bottom"/>
            <w:tcBorders>
              <w:top w:val="single" w:sz="8" w:color="0000FF"/>
            </w:tcBorders>
            <w:gridSpan w:val="13"/>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93"/>
        </w:trPr>
        <w:tc>
          <w:tcPr>
            <w:tcW w:w="2740" w:type="dxa"/>
            <w:vAlign w:val="bottom"/>
          </w:tcPr>
          <w:p>
            <w:pPr>
              <w:spacing w:after="0"/>
              <w:rPr>
                <w:sz w:val="24"/>
                <w:szCs w:val="24"/>
                <w:color w:val="auto"/>
              </w:rPr>
            </w:pP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March 31, 2025 (unaudited)</w:t>
            </w:r>
          </w:p>
        </w:tc>
      </w:tr>
      <w:tr>
        <w:trPr>
          <w:trHeight w:val="480"/>
        </w:trPr>
        <w:tc>
          <w:tcPr>
            <w:tcW w:w="2740" w:type="dxa"/>
            <w:vAlign w:val="bottom"/>
          </w:tcPr>
          <w:p>
            <w:pPr>
              <w:spacing w:after="0"/>
              <w:rPr>
                <w:sz w:val="24"/>
                <w:szCs w:val="24"/>
                <w:color w:val="auto"/>
              </w:rPr>
            </w:pPr>
          </w:p>
        </w:tc>
        <w:tc>
          <w:tcPr>
            <w:tcW w:w="84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00" w:type="dxa"/>
            <w:vAlign w:val="bottom"/>
          </w:tcPr>
          <w:p>
            <w:pPr>
              <w:spacing w:after="0"/>
              <w:rPr>
                <w:sz w:val="24"/>
                <w:szCs w:val="24"/>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20" w:type="dxa"/>
            <w:vAlign w:val="bottom"/>
            <w:tcBorders>
              <w:top w:val="single" w:sz="8" w:color="0000FF"/>
            </w:tcBorders>
            <w:gridSpan w:val="2"/>
          </w:tcPr>
          <w:p>
            <w:pPr>
              <w:spacing w:after="0"/>
              <w:rPr>
                <w:sz w:val="24"/>
                <w:szCs w:val="24"/>
                <w:color w:val="auto"/>
              </w:rPr>
            </w:pPr>
          </w:p>
        </w:tc>
        <w:tc>
          <w:tcPr>
            <w:tcW w:w="2060" w:type="dxa"/>
            <w:vAlign w:val="bottom"/>
            <w:gridSpan w:val="4"/>
          </w:tcPr>
          <w:p>
            <w:pPr>
              <w:spacing w:after="0"/>
              <w:rPr>
                <w:sz w:val="24"/>
                <w:szCs w:val="24"/>
                <w:color w:val="auto"/>
              </w:rPr>
            </w:pPr>
          </w:p>
        </w:tc>
      </w:tr>
      <w:tr>
        <w:trPr>
          <w:trHeight w:val="48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720" w:type="dxa"/>
            <w:vAlign w:val="bottom"/>
            <w:gridSpan w:val="10"/>
          </w:tcPr>
          <w:p>
            <w:pPr>
              <w:spacing w:after="0"/>
              <w:rPr>
                <w:sz w:val="24"/>
                <w:szCs w:val="24"/>
                <w:color w:val="auto"/>
              </w:rPr>
            </w:pPr>
          </w:p>
        </w:tc>
      </w:tr>
      <w:tr>
        <w:trPr>
          <w:trHeight w:val="479"/>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r>
      <w:tr>
        <w:trPr>
          <w:trHeight w:val="48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80" w:type="dxa"/>
            <w:vAlign w:val="bottom"/>
            <w:gridSpan w:val="9"/>
          </w:tcPr>
          <w:p>
            <w:pPr>
              <w:spacing w:after="0"/>
              <w:rPr>
                <w:sz w:val="24"/>
                <w:szCs w:val="24"/>
                <w:color w:val="auto"/>
              </w:rPr>
            </w:pPr>
          </w:p>
        </w:tc>
      </w:tr>
      <w:tr>
        <w:trPr>
          <w:trHeight w:val="466"/>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24"/>
                <w:szCs w:val="24"/>
                <w:color w:val="auto"/>
              </w:rPr>
            </w:pPr>
          </w:p>
        </w:tc>
        <w:tc>
          <w:tcPr>
            <w:tcW w:w="7160" w:type="dxa"/>
            <w:vAlign w:val="bottom"/>
            <w:gridSpan w:val="12"/>
          </w:tcPr>
          <w:p>
            <w:pPr>
              <w:spacing w:after="0"/>
              <w:rPr>
                <w:sz w:val="24"/>
                <w:szCs w:val="24"/>
                <w:color w:val="auto"/>
              </w:rPr>
            </w:pPr>
          </w:p>
        </w:tc>
      </w:tr>
      <w:tr>
        <w:trPr>
          <w:trHeight w:val="642"/>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5.</w:t>
            </w: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180" w:type="dxa"/>
            <w:vAlign w:val="bottom"/>
            <w:gridSpan w:val="13"/>
          </w:tcPr>
          <w:p>
            <w:pPr>
              <w:spacing w:after="0"/>
              <w:rPr>
                <w:sz w:val="24"/>
                <w:szCs w:val="24"/>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40" w:type="dxa"/>
            <w:vAlign w:val="bottom"/>
            <w:gridSpan w:val="16"/>
          </w:tcPr>
          <w:p>
            <w:pPr>
              <w:spacing w:after="0" w:line="20" w:lineRule="exact"/>
              <w:rPr>
                <w:sz w:val="1"/>
                <w:szCs w:val="1"/>
                <w:color w:val="auto"/>
              </w:rPr>
            </w:pPr>
          </w:p>
        </w:tc>
      </w:tr>
      <w:tr>
        <w:trPr>
          <w:trHeight w:val="480"/>
        </w:trPr>
        <w:tc>
          <w:tcPr>
            <w:tcW w:w="2740" w:type="dxa"/>
            <w:vAlign w:val="bottom"/>
          </w:tcPr>
          <w:p>
            <w:pPr>
              <w:spacing w:after="0"/>
              <w:rPr>
                <w:sz w:val="24"/>
                <w:szCs w:val="24"/>
                <w:color w:val="auto"/>
              </w:rPr>
            </w:pP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r>
      <w:tr>
        <w:trPr>
          <w:trHeight w:val="1445"/>
        </w:trPr>
        <w:tc>
          <w:tcPr>
            <w:tcW w:w="27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8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fiscal year ended December 31, 2025 and "Part II, Item 1A. Risk Factors" of this Quarterly Report on Form 10-Q), could affect future performance and cause actual results to differ materially from those matters expressed in or implied by forward-looking statements:</w:t>
      </w:r>
    </w:p>
    <w:p>
      <w:pPr>
        <w:spacing w:after="0" w:line="79" w:lineRule="exact"/>
        <w:rPr>
          <w:sz w:val="20"/>
          <w:szCs w:val="20"/>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520" w:right="7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our ongoing and planned clinical trials and the timing of those outcomes, including when clinical trials will be initiated or completed, enrollment of trials, and when data will be reported or regulatory filings will be made;</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 and the labeling for any approved products;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63" w:lineRule="exact"/>
        <w:rPr>
          <w:rFonts w:ascii="Times New Roman" w:cs="Times New Roman" w:eastAsia="Times New Roman" w:hAnsi="Times New Roman"/>
          <w:sz w:val="18"/>
          <w:szCs w:val="18"/>
          <w:color w:val="auto"/>
        </w:rPr>
      </w:pPr>
    </w:p>
    <w:p>
      <w:pPr>
        <w:jc w:val="both"/>
        <w:ind w:left="520" w:right="20" w:hanging="332"/>
        <w:spacing w:after="0" w:line="266"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closing of the sale of our CDMO Operations, including the timing of the closing and the anticipated upfront payment, as well as our expectations regarding the manufacturing supply agreement that we will enter into with the Purchaser prior to closing (each as defined below);</w:t>
      </w:r>
    </w:p>
    <w:p>
      <w:pPr>
        <w:spacing w:after="0" w:line="13" w:lineRule="exact"/>
        <w:rPr>
          <w:rFonts w:ascii="Times New Roman" w:cs="Times New Roman" w:eastAsia="Times New Roman" w:hAnsi="Times New Roman"/>
          <w:sz w:val="18"/>
          <w:szCs w:val="18"/>
          <w:color w:val="auto"/>
        </w:rPr>
      </w:pPr>
    </w:p>
    <w:p>
      <w:pPr>
        <w:ind w:left="520" w:right="2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research funding and achieve anticipated milestones under our collaborations, as well as our ability to offset the operating costs of our manufacturing facility from our contract development and manufacturing services;</w:t>
      </w:r>
    </w:p>
    <w:p>
      <w:pPr>
        <w:spacing w:after="0" w:line="1" w:lineRule="exact"/>
        <w:rPr>
          <w:rFonts w:ascii="Times New Roman" w:cs="Times New Roman" w:eastAsia="Times New Roman" w:hAnsi="Times New Roman"/>
          <w:sz w:val="18"/>
          <w:szCs w:val="18"/>
          <w:color w:val="auto"/>
        </w:rPr>
      </w:pPr>
    </w:p>
    <w:p>
      <w:pPr>
        <w:ind w:left="520" w:right="2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through the capital markets or through one or more corporate partnerships, equity offerings, debt financings, collaborations, licensing arrangements or asset sales;</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product candidates currently being developed by our collaborators;</w:t>
      </w:r>
    </w:p>
    <w:p>
      <w:pPr>
        <w:spacing w:after="0" w:line="63" w:lineRule="exact"/>
        <w:rPr>
          <w:rFonts w:ascii="Times New Roman" w:cs="Times New Roman" w:eastAsia="Times New Roman" w:hAnsi="Times New Roman"/>
          <w:sz w:val="18"/>
          <w:szCs w:val="18"/>
          <w:color w:val="auto"/>
        </w:rPr>
      </w:pPr>
    </w:p>
    <w:p>
      <w:pPr>
        <w:ind w:left="520" w:right="2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compromise of our or our third parties’ information technology systems and resultant costs, disruptions in our operations or related impact on our reputation;</w:t>
      </w:r>
    </w:p>
    <w:p>
      <w:pPr>
        <w:spacing w:after="0" w:line="1" w:lineRule="exact"/>
        <w:rPr>
          <w:rFonts w:ascii="Times New Roman" w:cs="Times New Roman" w:eastAsia="Times New Roman" w:hAnsi="Times New Roman"/>
          <w:sz w:val="18"/>
          <w:szCs w:val="18"/>
          <w:color w:val="auto"/>
        </w:rPr>
      </w:pPr>
    </w:p>
    <w:p>
      <w:pPr>
        <w:ind w:left="520" w:right="34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collaborations or to identify additional products or product candidates with significant commercial potential that are consistent with our commercial objectives;</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future operation of our existing collaborations;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the investment in our manufacturing capabilities;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in our industry;</w:t>
      </w:r>
    </w:p>
    <w:p>
      <w:pPr>
        <w:spacing w:after="0" w:line="63" w:lineRule="exact"/>
        <w:rPr>
          <w:rFonts w:ascii="Times New Roman" w:cs="Times New Roman" w:eastAsia="Times New Roman" w:hAnsi="Times New Roman"/>
          <w:sz w:val="18"/>
          <w:szCs w:val="18"/>
          <w:color w:val="auto"/>
        </w:rPr>
      </w:pPr>
    </w:p>
    <w:p>
      <w:pPr>
        <w:ind w:left="520" w:right="42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 and the failure to successfully defend lawsuits and other claims against us and our expectations regarding the outcome of any regulatory or legal proceedings;</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other risks associated with our international operations;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patents and other intellectual property;</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and our failure to comply with new and existing governmental regulations including, but not limited to, tax regulations;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retirement of key members of management;</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growth strategy, including any delays in our planned future growth;</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effective internal controls; and</w:t>
      </w:r>
    </w:p>
    <w:p>
      <w:pPr>
        <w:spacing w:after="0" w:line="63" w:lineRule="exact"/>
        <w:rPr>
          <w:rFonts w:ascii="Times New Roman" w:cs="Times New Roman" w:eastAsia="Times New Roman" w:hAnsi="Times New Roman"/>
          <w:sz w:val="18"/>
          <w:szCs w:val="18"/>
          <w:color w:val="auto"/>
        </w:rPr>
      </w:pPr>
    </w:p>
    <w:p>
      <w:pPr>
        <w:ind w:left="520" w:right="260" w:hanging="332"/>
        <w:spacing w:after="0" w:line="282"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legislative and regulatory developments, public health crises, geopolitical tensions or other macroeconomic factors on our business, operations, clinical programs, manufacturing, financial results and other aspects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 w:name="page4"/>
    <w:bookmarkEnd w:id="3"/>
    <w:p>
      <w:pPr>
        <w:ind w:firstLine="648"/>
        <w:spacing w:after="0" w:line="261" w:lineRule="auto"/>
        <w:rPr>
          <w:sz w:val="20"/>
          <w:szCs w:val="20"/>
          <w:color w:val="auto"/>
        </w:rPr>
      </w:pPr>
      <w:r>
        <w:rPr>
          <w:rFonts w:ascii="Times New Roman" w:cs="Times New Roman" w:eastAsia="Times New Roman" w:hAnsi="Times New Roman"/>
          <w:sz w:val="18"/>
          <w:szCs w:val="18"/>
          <w:color w:val="auto"/>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850" w:right="659" w:bottom="1440" w:gutter="0" w:footer="0" w:header="0"/>
        </w:sectPr>
      </w:pPr>
    </w:p>
    <w:bookmarkStart w:id="4" w:name="page5"/>
    <w:bookmarkEnd w:id="4"/>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7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57,217</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132,696</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219,941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22,895</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217,873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256,846</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22,230</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10,921</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related to future royalties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00" w:type="dxa"/>
            <w:vAlign w:val="bottom"/>
          </w:tcPr>
          <w:p>
            <w:pPr>
              <w:spacing w:after="0"/>
              <w:rPr>
                <w:sz w:val="19"/>
                <w:szCs w:val="19"/>
                <w:color w:val="auto"/>
              </w:rPr>
            </w:pP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31,585</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 current liabilities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201,255</w:t>
            </w:r>
          </w:p>
        </w:tc>
      </w:tr>
      <w:tr>
        <w:trPr>
          <w:trHeight w:val="270"/>
        </w:trPr>
        <w:tc>
          <w:tcPr>
            <w:tcW w:w="6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175"/>
        </w:trPr>
        <w:tc>
          <w:tcPr>
            <w:tcW w:w="6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-- 125,000,000 shares authorized, 63,560,068 and</w:t>
            </w: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63,318,613 shares outstanding at March 31, 2026 and December 31, 2025, respectively</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1,299,264</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(1,244,338)</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55,591</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5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Borders>
              <w:bottom w:val="single" w:sz="8" w:color="auto"/>
            </w:tcBorders>
          </w:tcPr>
          <w:p>
            <w:pPr>
              <w:spacing w:after="0"/>
              <w:rPr>
                <w:sz w:val="20"/>
                <w:szCs w:val="20"/>
                <w:color w:val="auto"/>
              </w:rPr>
            </w:pPr>
          </w:p>
        </w:tc>
      </w:tr>
      <w:tr>
        <w:trPr>
          <w:trHeight w:val="223"/>
        </w:trPr>
        <w:tc>
          <w:tcPr>
            <w:tcW w:w="65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19"/>
                <w:szCs w:val="19"/>
                <w:color w:val="auto"/>
              </w:rPr>
            </w:pPr>
          </w:p>
        </w:tc>
      </w:tr>
      <w:tr>
        <w:trPr>
          <w:trHeight w:val="20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Collaborative and other agreements</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r>
      <w:tr>
        <w:trPr>
          <w:trHeight w:val="230"/>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manufacturing</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r>
      <w:tr>
        <w:trPr>
          <w:trHeight w:val="229"/>
        </w:trPr>
        <w:tc>
          <w:tcPr>
            <w:tcW w:w="6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Royalty revenue</w:t>
            </w: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20,775</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w:t>
            </w: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manufacturing services</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r>
      <w:tr>
        <w:trPr>
          <w:trHeight w:val="230"/>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34,974</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39,698</w:t>
            </w:r>
          </w:p>
        </w:tc>
      </w:tr>
      <w:tr>
        <w:trPr>
          <w:trHeight w:val="229"/>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w:t>
            </w:r>
          </w:p>
        </w:tc>
      </w:tr>
      <w:tr>
        <w:trPr>
          <w:trHeight w:val="22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54,214</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55,816</w:t>
            </w: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(42,624)</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(36,774)</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(41,036)</w:t>
            </w: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(41,041)</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34"/>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1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63,449,780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62,965,415</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14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2240" w:type="dxa"/>
            <w:vAlign w:val="bottom"/>
            <w:gridSpan w:val="4"/>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400" w:type="dxa"/>
            <w:vAlign w:val="bottom"/>
          </w:tcPr>
          <w:p>
            <w:pPr>
              <w:spacing w:after="0"/>
              <w:rPr>
                <w:sz w:val="9"/>
                <w:szCs w:val="9"/>
                <w:color w:val="auto"/>
              </w:rPr>
            </w:pPr>
          </w:p>
        </w:tc>
        <w:tc>
          <w:tcPr>
            <w:tcW w:w="22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9"/>
                <w:szCs w:val="9"/>
                <w:color w:val="auto"/>
              </w:rPr>
            </w:pPr>
          </w:p>
        </w:tc>
        <w:tc>
          <w:tcPr>
            <w:tcW w:w="126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6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1140" w:type="dxa"/>
            <w:vAlign w:val="bottom"/>
            <w:vMerge w:val="restart"/>
          </w:tcPr>
          <w:p>
            <w:pPr>
              <w:jc w:val="center"/>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400" w:type="dxa"/>
            <w:vAlign w:val="bottom"/>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63,318,613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55,591</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center"/>
              <w:ind w:left="677"/>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center"/>
              <w:ind w:left="737"/>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(36,774)</w:t>
            </w:r>
          </w:p>
        </w:tc>
        <w:tc>
          <w:tcPr>
            <w:tcW w:w="0" w:type="dxa"/>
            <w:vAlign w:val="bottom"/>
          </w:tcPr>
          <w:p>
            <w:pPr>
              <w:spacing w:after="0"/>
              <w:rPr>
                <w:sz w:val="1"/>
                <w:szCs w:val="1"/>
                <w:color w:val="auto"/>
              </w:rPr>
            </w:pP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63,560,068</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1,301,701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(1,281,112)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center"/>
              <w:ind w:left="737"/>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3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1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3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3"/>
                <w:szCs w:val="3"/>
                <w:color w:val="auto"/>
              </w:rPr>
            </w:pPr>
          </w:p>
        </w:tc>
        <w:tc>
          <w:tcPr>
            <w:tcW w:w="12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3"/>
                <w:szCs w:val="3"/>
                <w:color w:val="auto"/>
              </w:rPr>
            </w:pPr>
          </w:p>
        </w:tc>
        <w:tc>
          <w:tcPr>
            <w:tcW w:w="12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3"/>
                <w:szCs w:val="3"/>
                <w:color w:val="auto"/>
              </w:rPr>
            </w:pPr>
          </w:p>
        </w:tc>
        <w:tc>
          <w:tcPr>
            <w:tcW w:w="1160" w:type="dxa"/>
            <w:vAlign w:val="bottom"/>
            <w:vMerge w:val="restart"/>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13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7"/>
                <w:szCs w:val="7"/>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0"/>
                <w:szCs w:val="10"/>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0"/>
                <w:szCs w:val="10"/>
                <w:color w:val="auto"/>
              </w:rPr>
            </w:pPr>
          </w:p>
        </w:tc>
        <w:tc>
          <w:tcPr>
            <w:tcW w:w="11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71"/>
        </w:trPr>
        <w:tc>
          <w:tcPr>
            <w:tcW w:w="3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62,819,857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1,285,143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116,057</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(41,036)</w:t>
            </w:r>
          </w:p>
        </w:tc>
        <w:tc>
          <w:tcPr>
            <w:tcW w:w="0" w:type="dxa"/>
            <w:vAlign w:val="bottom"/>
          </w:tcPr>
          <w:p>
            <w:pPr>
              <w:spacing w:after="0"/>
              <w:rPr>
                <w:sz w:val="1"/>
                <w:szCs w:val="1"/>
                <w:color w:val="auto"/>
              </w:rPr>
            </w:pP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63,090,323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1,289,243</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(1,210,754)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79,119</w:t>
            </w: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7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(36,774)</w:t>
            </w:r>
          </w:p>
        </w:tc>
        <w:tc>
          <w:tcPr>
            <w:tcW w:w="120" w:type="dxa"/>
            <w:vAlign w:val="bottom"/>
          </w:tcPr>
          <w:p>
            <w:pPr>
              <w:spacing w:after="0"/>
              <w:rPr>
                <w:sz w:val="19"/>
                <w:szCs w:val="19"/>
                <w:color w:val="auto"/>
              </w:rPr>
            </w:pP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(41,036)</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2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r>
      <w:tr>
        <w:trPr>
          <w:trHeight w:val="22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royalty revenue</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r>
      <w:tr>
        <w:trPr>
          <w:trHeight w:val="229"/>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w:t>
            </w: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r>
      <w:tr>
        <w:trPr>
          <w:trHeight w:val="230"/>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 current assets</w:t>
            </w:r>
          </w:p>
        </w:tc>
        <w:tc>
          <w:tcPr>
            <w:tcW w:w="14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30"/>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 current liabilities</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(35,811)</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(46,890)</w:t>
            </w: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45,318</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 and ESPP purchases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(37,270)</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57,217</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182,840</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66,517</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145,570</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operating and investing activities</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included in accounts payable or accruals</w:t>
            </w: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75"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MacroGenics, Inc. (the Company) is incorporated in the state of Delaware. The Company is a biopharmaceutical company focused on developing innovative antibody-based therapeutics for the treatment of cancer. The Company generates its pipeline of product candidates from its proprietary suite of antibody technology platforms. The Company is currently developing therapeutics utilizing multiple modalities, including antibody-drug conjugates (ADCs) and multi-specific antibodies (which are referred to as DART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TRIDENT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molecules). The combination of the Company’s technology platforms and antibody engineering expertise has allowed the Company to generate promising product candidates – three of which have received marketing approval by the U.S. Food and Drug Administration (FDA) – and to enter into several strategic collaborations with global biopharmaceutical companies. These collaborations have enabled the Company to leverage the additional expertise of its collaborators to advance the development of multiple partnered product candidates. In addition, the Company operates a commercial-scale cGMP antibody manufacturing facility in its Maryland headquarters to support its clinical programs. The Company also provides outsourced contract development and manufacturing services to its collaborators and other third parties for commercial and clinical products to offset a significant portion of the operating costs of this facility. See Note 12, Subsequent Events, for additional information regarding the sale of the assets and liabilities related to the Company's manufacturing operations (CDMO Operations).</w:t>
      </w:r>
    </w:p>
    <w:p>
      <w:pPr>
        <w:spacing w:after="0" w:line="14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is currently advancing three proprietary product candidates in clinical development: lorigerlimab, a bispecific DART molecule that targets checkpoint inhibitors PD-1 and CTLA-4; MGC026, an ADC that targets B7-H3 and delivers a novel topoisomerase I inhibitor (TOP1i)-based linker-payload, and MGC028, an ADC that targets ADAM9 and delivers a novel TOP1i-based linker-payload. The Company is also actively developing multiple preclinical-stage ADC and next generation T-cell engager programs.</w:t>
      </w:r>
    </w:p>
    <w:p>
      <w:pPr>
        <w:spacing w:after="0" w:line="207" w:lineRule="exact"/>
        <w:rPr>
          <w:sz w:val="20"/>
          <w:szCs w:val="20"/>
          <w:color w:val="auto"/>
        </w:rPr>
      </w:pPr>
    </w:p>
    <w:p>
      <w:pPr>
        <w:ind w:right="120" w:firstLine="648"/>
        <w:spacing w:after="0" w:line="232" w:lineRule="auto"/>
        <w:rPr>
          <w:sz w:val="20"/>
          <w:szCs w:val="20"/>
          <w:color w:val="auto"/>
        </w:rPr>
      </w:pPr>
      <w:r>
        <w:rPr>
          <w:rFonts w:ascii="Times New Roman" w:cs="Times New Roman" w:eastAsia="Times New Roman" w:hAnsi="Times New Roman"/>
          <w:sz w:val="18"/>
          <w:szCs w:val="18"/>
          <w:color w:val="auto"/>
        </w:rPr>
        <w:t>The Company and its partners are developing or commercializing product candidates for which the Company retains certain economic rights. These include three products approved by the FDA: ZYNYZ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(retifanlimab-dlwr), an anti-PD-1 monoclonal antibody (mAb) that the Company out-licensed; MARGENZA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(margetuximab-cmkb), an anti-HER2 mAb that the Company sold to a partner; and TZIELD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(teplizumab-mzwv), an anti-CD3 mAb that the Company sold to a partner. The Company is also collaborating with Gilead Sciences, Inc. (Gilead) on the development of MGD024, a bispecific DART antibody targeting CD123 and CD3 that utilizes its next-generation T-cell engager technology, as well as two additional undisclosed pre-clinical development programs.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Company’s multiple product candidates currently under development will require significant additional research and development efforts that include extensive preclinical studies and clinical testing, and regulatory approval prior to commercial use.</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a biotechnology company, the Company has primarily funded its operations with proceeds from the sale of its common stock in equity</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offerings and revenue from its multiple collaboration agreements. Management regularly reviews the Company’s available liquidity relative to its operating budget and forecast to monitor the sufficiency of the Company’s working capital. The Company plans to meet its future operating requirements by generating revenue from current and future strategic collaborations or other arrangements and royalties. 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Based on the Company’s most recent cash flow forecast, the Company believes its current resources are sufficient to fund its operating plans for a minimum of twelve months from the date that this Quarterly Report on Form 10-Q was filed.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Other risk factors pertinent to the Company's business, including significant equity market volatility and availability of funding in the biotechnology sector, as well as potential issues in the global economy, credit markets and financial markets as a result of significant worldwide events, including inflation, fluctuating interest rates and geopolitical upheaval,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spacing w:after="0" w:line="126"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Annual Report on Form 10-K for the fiscal year ended December 31, 2025, filed with the Securities and Exchange Commission (SEC) on March 9,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75" w:lineRule="exact"/>
        <w:rPr>
          <w:sz w:val="20"/>
          <w:szCs w:val="20"/>
          <w:color w:val="auto"/>
        </w:rPr>
      </w:pPr>
    </w:p>
    <w:p>
      <w:pPr>
        <w:jc w:val="both"/>
        <w:ind w:right="700" w:firstLine="648"/>
        <w:spacing w:after="0" w:line="282" w:lineRule="auto"/>
        <w:rPr>
          <w:sz w:val="20"/>
          <w:szCs w:val="20"/>
          <w:color w:val="auto"/>
        </w:rPr>
      </w:pPr>
      <w:r>
        <w:rPr>
          <w:rFonts w:ascii="Times New Roman" w:cs="Times New Roman" w:eastAsia="Times New Roman" w:hAnsi="Times New Roman"/>
          <w:sz w:val="18"/>
          <w:szCs w:val="18"/>
          <w:color w:val="auto"/>
        </w:rPr>
        <w:t>Royalty revenue of approximately $0.4 million for the three months ended March 31, 2025 was reclassified from Collaborative and other agreements to Royalty revenue on the consolidated statement of operations and comprehensive loss to conform to the current period presentation.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the significant accounting policies previously disclosed in the Company’s Annual Report on Form 10-K for the fiscal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No. 2024-03, Disaggregation of Income Statement Expense. The standard requires further disaggregation of relevant expense captions in a separate note to the financial statements. The standard is effective for fiscal years beginning after December 15, 2026 and interim periods within fiscal years beginning after December 15, 2027. Early adoption is permitted. The Company is currently assessing the impact of adopting this guidance on its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7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252525"/>
        </w:rPr>
        <w:t xml:space="preserve">The Company's financial instruments consist of cash and cash equivalents, marketable securities, accounts receivable, accounts payable and accrued expenses. The carrying amount of accounts receivable, accounts payable and accrued expenses are generally considered to be representative of their respective fair values because of their short-term nature. </w:t>
      </w:r>
      <w:r>
        <w:rPr>
          <w:rFonts w:ascii="Times New Roman" w:cs="Times New Roman" w:eastAsia="Times New Roman" w:hAnsi="Times New Roman"/>
          <w:sz w:val="18"/>
          <w:szCs w:val="18"/>
          <w:color w:val="000000"/>
        </w:rPr>
        <w:t>The Company accounts for recurring and non-recurring fair value measurements in</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accordance with FASB ASC Topic 820, </w:t>
      </w:r>
      <w:r>
        <w:rPr>
          <w:rFonts w:ascii="Times New Roman" w:cs="Times New Roman" w:eastAsia="Times New Roman" w:hAnsi="Times New Roman"/>
          <w:sz w:val="18"/>
          <w:szCs w:val="18"/>
          <w:i w:val="1"/>
          <w:iCs w:val="1"/>
          <w:color w:val="000000"/>
        </w:rPr>
        <w:t>Fair Value Measurements and Disclosures</w:t>
      </w:r>
      <w:r>
        <w:rPr>
          <w:rFonts w:ascii="Times New Roman" w:cs="Times New Roman" w:eastAsia="Times New Roman" w:hAnsi="Times New Roman"/>
          <w:sz w:val="18"/>
          <w:szCs w:val="18"/>
          <w:color w:val="000000"/>
        </w:rPr>
        <w:t xml:space="preserve"> (ASC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13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 is determined by using unadjusted quoted prices that are available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980" w:hanging="324"/>
        <w:spacing w:after="0" w:line="261"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ind w:left="980" w:right="320" w:hanging="324"/>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68"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Times New Roman" w:cs="Times New Roman" w:eastAsia="Times New Roman" w:hAnsi="Times New Roman"/>
          <w:sz w:val="17"/>
          <w:szCs w:val="17"/>
          <w:color w:val="252525"/>
        </w:rPr>
        <w:t>There were no transfers between levels during the periods presented.</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measured at fair value on a recurring basis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March 31, 2026</w:t>
            </w:r>
          </w:p>
        </w:tc>
        <w:tc>
          <w:tcPr>
            <w:tcW w:w="1320" w:type="dxa"/>
            <w:vAlign w:val="bottom"/>
            <w:tcBorders>
              <w:bottom w:val="single" w:sz="8" w:color="auto"/>
            </w:tcBorders>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60" w:type="dxa"/>
            <w:vAlign w:val="bottom"/>
          </w:tcPr>
          <w:p>
            <w:pPr>
              <w:spacing w:after="0"/>
              <w:rPr>
                <w:sz w:val="19"/>
                <w:szCs w:val="19"/>
                <w:color w:val="auto"/>
              </w:rPr>
            </w:pP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2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w:t>
            </w:r>
          </w:p>
        </w:tc>
      </w:tr>
      <w:tr>
        <w:trPr>
          <w:trHeight w:val="223"/>
        </w:trPr>
        <w:tc>
          <w:tcPr>
            <w:tcW w:w="5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assets measured at fair value</w:t>
            </w:r>
            <w:r>
              <w:rPr>
                <w:rFonts w:ascii="Times New Roman" w:cs="Times New Roman" w:eastAsia="Times New Roman" w:hAnsi="Times New Roman"/>
                <w:sz w:val="23"/>
                <w:szCs w:val="23"/>
                <w:color w:val="auto"/>
                <w:vertAlign w:val="superscript"/>
              </w:rPr>
              <w:t>(a)</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127,943</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87,712</w:t>
            </w:r>
          </w:p>
        </w:tc>
      </w:tr>
      <w:tr>
        <w:trPr>
          <w:trHeight w:val="21"/>
        </w:trPr>
        <w:tc>
          <w:tcPr>
            <w:tcW w:w="5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gridSpan w:val="7"/>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2025</w:t>
            </w:r>
          </w:p>
        </w:tc>
      </w:tr>
      <w:tr>
        <w:trPr>
          <w:trHeight w:val="223"/>
        </w:trPr>
        <w:tc>
          <w:tcPr>
            <w:tcW w:w="5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2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53,950</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81,300</w:t>
            </w:r>
          </w:p>
        </w:tc>
      </w:tr>
      <w:tr>
        <w:trPr>
          <w:trHeight w:val="223"/>
        </w:trPr>
        <w:tc>
          <w:tcPr>
            <w:tcW w:w="5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assets measured at fair value</w:t>
            </w:r>
            <w:r>
              <w:rPr>
                <w:rFonts w:ascii="Times New Roman" w:cs="Times New Roman" w:eastAsia="Times New Roman" w:hAnsi="Times New Roman"/>
                <w:sz w:val="23"/>
                <w:szCs w:val="23"/>
                <w:color w:val="auto"/>
                <w:vertAlign w:val="superscript"/>
              </w:rPr>
              <w:t>(b)</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151,655</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140,189</w:t>
            </w:r>
          </w:p>
        </w:tc>
      </w:tr>
      <w:tr>
        <w:trPr>
          <w:trHeight w:val="20"/>
        </w:trPr>
        <w:tc>
          <w:tcPr>
            <w:tcW w:w="5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260" w:right="240" w:hanging="252"/>
        <w:spacing w:after="0" w:line="282" w:lineRule="auto"/>
        <w:tabs>
          <w:tab w:leader="none" w:pos="2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measured at fair value at March 31, 2026 includes approximately $40.2 million reported in cash and cash equivalents on the consolidated balance sheet.</w:t>
      </w:r>
    </w:p>
    <w:p>
      <w:pPr>
        <w:spacing w:after="0" w:line="161" w:lineRule="exact"/>
        <w:rPr>
          <w:rFonts w:ascii="Times New Roman" w:cs="Times New Roman" w:eastAsia="Times New Roman" w:hAnsi="Times New Roman"/>
          <w:sz w:val="18"/>
          <w:szCs w:val="18"/>
          <w:color w:val="auto"/>
        </w:rPr>
      </w:pPr>
    </w:p>
    <w:p>
      <w:pPr>
        <w:ind w:left="260" w:right="920" w:hanging="252"/>
        <w:spacing w:after="0" w:line="282" w:lineRule="auto"/>
        <w:tabs>
          <w:tab w:leader="none" w:pos="2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measured at fair value at December 31, 2025 includes approximately $19.0 million reported in cash and cash equivalents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820" w:type="dxa"/>
            <w:vAlign w:val="bottom"/>
            <w:gridSpan w:val="11"/>
          </w:tcPr>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securities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34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7"/>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3"/>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36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3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6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87,712</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3"/>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60" w:type="dxa"/>
            <w:vAlign w:val="bottom"/>
          </w:tcPr>
          <w:p>
            <w:pPr>
              <w:spacing w:after="0"/>
              <w:rPr>
                <w:sz w:val="14"/>
                <w:szCs w:val="14"/>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6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5"/>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All of the Company's available-for-sale securities held as of March 31, 2026 and December 31, 2025 had contractual maturities of less than one year. All of the Company's available-for-sale securities in an unrealized loss position as of March 31, 2026 were in a loss position for less than twelve months. Unrealized losses on available-for-sale debt securities as of March 31, 2026 were not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The Company does not intend to sell its investments and it is not more likely than not that the Company will be required to sell its investments before recovery of their amortized cost bases, which may be at maturity.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 Net</w:t>
      </w:r>
    </w:p>
    <w:p>
      <w:pPr>
        <w:spacing w:after="0" w:line="175" w:lineRule="exact"/>
        <w:rPr>
          <w:sz w:val="20"/>
          <w:szCs w:val="20"/>
          <w:color w:val="auto"/>
        </w:rPr>
      </w:pPr>
    </w:p>
    <w:p>
      <w:pPr>
        <w:ind w:right="20" w:firstLine="567"/>
        <w:spacing w:after="0" w:line="255" w:lineRule="auto"/>
        <w:rPr>
          <w:sz w:val="20"/>
          <w:szCs w:val="20"/>
          <w:color w:val="auto"/>
        </w:rPr>
      </w:pPr>
      <w:r>
        <w:rPr>
          <w:rFonts w:ascii="Times New Roman" w:cs="Times New Roman" w:eastAsia="Times New Roman" w:hAnsi="Times New Roman"/>
          <w:sz w:val="18"/>
          <w:szCs w:val="18"/>
          <w:color w:val="auto"/>
        </w:rPr>
        <w:t>Inventory is composed of raw materials valued at the lower of cost or estimated net realizable value. Cost is determined using the moving average cost basis, which approximates cost on a first-in, first-out basis. The Company performs an assessment of the recoverability of capitalized inventory during each reporting period, and it writes down any excess, obsolete or expired materials to their estimated realizable value in the period in which the impairment is first identified. Such write downs, should they occur, are recorded within the cost of manufacturing services in the statement of operations. Inventory at March 31, 2026 and December 31, 2025 consists of $9.5 million and $7.9 million in raw materials and supplies procured for the purpose of manufacturing drug substance for the Company's contract manufacturing customers. As of March 31, 2026 and December 31, 2025 there was no inventory reserve recorded.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Royalty Monetization Arrangement</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June 2025, the Company and Sagard Healthcare Partners (Sagard) entered into a Purchase and Sale Agreement (Royalty Purchase Agreement) pursuant to which the Company sold to Sagard its right to receive royalties on global net sales of ZYNYZ (retifanlimab-dlwr) occurring on and after July 1, 2025 under the Company’s Global Collaboration and License Agreement, dated as of October 24, 2017, as amended (Incyte License Agreement), with Incyte Corporation (Incyte).</w:t>
      </w:r>
    </w:p>
    <w:p>
      <w:pPr>
        <w:spacing w:after="0" w:line="126" w:lineRule="exact"/>
        <w:rPr>
          <w:sz w:val="20"/>
          <w:szCs w:val="20"/>
          <w:color w:val="auto"/>
        </w:rPr>
      </w:pPr>
    </w:p>
    <w:p>
      <w:pPr>
        <w:jc w:val="both"/>
        <w:ind w:right="200" w:firstLine="648"/>
        <w:spacing w:after="0" w:line="272" w:lineRule="auto"/>
        <w:rPr>
          <w:sz w:val="20"/>
          <w:szCs w:val="20"/>
          <w:color w:val="auto"/>
        </w:rPr>
      </w:pPr>
      <w:r>
        <w:rPr>
          <w:rFonts w:ascii="Times New Roman" w:cs="Times New Roman" w:eastAsia="Times New Roman" w:hAnsi="Times New Roman"/>
          <w:sz w:val="17"/>
          <w:szCs w:val="17"/>
          <w:color w:val="auto"/>
        </w:rPr>
        <w:t>Under the terms of the Royalty Purchase Agreement, the Company received a cash payment of $70.0 million. In exchange, Sagard acquired the royalties payable to the Company under the License Agreement for global net sales of ZYNYZ, subject to a cap. Following Sagard’s receipt of aggregate royalty payments totaling $140.0 million (Royalty Payment Cap), the Company will resume collecting all future royalties under the License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retained its other economic interests related to ZYNYZ, including future potential development, regulatory and commercial milestones.</w:t>
      </w:r>
    </w:p>
    <w:p>
      <w:pPr>
        <w:spacing w:after="0" w:line="15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$70.0 million proceeds received from Sagard under the Royalty Purchase Agreement were recorded as a liability related to future royalties, net of transaction costs of $0.3 million, which will be amortized over the estimated life of the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2" w:name="page13"/>
    <w:bookmarkEnd w:id="12"/>
    <w:p>
      <w:pPr>
        <w:spacing w:after="0" w:line="253" w:lineRule="auto"/>
        <w:rPr>
          <w:sz w:val="20"/>
          <w:szCs w:val="20"/>
          <w:color w:val="auto"/>
        </w:rPr>
      </w:pPr>
      <w:r>
        <w:rPr>
          <w:rFonts w:ascii="Times New Roman" w:cs="Times New Roman" w:eastAsia="Times New Roman" w:hAnsi="Times New Roman"/>
          <w:sz w:val="18"/>
          <w:szCs w:val="18"/>
          <w:color w:val="auto"/>
        </w:rPr>
        <w:t>arrangement using the effective interest rate method. The Company accounted for the Royalty Purchase Agreement as a financing arrangement because the Company has significant continuing involvement in the generation of cash flows due to Sagard and other existing obligations under the License Agreement. Royalty revenue will be recognized as earned on net sales of ZYNYZ, and the Company will record the royalty payments Incyte makes to Sagard as a reduction of the liability when earned. The aggregate future estimated payments, less the $69.7 million of net proceeds, will be recorded as interest expense over the estimated life of the arrangement. As such payments are made to Sagard, the balance of the liability will be effectively repaid over the life of the Royalty Purchase Agreement. The Company estimates the payments to be made to Sagard over the term of the Royalty Purchase Agreement based on forecasted royalties and calculates the effective interest rate required to discount such payments back to the liability balance. As of March 31, 2026, the estimated effective interest rate under the agreement was approximately 27.9%. Over the course of the Royalty Purchase Agreement, the actual effective interest rate will be affected by the amount and timing of net royalty revenue recognized and changes in forecasted revenue. On a quarterly basis, the Company will reassess the effective interest rate and adjust the rate prospectively as necessary. The company recognized non-cash interest expense of $4.9 million during the three months ended March 31, 2026, which is reflected in the interest and other expense line on the consolidated statements of operations.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to the liability related to future royalties were as follows for the three months ended March 31, 2026 (in thousands):</w:t>
      </w:r>
    </w:p>
    <w:p>
      <w:pPr>
        <w:sectPr>
          <w:pgSz w:w="11900" w:h="16838" w:orient="portrait"/>
          <w:cols w:equalWidth="0" w:num="1">
            <w:col w:w="11220"/>
          </w:cols>
          <w:pgMar w:left="320" w:top="931" w:right="359" w:bottom="1440" w:gutter="0" w:footer="0" w:header="0"/>
        </w:sectPr>
      </w:pPr>
    </w:p>
    <w:p>
      <w:pPr>
        <w:spacing w:after="0" w:line="293" w:lineRule="exact"/>
        <w:rPr>
          <w:sz w:val="20"/>
          <w:szCs w:val="20"/>
          <w:color w:val="auto"/>
        </w:rPr>
      </w:pPr>
    </w:p>
    <w:p>
      <w:pPr>
        <w:ind w:left="680" w:right="2180"/>
        <w:spacing w:after="0" w:line="281" w:lineRule="auto"/>
        <w:rPr>
          <w:sz w:val="20"/>
          <w:szCs w:val="20"/>
          <w:color w:val="auto"/>
        </w:rPr>
      </w:pPr>
      <w:r>
        <w:rPr>
          <w:rFonts w:ascii="Times New Roman" w:cs="Times New Roman" w:eastAsia="Times New Roman" w:hAnsi="Times New Roman"/>
          <w:sz w:val="18"/>
          <w:szCs w:val="18"/>
          <w:color w:val="auto"/>
        </w:rPr>
        <w:t>Liability related to future royalties - beginning balance Non-cash royalty revenue payable to Sagard Non-cash interest expense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-457835</wp:posOffset>
            </wp:positionV>
            <wp:extent cx="607758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7585" cy="14541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-166370</wp:posOffset>
            </wp:positionV>
            <wp:extent cx="607758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7585" cy="14541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8"/>
          <w:szCs w:val="18"/>
          <w:color w:val="auto"/>
        </w:rPr>
        <w:t>Liability related to future royalties - ending balance</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29"/>
        </w:trPr>
        <w:tc>
          <w:tcPr>
            <w:tcW w:w="1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w:t>
            </w:r>
          </w:p>
        </w:tc>
      </w:tr>
      <w:tr>
        <w:trPr>
          <w:trHeight w:val="234"/>
        </w:trPr>
        <w:tc>
          <w:tcPr>
            <w:tcW w:w="1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w:t>
            </w:r>
          </w:p>
        </w:tc>
      </w:tr>
      <w:tr>
        <w:trPr>
          <w:trHeight w:val="223"/>
        </w:trPr>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68,713</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700"/>
          </w:cols>
          <w:pgMar w:left="320" w:top="931" w:right="359" w:bottom="1440" w:gutter="0" w:footer="0" w:header="0"/>
          <w:type w:val="continuous"/>
        </w:sectPr>
      </w:pPr>
    </w:p>
    <w:p>
      <w:pPr>
        <w:spacing w:after="0" w:line="119"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Subsequent to March 31, 2026, the Company and Sagard entered into an amendment to the Royalty Purchase Agreement. See Note 12, Subsequent Events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and Other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Incyte Corporation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Incyte License Agreement</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2017, the Company entered into an exclusive global collaboration and license agreement with Incyte, which was amended in March 2018, April 2022, July 2022 and July 2024, for retifanlimab, an investigational monoclonal antibody that inhibits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The Company manufactures a portion of Incyte’s global commercial supply of retifanlimab. In March 2023, the FDA approved Incyte's Biologics License Application (BLA) for ZYNYZ (retifanlimab-dlwr) for the treatment of adults with metastatic or recurrent locally advanced Merkel cell carcinoma. In May 2025, the FDA approved ZYNYZ with carboplatin and paclitaxel for the first-line treatment of adults with inoperable locally recurrent or metastatic squamous cell carcinoma of the anal canal (SCAC), and as a single agent, for adults with locally recurrent or metastatic SCAC with disease progression on or intolerance to platinum-based chemotherapy. In December 2025, Japan's Ministry of Health, Labour and Welfare approved ZYNYZ as first-line therapy for adults with locally recurrent or metastatic SCAC. In March 2026, Incyte announced that the European Commission approved ZYNYZ in combination with carboplatin and paclitaxel for the first-line treatment of adult patients with metastatic or inoperable locally recurrent SCAC. Furthermore, Incyte has stated it is pursuing development of retifanlimab in potentially registration-enabling studies, including in patients with non-small cell lung cancer. Incyte is also pursuing development of retifanlimab in combination with select product candidates from its pipeline.</w:t>
      </w:r>
    </w:p>
    <w:p>
      <w:pPr>
        <w:spacing w:after="0" w:line="22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Under the terms of the Incyte License Agreement, as amended, Incyte leads global development of retifanlimab. From the inception of the Incyte License Agreement through </w:t>
      </w:r>
      <w:r>
        <w:rPr>
          <w:rFonts w:ascii="Times New Roman" w:cs="Times New Roman" w:eastAsia="Times New Roman" w:hAnsi="Times New Roman"/>
          <w:sz w:val="18"/>
          <w:szCs w:val="18"/>
          <w:color w:val="252525"/>
        </w:rPr>
        <w:t>March 31, 2026</w:t>
      </w:r>
      <w:r>
        <w:rPr>
          <w:rFonts w:ascii="Times New Roman" w:cs="Times New Roman" w:eastAsia="Times New Roman" w:hAnsi="Times New Roman"/>
          <w:sz w:val="18"/>
          <w:szCs w:val="18"/>
          <w:color w:val="auto"/>
        </w:rPr>
        <w:t>, the Company has recognized $215.0 million for certain development and regulatory milestones under the Incyte License Agreement. Assuming successful development and commercialization by Incyte in multiple indications, the Company is eligible to receive up to an additional $210.0 million in development and regulatory milestones and up to $330.0 million in commercial milestones. The Company was also eligible to receive tiered royalties of 15% to 24% on global net sales, but sold this right to Sagard in June 2025 as described more fully 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13" w:name="page14"/>
    <w:bookmarkEnd w:id="13"/>
    <w:p>
      <w:pPr>
        <w:ind w:right="240"/>
        <w:spacing w:after="0" w:line="261" w:lineRule="auto"/>
        <w:rPr>
          <w:sz w:val="20"/>
          <w:szCs w:val="20"/>
          <w:color w:val="auto"/>
        </w:rPr>
      </w:pPr>
      <w:r>
        <w:rPr>
          <w:rFonts w:ascii="Times New Roman" w:cs="Times New Roman" w:eastAsia="Times New Roman" w:hAnsi="Times New Roman"/>
          <w:sz w:val="18"/>
          <w:szCs w:val="18"/>
          <w:color w:val="auto"/>
        </w:rPr>
        <w:t>Note 6. Royalty Monetization Arrangement.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Company evaluated the Incyte License Agreement under the provisions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w:t>
      </w:r>
    </w:p>
    <w:p>
      <w:pPr>
        <w:spacing w:after="0" w:line="29" w:lineRule="exact"/>
        <w:rPr>
          <w:sz w:val="20"/>
          <w:szCs w:val="20"/>
          <w:color w:val="auto"/>
        </w:rPr>
      </w:pPr>
    </w:p>
    <w:p>
      <w:pPr>
        <w:ind w:firstLine="8"/>
        <w:spacing w:after="0" w:line="251" w:lineRule="auto"/>
        <w:tabs>
          <w:tab w:leader="none" w:pos="3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inception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In July 2024, the Company and Incyte executed Amendment No. 4 to the Incyte License Agreement pursuant to which certain development milestones were deemed to have been met. The Company evaluated the amendment as a contract modification under the provisions of ASC 606 which resulted in $100.0 million of revenue being recognized in 2024. From 2018 through </w:t>
      </w:r>
      <w:r>
        <w:rPr>
          <w:rFonts w:ascii="Times New Roman" w:cs="Times New Roman" w:eastAsia="Times New Roman" w:hAnsi="Times New Roman"/>
          <w:sz w:val="18"/>
          <w:szCs w:val="18"/>
          <w:color w:val="252525"/>
        </w:rPr>
        <w:t>March 31, 2026</w:t>
      </w:r>
      <w:r>
        <w:rPr>
          <w:rFonts w:ascii="Times New Roman" w:cs="Times New Roman" w:eastAsia="Times New Roman" w:hAnsi="Times New Roman"/>
          <w:sz w:val="18"/>
          <w:szCs w:val="18"/>
          <w:color w:val="auto"/>
        </w:rPr>
        <w:t xml:space="preserve">, it became probable that a significant reversal of cumulative revenue would not occur for development milestones totaling $215.0 million related to </w:t>
      </w:r>
      <w:r>
        <w:rPr>
          <w:rFonts w:ascii="Times New Roman" w:cs="Times New Roman" w:eastAsia="Times New Roman" w:hAnsi="Times New Roman"/>
          <w:sz w:val="18"/>
          <w:szCs w:val="18"/>
          <w:color w:val="252525"/>
        </w:rPr>
        <w:t>clinical and regulatory activities related to the further advancement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of retifanlimab</w:t>
      </w:r>
      <w:r>
        <w:rPr>
          <w:rFonts w:ascii="Times New Roman" w:cs="Times New Roman" w:eastAsia="Times New Roman" w:hAnsi="Times New Roman"/>
          <w:sz w:val="18"/>
          <w:szCs w:val="18"/>
          <w:color w:val="000000"/>
        </w:rPr>
        <w:t>. Therefore, the associated consideration was added to the estimated transaction price and was recognized as revenue</w:t>
      </w:r>
      <w:r>
        <w:rPr>
          <w:rFonts w:ascii="Times New Roman" w:cs="Times New Roman" w:eastAsia="Times New Roman" w:hAnsi="Times New Roman"/>
          <w:sz w:val="21"/>
          <w:szCs w:val="21"/>
          <w:color w:val="252525"/>
        </w:rPr>
        <w:t>.</w:t>
      </w:r>
    </w:p>
    <w:p>
      <w:pPr>
        <w:spacing w:after="0" w:line="13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the $150.0 million allocated to the license when it satisfied its performance obligation and transferred the license to Incyte in 2017. The $4.0 million allocated to the clinical activities was recognized ratably as services were performed during 2017 and 2018. The Company recognized $6.2 million and $0.4 million in royalty revenue under the Incyte License Agreement during the three months ended March 31, 2026 and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Incyte Commercial Supply Agreement</w:t>
      </w:r>
    </w:p>
    <w:p>
      <w:pPr>
        <w:spacing w:after="0" w:line="17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costs incurred) related to the manufacturing services. Variable consideration relating to the reimbursed materials and other reimbursed costs incurred to manufacture retifanlimab is allocated to the related manufacturing activities and is recognized as revenue as those activities occur. Materials purchased by the Company to manufacture retifanlimab are considered inventory and are capitalized and expensed as the materials are used to provide the manufacturing services. The Company recognized $4.2 million and $0.4 million in revenue under the Incyte Commercial Supply Agreement during the three months ended March 31, 2026 and 2025, respectively, which is reflected in the Contract Manufacturing revenue line on the statement of operations and comprehensive loss.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Sciences, Inc</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2022, the Company and Gilead Sciences, Inc. (Gilead) entered into an exclusive option and collaboration agreement (Gilead Agreement) to develop and commercialize MGD024, an investigational, bispecific antibody that binds CD123 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4" w:name="page15"/>
    <w:bookmarkEnd w:id="14"/>
    <w:p>
      <w:pPr>
        <w:ind w:right="60"/>
        <w:spacing w:after="0" w:line="253" w:lineRule="auto"/>
        <w:rPr>
          <w:sz w:val="20"/>
          <w:szCs w:val="20"/>
          <w:color w:val="auto"/>
        </w:rPr>
      </w:pPr>
      <w:r>
        <w:rPr>
          <w:rFonts w:ascii="Times New Roman" w:cs="Times New Roman" w:eastAsia="Times New Roman" w:hAnsi="Times New Roman"/>
          <w:sz w:val="18"/>
          <w:szCs w:val="18"/>
          <w:color w:val="auto"/>
        </w:rPr>
        <w:t>CD3, and create bispecific cancer antibodies using the Company’s DART and TRIDENT platforms and undertake their early development under a maximum of two separate bispecific cancer target research programs. Under the agreement, the Company will continue the ongoing phase 1 trial for MGD024 according to a development plan, during which Gilead will have the right to exercise an option granted to Gilead to obtain an exclusive license under the Company’s intellectual property to develop and commercialize MGD024 and other bispecific antibodies of MacroGenics that bind CD123 and CD3 (CD123 Option). The agreement also granted Gilead the right, within its first two years, to nominate a bispecific cancer target set for up to two research programs conducted by the Company and to exercise separate options to obtain an exclusive license for the development, commercialization and exploitation of molecules created under each research program (Research Program Option). Gilead nominated the first of the two research programs in September 2023. In January 2024, the parties amended the Gilead Agreement to revise certain matters related to intellectual property in the performance of the research plans under the agreement. On August 30, 2024, the parties amended the agreement by entering into a second letter agreement under which Gilead will pay the Company to conduct certain research and which extended the period for Gilead to select its second research target combination.</w:t>
      </w:r>
    </w:p>
    <w:p>
      <w:pPr>
        <w:spacing w:after="0" w:line="14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Gilead Agreement, as amended, in October 2022 Gilead paid the Company an upfront payment of $60.0 million. Assuming Gilead exercises the CD123 Option and Research Program Option and successfully develops and commercializes MGD024, or other CD123 products developed under the agreement, and products result from the two additional research programs, the Company would be eligible to receive up to a total of $1.7 billion in target nomination, option fees, and development, regulatory and commercial milestones. Assuming exercise of the CD123 Option, the Company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w:t>
      </w:r>
    </w:p>
    <w:p>
      <w:pPr>
        <w:spacing w:after="0" w:line="13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evaluated the Gilead Agreement under the provisions of ASC 606 and identified the following material promises under the agreement: (i) a license to perform any activities allocated to Gilead under the MGD024 development plan; (ii) development activities regarding MGD024, including manufacturing, research and early clinical development activities, necessary to deliver an informational package of development and clinical data, information and materials specified in the Gilead Agreement during the period in which Gilead can exercise the CD123 Option; (iii) the CD123 Option and (iv) the Research Program Option.</w:t>
      </w:r>
    </w:p>
    <w:p>
      <w:pPr>
        <w:spacing w:after="0" w:line="1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concluded that the license under the MGD024 development plan and development activities are not distinct from one another, as the license has limited value without the Company’s performance of the development activities. Therefore, the Company determined that the development term license and development activities should be combined into a single performance obligation (Development Activities). The CD123 Option is considered a material right as the value of the exclusive license exceeds the payment to be made by Gilead if they exercise their option to obtain an exclusive license to develop and commercialize MGD024 or an alternative CD123 product, and is therefore a distinct performance obligation. The Company determined that the Research Program Option does not provide a material right, as there is no discount on its standalone selling price.</w:t>
      </w:r>
    </w:p>
    <w:p>
      <w:pPr>
        <w:spacing w:after="0" w:line="13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606, the Company determined that the initial transaction price under the Gilead Agreement was $60.0 million, consisting of the upfront, non-refundable payment paid by Gilead. The CD123 Option and Research Program Option payments are excluded from the initial transaction price at contract inception along with any future development, regulatory, and commercial milestone payments (including royalties) following the CD123 Option and Research Program Option exercise. The Company reassesses the amount of variable consideration included in the transaction price</w:t>
      </w:r>
    </w:p>
    <w:p>
      <w:pPr>
        <w:spacing w:after="0" w:line="18"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7"/>
          <w:szCs w:val="17"/>
          <w:color w:val="auto"/>
        </w:rPr>
        <w:t>every reporting period. The Company allocated the $60.0 million upfront payment in the transaction price to the Development Activities and the CD123 Option based on each performance obligation’s relative standalone selling price. The standalone selling price for the Development Activities was calculated using an expected cost-plus margin approach for the pre-option development timeline. For the standalone selling price of the CD123 Option, the Company</w:t>
      </w:r>
    </w:p>
    <w:p>
      <w:pPr>
        <w:spacing w:after="0" w:line="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utilized an income-based approach which included the following key assumptions: post-option development timeline and costs, forecasted revenues, discount rates and probabilities of technical and regulatory success.</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recognizing revenue related to the Development Activities performance obligation over the estimated period to complete the Development Activities using an input method reflecting the costs incurred (including resources consumed and labor hours expended) related to the Development Activities. The Company has deferred revenue recognition related to the CD123 Option. If Gilead exercises the CD123 Option and obtains an exclusive license, the Company will recognize revenue as it fulfills its obligations under the Gilead Agreement. If the CD123 Option is not exercised, the Company will recognize the entirety of the revenue in the period when the CD123 Option expires.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$0.3 million in revenue and no revenue under the Gilead Agreement during the three months ended March 31, 2026 and 2025, respectively. As of March 31, 2026, $56.5 million in revenue was deferred under this agreement, all of which was current. As of December 31, 2025, $56.8 million in revenue was deferred under this agreement, $1.3 million of which was current and $55.5 million of which was non-current.</w:t>
      </w:r>
    </w:p>
    <w:p>
      <w:pPr>
        <w:spacing w:after="0" w:line="12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September 2023, the Company and Gilead executed a letter agreement (First Letter Agreement) through which Gilead nominated the first of the two research programs contemplated in the Gilead Agreement (First Research Program), the Company granted Gilead a research license, and the parties agreed on a research plan for the First Research Program under which the Company will provide research and development services. Gilead paid the Company a $15.7 million nomination fee. The Company evaluated the First Letter Agreement under the terms of ASC 606, and concluded that it is a modification to the Gilead Agreement that results in a separate contract since the modification is for additional goods and services that are distinct and at standalone selling price. The Company determined that the license and the related research and development activities were not distinct from one another, as the license has limited value without the performance of the research and development activities. As such, the Company determined that these should be combined into a single performance obligation. Gilead also has the exclusive option to pay the Company $10.0 million to obtain a license to exploit the research molecule and research product with respect to the First Research Program. The Company determined that this exclusive option does not provide a material right, as there is no discount on its standalone selling price.</w:t>
      </w:r>
    </w:p>
    <w:p>
      <w:pPr>
        <w:spacing w:after="0" w:line="14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In accordance with ASC 606, the Company determined that the initial transaction price for the First Research Program agreement was</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$15.7 million, consisting of the non-refundable payment paid by Gilead. The Company is recognizing revenue over the estimated period to complete the services using the input method reflecting the costs incurred (including resources consumed and labor hours expended) related to the research and development services. In June 2024, the Company received variable consideration totaling $3.3 million from Gilead upon achievement of a research plan milestone. The variable consideration was added to the transaction price and allocated to the performance obligation to determine the amount of related revenue to be recognized. A proportional amount was recognized based on the input cost to cost measurement of work completed to date.</w:t>
      </w:r>
    </w:p>
    <w:p>
      <w:pPr>
        <w:spacing w:after="0" w:line="133"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Company completed performing the services and recognizing revenue related to the First Research Program in mid-2025. The Company recorded $5.4 million in revenue related to the First Research Program during the three months ended March 31, 2025</w:t>
      </w:r>
      <w:r>
        <w:rPr>
          <w:rFonts w:ascii="Times New Roman" w:cs="Times New Roman" w:eastAsia="Times New Roman" w:hAnsi="Times New Roman"/>
          <w:sz w:val="18"/>
          <w:szCs w:val="18"/>
          <w:color w:val="252525"/>
        </w:rPr>
        <w:t>.</w:t>
      </w:r>
    </w:p>
    <w:p>
      <w:pPr>
        <w:spacing w:after="0" w:line="12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November 2025, the parties amended the Gilead Agreement by entering into a third letter agreement (Third Letter Agreement) under which Gilead nominated the second of the two research programs contemplated in the Gilead Agreement (Second Research Program) and the Company granted Gilead a research license. Gilead also exercised their exclusive option to obtain a license to exploit the research molecule and research product with respect to the Second Research Program. Gilead paid the Company a total of $25.0 million related to the nomination and option exercise.</w:t>
      </w:r>
    </w:p>
    <w:p>
      <w:pPr>
        <w:spacing w:after="0" w:line="12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evaluated the Third Letter Agreement under the terms of ASC 606, and concluded that it is a modification to the Gilead Agreement that results in a separate contract since the modification is for additional goods and services that are distinct and at standalone selling price. The Company determined that there is one performance obligation under the Third Letter Agreement; to grant the research term license and exploitation license. In accordance with ASC 606, the Company determined that the initial transaction price for the Second Research Program was $25.0 million, consisting of the non-refundable payment made by Gilead. The Company recognized this amount when it satisfied its performance obligation and transferred the license to Gilead during the year ended </w:t>
      </w:r>
      <w:r>
        <w:rPr>
          <w:rFonts w:ascii="Times New Roman" w:cs="Times New Roman" w:eastAsia="Times New Roman" w:hAnsi="Times New Roman"/>
          <w:sz w:val="18"/>
          <w:szCs w:val="18"/>
          <w:color w:val="252525"/>
        </w:rPr>
        <w:t>December 31, 2025. The Company is entitled to future development, regulatory and commercial milestones related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Second Research Program should Gilead successfully develop and commercialize the molecule. </w:t>
      </w:r>
      <w:r>
        <w:rPr>
          <w:rFonts w:ascii="Times New Roman" w:cs="Times New Roman" w:eastAsia="Times New Roman" w:hAnsi="Times New Roman"/>
          <w:sz w:val="18"/>
          <w:szCs w:val="18"/>
          <w:color w:val="000000"/>
        </w:rPr>
        <w:t>These potential development and regulatory milestone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payments are </w:t>
      </w:r>
      <w:r>
        <w:rPr>
          <w:rFonts w:ascii="Times New Roman" w:cs="Times New Roman" w:eastAsia="Times New Roman" w:hAnsi="Times New Roman"/>
          <w:sz w:val="18"/>
          <w:szCs w:val="18"/>
          <w:color w:val="252525"/>
        </w:rPr>
        <w:t>fully constrained until the Company concludes that achievement of the milestone is probable and that recognition of revenue related to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 xml:space="preserve">milestone will not result in a significant reversal in amounts recognized in future periods, </w:t>
      </w:r>
      <w:r>
        <w:rPr>
          <w:rFonts w:ascii="Times New Roman" w:cs="Times New Roman" w:eastAsia="Times New Roman" w:hAnsi="Times New Roman"/>
          <w:sz w:val="18"/>
          <w:szCs w:val="18"/>
          <w:color w:val="000000"/>
        </w:rPr>
        <w:t>and as such have been excluded from the transaction price. Any</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consideration related to sales-based milestones and royalties will be recognized when the related sales occur, as they were determined to relate predominantly to the license granted to Gilead and, therefore, have also been excluded from the transaction price.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S.A.</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2018, the Company entered into an asset purchase agreement with Provention Bio, Inc. (Provention) pursuant to which Provention acquired the Company’s interest in teplizumab, a monoclonal antibody being developed for the treatment of type 1 diabetes (Provention APA). The FDA approved the BLA for TZIELD (teplizumab-mzwv) in November 2022. In March 2023, the Company sold its single-digit royalty interest in TZIELD to a wholly-owned subsidiary of DRI Healthcare Trust (DRI) and received a $100.0 million payment from DRI under a Royalty Purchase Agreement. The Company retained its other economic interests related to TZIELD, including future potential regulatory and commercial milestones, as well as the right to</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6" w:name="page17"/>
    <w:bookmarkEnd w:id="16"/>
    <w:p>
      <w:pPr>
        <w:ind w:right="160"/>
        <w:spacing w:after="0" w:line="282" w:lineRule="auto"/>
        <w:rPr>
          <w:sz w:val="20"/>
          <w:szCs w:val="20"/>
          <w:color w:val="auto"/>
        </w:rPr>
      </w:pPr>
      <w:r>
        <w:rPr>
          <w:rFonts w:ascii="Times New Roman" w:cs="Times New Roman" w:eastAsia="Times New Roman" w:hAnsi="Times New Roman"/>
          <w:sz w:val="18"/>
          <w:szCs w:val="18"/>
          <w:color w:val="auto"/>
        </w:rPr>
        <w:t>receive a 50% share of the royalty on global net sales above a certain annual threshold. In addition, the Company remains eligible to receive an additional $50.0 million if TZIELD achieves a certain level of net sales.</w:t>
      </w:r>
    </w:p>
    <w:p>
      <w:pPr>
        <w:spacing w:after="0" w:line="18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In April 2023, Sanofi S.A. (Sanofi) completed its acquisition of Provention and the Company entered into a tripartite agreement with DRI and Sanofi under which it was released of any obligations under the Royalty Purchase Agreement. In September 2023, the Company and Sanofi executed Amendment No. 2 to the Provention APA and terminated the Royalty Purchase Agreement with DRI. As a result, the remaining $50.0 million sales milestone under the Royalty Purchase Agreement was incorporated into the Provention APA.</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evaluated the Provention APA under the provisions of ASC 606, and determined that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Any consideration related to sales-based milestones will be recognized when the related sales occur. The Company re-assesses the transaction price in each reporting period and when events whose outcomes are resolved or other changes in circumstances occur.</w:t>
      </w:r>
    </w:p>
    <w:p>
      <w:pPr>
        <w:spacing w:after="0" w:line="1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no revenue was recognized under these agreements. As of March 31, 2026, the remaining future potential regulatory and commercial milestones total $329.5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Services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Incyte</w:t>
      </w:r>
    </w:p>
    <w:p>
      <w:pPr>
        <w:spacing w:after="0" w:line="17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January 2022, the Company entered into a Manufacturing and Clinical Supply Agreement with Incyte (2022 Incyte Manufacturing and Clinical Supply Agreement) to provide manufacturing services to produce certain Incyte bulk drug substance over a three-year period. Under the terms of the 2022 Incyte Manufacturing and Clinical Supply Agreement, the Company received an upfront payment of $10.0 million and was eligible to receive annual fixed payments paid quarterly over the term of the contract totaling $14.4 million. The Company was also reimbursed for materials used to manufacture product as well as other costs incurred to provide manufacturing services. In July 2022, the Company and Incyte executed an amendment to the 2022 Incyte Manufacturing and Clinical Supply Agreement which extended the term for one year and provided for an additional annual fixed payment of $5.1 million (July 2022 Incyte Amendment). In December 2024 and March 2025, the Company and Incyte entered into letter agreements whereby Incyte reserved additional manufacturing services during 2025 with a total fixed cost of $13.5 million (Incyte Letter Agreements).</w:t>
      </w:r>
    </w:p>
    <w:p>
      <w:pPr>
        <w:spacing w:after="0" w:line="8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evaluated the 2022 Incyte Manufacturing and Clinical Supply Agreement, the July 2022 Incyte Amendment and the Incyte Letter Agreements under the provisions of ASC 606 and identified one performance obligation to provide manufacturing runs to Incyte, as and when requested by Incyte, over the term of the contract that is part of a series of goods and services. The Company determined that the transaction price consists of the upfront payment of $10.0 million, the annual fixed payments and the payments per batch under the Incyte Letter Agreements totaling $41.7 million. The Company is recognizing revenue over time on a straight-line basis as the manufacturing services are provided to Incyte, as the Company determined that its efforts in providing the manufacturing services are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is allocated to the related manufacturing activities and is recognized as revenue as those activities occur. Materials purchased by the Company to manufacture the product for Incyte are considered inventory and are capitalized and expensed as the materials are used to provide the manufacturing services.</w:t>
      </w:r>
    </w:p>
    <w:p>
      <w:pPr>
        <w:spacing w:after="0" w:line="8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2022 Incyte Manufacturing and Clinical Supply Agreement expired on December 31, 2025. During the three months ended March 31, 2025, the Company recognized revenue of $5.0 million under the 2022 Incyte Manufacturing and Clinical Supply Agreement.</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2025, the Company entered into a new Manufacturing and Clinical Supply Agreement with Incyte (2025 Incyte Manufacturing and Clinical Supply Agreement) to provide manufacturing services to produce certain Incyte bulk drug substance over a three-year period beginning in January 2026. Based on the current manufacturing schedule contemplated in the 2025 Incyte Manufacturing and Clinical Supply Agreement, Incyte will pay a total fixed cost of $16.8 million over the term of the agreement. The Company will also be reimbursed for materials used to manufacture product as well as other costs incurred to provide manufacturing services.</w:t>
      </w:r>
    </w:p>
    <w:p>
      <w:pPr>
        <w:spacing w:after="0" w:line="1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evaluated the 2025 Incyte Manufacturing and Clinical Supply Agreement under the provisions of ASC 606 and identified one performance obligation to provide manufacturing runs to Incyte, as and when requested by Incyte, over the term of the contract that is part of a series of goods and services.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will recognize revenue over time on a straight-line basis as the manufacturing services are provided to Incyte, as the Company determined that its efforts in providing the manufacturing services are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is allocated to the related manufacturing activities and is recognized as revenue as those activities occur. Materials purchased by the Company to manufacture the product for Incyte are considered inventory and are capitalized and expensed as the materials are used to provide the manufacturing services.</w:t>
      </w:r>
    </w:p>
    <w:p>
      <w:pPr>
        <w:spacing w:after="0" w:line="13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revenue of $3.9 million under the 2025 Incyte Manufacturing and Clinical Supply Agreement. As of March 31, 2026 and December 31, 2025, $1.6 million and $1.5 million in revenue was deferred under this agreement, respectively, all of which was current.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Emergent Biosolutions</w:t>
      </w:r>
    </w:p>
    <w:p>
      <w:pPr>
        <w:spacing w:after="0" w:line="24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2024 and 2025, the Company entered into agreements with Emergent BioSolutions (Emergent) to provide manufacturing services to produce certain Emergent bulk drug substance (Emergent Agreement). Under the terms of the agreement, the Company receives payments in accordance with the manufacturing schedule and are reimbursed for materials used to manufacture product, as well as other costs incurred to provide development and manufacturing services. The Company evaluated the Emergent Agreement under the provisions of ASC 606 and identified one performance obligation to manufacture bulk drug substances over the term of the contract that is part of a series of goods and services. The Company determined that the transaction price consisted of $13.5 million of fixed consideration. The Company is recognizing revenue over time on a straight-line basis as the manufacturing is provided to Emergent,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Emergent is allocated to the related manufacturing activities and is recognized as revenue as those activities occur. During the three months ended March 31, 2026 and 2025, the Company recognized revenue of $5.6 million and $1.2 million, respectively, under the Emergent Agreement. As of March 31, 2026, $5.3 million in revenue was deferred under this agreement, all of which was current. As of December 31, 2025, $5.6 million in revenue was deferred under this agreement, all of which was current.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May 2017, the Company’s stockholders approved the 2016 Employee Stock Purchase Plan (the 2016 ESPP). The 2016 ESPP is structured as a qualified employee stock purchase plan under Section 423 of the Internal Revenue Code of 1986, as amended,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w:t>
      </w:r>
    </w:p>
    <w:p>
      <w:pPr>
        <w:spacing w:after="0" w:line="12" w:lineRule="exact"/>
        <w:rPr>
          <w:sz w:val="20"/>
          <w:szCs w:val="20"/>
          <w:color w:val="auto"/>
        </w:rPr>
      </w:pPr>
    </w:p>
    <w:p>
      <w:pPr>
        <w:ind w:right="600"/>
        <w:spacing w:after="0" w:line="446" w:lineRule="auto"/>
        <w:rPr>
          <w:sz w:val="20"/>
          <w:szCs w:val="20"/>
          <w:color w:val="auto"/>
        </w:rPr>
      </w:pPr>
      <w:r>
        <w:rPr>
          <w:rFonts w:ascii="Times New Roman" w:cs="Times New Roman" w:eastAsia="Times New Roman" w:hAnsi="Times New Roman"/>
          <w:sz w:val="18"/>
          <w:szCs w:val="18"/>
          <w:color w:val="auto"/>
        </w:rPr>
        <w:t xml:space="preserve">of the offering period. During the three months ended March 31, 2026 and 2025, no shares of common stock were purchased under the 2016 ESPP. </w:t>
      </w:r>
      <w:r>
        <w:rPr>
          <w:rFonts w:ascii="Times New Roman" w:cs="Times New Roman" w:eastAsia="Times New Roman" w:hAnsi="Times New Roman"/>
          <w:sz w:val="18"/>
          <w:szCs w:val="18"/>
          <w:b w:val="1"/>
          <w:bCs w:val="1"/>
          <w:i w:val="1"/>
          <w:iCs w:val="1"/>
          <w:color w:val="auto"/>
        </w:rPr>
        <w:t>Employee Stock Incentive Plans</w:t>
      </w: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In October 2013, the Company implemented the 2013 Equity Incentive Plan (2013 Plan). In May 2023, the 2013 Plan was terminated, and no further awards may be issued under the plan. If an option granted under the 2013 Plan expires or terminates for any reason without having been fully exercised, if any shares of restricted stock are forfeited, or if any award terminates, expires or is settled without all or a portion of the shares of common stock covered by the award being issued, such shares will become available for issuance under the 2023 Equity Incentive Plan (2023 Plan).</w:t>
      </w:r>
    </w:p>
    <w:p>
      <w:pPr>
        <w:spacing w:after="0" w:line="12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2023 Plan was effective as of stockholder approval in May 2023. The 2023 Plan provides for grants of stock options and other stock-based awards, as well as cash-based performance awards. The 2023 Plan originally authorized the issuance of up to an aggregate of 4,850,000 shares of common stock. In May 2024 and May 2025, the board and stockholders of the Company approved amendments to the 2023 Plan to increase the number of shares of common stock available to a total of 8,100,000 shares.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are withheld (or delivered) to pay withholding taxes or to pay the exercise price of an option are not available for the grant of additional awards.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stock-based compensation expense was recognized for the periods indicated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20" w:type="dxa"/>
            <w:vAlign w:val="bottom"/>
            <w:tcBorders>
              <w:bottom w:val="single" w:sz="8" w:color="auto"/>
            </w:tcBorders>
          </w:tcPr>
          <w:p>
            <w:pPr>
              <w:spacing w:after="0"/>
              <w:rPr>
                <w:sz w:val="20"/>
                <w:szCs w:val="20"/>
                <w:color w:val="auto"/>
              </w:rPr>
            </w:pPr>
          </w:p>
        </w:tc>
      </w:tr>
      <w:tr>
        <w:trPr>
          <w:trHeight w:val="223"/>
        </w:trPr>
        <w:tc>
          <w:tcPr>
            <w:tcW w:w="76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175"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32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- 114.0%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- 115.6%</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w:t>
            </w: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6.22 years</w:t>
            </w:r>
          </w:p>
        </w:tc>
        <w:tc>
          <w:tcPr>
            <w:tcW w:w="24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6.11 years</w:t>
            </w: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2026: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vMerge w:val="restart"/>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ind w:lef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92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1380" w:type="dxa"/>
            <w:vAlign w:val="bottom"/>
          </w:tcPr>
          <w:p>
            <w:pPr>
              <w:jc w:val="center"/>
              <w:ind w:left="4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14,106,148</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2,761,410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(133,294)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(769,667)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15,960,366</w:t>
            </w:r>
          </w:p>
        </w:tc>
        <w:tc>
          <w:tcPr>
            <w:tcW w:w="150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As of March 31, 2026:</w:t>
            </w: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9,922,570</w:t>
            </w:r>
          </w:p>
        </w:tc>
        <w:tc>
          <w:tcPr>
            <w:tcW w:w="150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15,373,381</w:t>
            </w:r>
          </w:p>
        </w:tc>
        <w:tc>
          <w:tcPr>
            <w:tcW w:w="150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320" w:firstLine="648"/>
        <w:spacing w:after="0" w:line="264" w:lineRule="auto"/>
        <w:rPr>
          <w:sz w:val="20"/>
          <w:szCs w:val="20"/>
          <w:color w:val="auto"/>
        </w:rPr>
      </w:pPr>
      <w:r>
        <w:rPr>
          <w:rFonts w:ascii="Times New Roman" w:cs="Times New Roman" w:eastAsia="Times New Roman" w:hAnsi="Times New Roman"/>
          <w:sz w:val="18"/>
          <w:szCs w:val="18"/>
          <w:color w:val="auto"/>
        </w:rPr>
        <w:t>As of March 31, 2026, the total unrecognized compensation expense related to unvested stock options, net of related forfeiture estimates, was approximately $13.5 million, which the Company expects to recognize over a weighted-average period of approximately 1.4 years. The following table summarizes additional information on stock options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of stock options granted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392"/>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intrinsic value of stock options exercised</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received for stock options exercised</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4"/>
                <w:szCs w:val="24"/>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762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1"/>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grant date fair value of stock options vested</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Pr>
          <w:p>
            <w:pPr>
              <w:spacing w:after="0"/>
              <w:rPr>
                <w:sz w:val="24"/>
                <w:szCs w:val="24"/>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right="320" w:firstLine="648"/>
        <w:spacing w:after="0" w:line="285" w:lineRule="auto"/>
        <w:rPr>
          <w:sz w:val="20"/>
          <w:szCs w:val="20"/>
          <w:color w:val="auto"/>
        </w:rPr>
      </w:pPr>
      <w:r>
        <w:rPr>
          <w:rFonts w:ascii="Times New Roman" w:cs="Times New Roman" w:eastAsia="Times New Roman" w:hAnsi="Times New Roman"/>
          <w:sz w:val="18"/>
          <w:szCs w:val="18"/>
          <w:color w:val="auto"/>
        </w:rPr>
        <w:t>Restricted stock units (RSUs) are valued based on the closing price of the Company’s common stock on the date of the grant. The fair value of RSUs is recognized and amortized on a straight-line basis over the requisite service period of the award</w:t>
      </w:r>
      <w:r>
        <w:rPr>
          <w:rFonts w:ascii="Arial" w:cs="Arial" w:eastAsia="Arial" w:hAnsi="Arial"/>
          <w:sz w:val="18"/>
          <w:szCs w:val="18"/>
          <w:color w:val="252525"/>
        </w:rPr>
        <w:t>.</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RSU activity during the three months ended March 31, 2026:</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180" w:type="dxa"/>
            <w:vAlign w:val="bottom"/>
          </w:tcPr>
          <w:p>
            <w:pPr>
              <w:spacing w:after="0"/>
              <w:rPr>
                <w:sz w:val="24"/>
                <w:szCs w:val="24"/>
                <w:color w:val="auto"/>
              </w:rPr>
            </w:pPr>
          </w:p>
        </w:tc>
        <w:tc>
          <w:tcPr>
            <w:tcW w:w="16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745,796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30"/>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623,310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29"/>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6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980,613</w:t>
            </w:r>
          </w:p>
        </w:tc>
        <w:tc>
          <w:tcPr>
            <w:tcW w:w="40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At March 31, 2026, there was $3.0 million of total unrecognized compensation cost related to unvested RSUs, which the Company expects to recognize over a remaining weighted-average period of approximately 1.2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In-licensing Arrangement</w:t>
      </w:r>
    </w:p>
    <w:p>
      <w:pPr>
        <w:spacing w:after="0" w:line="175" w:lineRule="exact"/>
        <w:rPr>
          <w:sz w:val="20"/>
          <w:szCs w:val="20"/>
          <w:color w:val="auto"/>
        </w:rPr>
      </w:pPr>
    </w:p>
    <w:p>
      <w:pPr>
        <w:ind w:right="20" w:firstLine="648"/>
        <w:spacing w:after="0" w:line="218" w:lineRule="exact"/>
        <w:rPr>
          <w:sz w:val="20"/>
          <w:szCs w:val="20"/>
          <w:color w:val="auto"/>
        </w:rPr>
      </w:pPr>
      <w:r>
        <w:rPr>
          <w:rFonts w:ascii="Times New Roman" w:cs="Times New Roman" w:eastAsia="Times New Roman" w:hAnsi="Times New Roman"/>
          <w:sz w:val="18"/>
          <w:szCs w:val="18"/>
          <w:color w:val="auto"/>
        </w:rPr>
        <w:t>In January 2022, the Company entered into a non-exclusive license agreement with Synaffix B.V., a Lonza company, (Synaffix) to develop, manufacture and commercialize up to three antibody-drug conjugate targets using Synaffix’s proprietary technology. The Company made an upfront payment to Synaffix upon contract execution. In March 2023, the Company and Synaffix amended the agreement, adding four additional targets. Assuming all seven targets are successfully developed and commercialized, the Company would be obligated to pay up to $2.8 billion for development, regulatory and sales milestones. Finally, pursuant to the terms of this license agreement, as amended, upon commencement of commercial sales of any products developed from these targets, the Company would be required to pay Synaffix tiered royalties in the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single digit percentages on net sales of the respective products. The Company may terminate this agreement at any time with 30 days’ notice to Synaffix. Amounts paid to Synaffix under this agreement are recorded as research and development expense in the consolidated statement of operations and comprehensive loss. During the three months ended March 31, 2026 and 2025, the Company recorded expense of $0.3 million and $1.3 million, respectively, under this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w:t>
      </w:r>
    </w:p>
    <w:p>
      <w:pPr>
        <w:spacing w:after="0" w:line="17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has certain contractual commitments under manufacturing-related supplier arrangements as of March 31, 2026 totaling $7.4 million that expire through January 2027.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75" w:lineRule="exact"/>
        <w:rPr>
          <w:sz w:val="20"/>
          <w:szCs w:val="20"/>
          <w:color w:val="auto"/>
        </w:rPr>
      </w:pPr>
    </w:p>
    <w:p>
      <w:pPr>
        <w:ind w:right="100" w:firstLine="648"/>
        <w:spacing w:after="0" w:line="264" w:lineRule="auto"/>
        <w:rPr>
          <w:sz w:val="20"/>
          <w:szCs w:val="20"/>
          <w:color w:val="auto"/>
        </w:rPr>
      </w:pPr>
      <w:r>
        <w:rPr>
          <w:rFonts w:ascii="Times New Roman" w:cs="Times New Roman" w:eastAsia="Times New Roman" w:hAnsi="Times New Roman"/>
          <w:sz w:val="18"/>
          <w:szCs w:val="18"/>
          <w:color w:val="auto"/>
        </w:rPr>
        <w:t>Basic and diluted loss per common share is computed by dividing net loss by the weighted average number of common shares outstanding during the period. All stock options and RSUs are excluded from the per share calculations as such securities were anti-dilutive for all periods presented. The following table presents the number of stock options and RSUs that were excluded from the calculation of net loss per share:</w:t>
      </w:r>
    </w:p>
    <w:p>
      <w:pPr>
        <w:spacing w:after="0" w:line="1"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080" w:type="dxa"/>
            <w:vAlign w:val="bottom"/>
            <w:tcBorders>
              <w:bottom w:val="single" w:sz="8" w:color="CCEEFF"/>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RSUs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16,940,979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15,423,656</w:t>
            </w: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1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identifies its reportable segments based on information reviewed by the Company’s Chief Operating Decision Maker (CODM). The Company operates as one operating and reportable segment, which is developing innovative antibody-based therapeutics for the treatment of cancer. The Company has determined its reportable operating segment based on the management approach, which considers the internal organization and reporting used by the Company’s CODM to make decisions about allocating resources and assessing the Company’s performance. The determination of a single business segment is consistent with the consolidated financial information regularly reviewed by the CODM for purposes of assessing performance and allocating resources.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CODM uses consolidated net loss, consistent with the amounts reported in the Company’s consolidated statements of operations to evaluate performance, forecast future period financial results and allocate resources. Please refer to the consolidated balance sheets and the accompanying notes to the consolidated financial statements for segment asset information.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significant expenses regularly reviewed by the CODM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8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manufacturing services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Lorigerlimab</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8,877</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MGC026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MGC028</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Next-generation T-cell engagers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MGC030</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MGD024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Vobramitamab duocarmazine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Preclinical antibody-drug conjugates (ADCs)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29"/>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programs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income (loss), net (b)</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(41,036)</w:t>
            </w:r>
          </w:p>
        </w:tc>
      </w:tr>
      <w:tr>
        <w:trPr>
          <w:trHeight w:val="21"/>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includes collaborative and other agreements, contract manufacturing, and royalty revenue.</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income (loss), net includes interest and other income and interest and other expense.</w:t>
      </w:r>
    </w:p>
    <w:p>
      <w:pPr>
        <w:spacing w:after="0" w:line="220"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Company operates in the United States and all material long-lived assets of the Company reside in the United States. For information about the Company’s revenues, see Note 7.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Sagard Royalty Purchase Agreement Amendment</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May 1, 2026, the Company and Sagard entered into an amendment to the Royalty Purchase Agreement described in Note 6, Royalty Monetization Arrangement, pursuant to which the Company received a non-refundable cash payment of $60.0 million, bringing the aggregate purchase price under the Royalty Purchase Agreement to $130.0 million (Aggregate Purchase Price). In exchange, the parties revised the capped royalty interest payable to Sagard on future global net sales of ZYNYZ, such that all royalty rights under the Incyte License Agreement will revert back to the Company once Sagard has received aggregate royalty payments of either 1.70x of the Aggregate Purchase Price by September 30, 2032, or 2.0x of the Aggregate Purchase Price at any time thereafter. In addition, pursuant to the amendment, the Company is eligible to receive an additional one-time milestone payment of up to $20.0 million, contingent upon ZYNYZ achieving specified calendar year 2026 net sales thresholds under the Incyte License Agreement. Any such milestone payment received by the Company will be added to the Aggregate Purchase Price for purposes of calculating the royalty payment cap.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w:t>
      </w:r>
    </w:p>
    <w:p>
      <w:pPr>
        <w:spacing w:after="0" w:line="121"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On May 11, 2026, the Company entered into an Asset Purchase Agreement (Purchase Agreement) with Bora Pharmaceuticals Co., Ltd and Bora Biologics USA LLC (collectively, Bora) pursuant to which the Company agreed to sell to Bora assets and liabilities related to its CDMO Operations (the Transaction).</w:t>
      </w:r>
    </w:p>
    <w:p>
      <w:pPr>
        <w:spacing w:after="0" w:line="6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 following the satisfaction or waiver of all closing conditions, Bora will pay the Company $122.5 million in cash at closing for the CDMO Operations, subject to customary adjustments, including for working capital and indebtedness. Additionally, the Purchase Agreement provides for up to $5.0 million of potential additional post-closing cash payments to the Company upon achievement of certain manufacturing milestones by the CDMO Operations and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professional development program services to be performed by the CDMO Operations in 2027 and 2028. All of the Company’s current contracts to provide manufacturing services to external customers will transfer to Bora upon closing.</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at the closing of the Transaction it is contemplated that the Company will enter into certain customary ancillary agreements, including</w:t>
      </w:r>
    </w:p>
    <w:p>
      <w:pPr>
        <w:spacing w:after="0" w:line="27" w:lineRule="exact"/>
        <w:rPr>
          <w:sz w:val="20"/>
          <w:szCs w:val="20"/>
          <w:color w:val="auto"/>
        </w:rPr>
      </w:pPr>
    </w:p>
    <w:p>
      <w:pPr>
        <w:ind w:right="40" w:firstLine="8"/>
        <w:spacing w:after="0" w:line="253"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manufacturing and supply agreement, pursuant to which Bora will be required to provide certain clinical manufacturing and supply services to the Company, (ii) a transition services agreement, pursuant to which Bora and the Company will provide certain customary transition services to each other for a stated period following the closing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(iii) a sublease agreement, pursuant to which a portion of the Company's facility located at 9704 Medical Center Drive, Rockville, Maryland will be subleased by Bora to the Company for a period of time. The closing of the Transaction is subject to customary closing conditions. The Transaction is expected to close in the third quarter of 2026.</w:t>
      </w:r>
    </w:p>
    <w:p>
      <w:pPr>
        <w:spacing w:after="0" w:line="6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assets and liabilities of the CDMO Operations have not been classified as held for sale in the accompanying March 31, 2026 balance sheet, as not all criteria under ASC 360-10-45-9 were met as of that date. Management is evaluating whether the disposal qualifies for discontinued operations presentation under ASC 205-20; that determination will be reflected in the Company's Form 10-Q for the quarter ended June 30, 2026.</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2" w:name="page23"/>
    <w:bookmarkEnd w:id="22"/>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220" w:firstLine="81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fiscal year ended December 31,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innovative antibody-based therapeutics for the treatment of cancer. We generate our pipeline of product candidates from our proprietary suite of antibody technology platforms. We are currently developing therapeutics utilizing multiple modalities, including antibody-drug conjugates (ADCs) and multi-specific antibodies (which we refer to as DART and TRIDENT molecules). The combination of our technology platforms and antibody engineering expertise has allowed us to generate promising product candidates – three of which have received marketing approval by the U.S. Food and Drug Administration (FDA) – and to enter into several strategic collaborations with global biopharmaceutical companies. These collaborations have provided us with over $1.6 billion of non-dilutive funding since our inception in 2000, and have enabled us to leverage the additional expertise of our collaborators to advance the development of multiple partnered product candidates. In addition, we operate a commercial-scale cGMP antibody manufacturing facility in our Maryland headquarters. We have utilized the facility to support our clinical programs and we also provide outsourced contract development and manufacturing services to our collaborators and other third parties for commercial and clinical products to offset a significant portion of the operating costs of this facility. See Note 12, Subsequent Events, of the Notes to the Consolidated Financial Statements for additional information regarding the sale of the assets and liabilities related to our manufacturing operations.</w:t>
      </w:r>
    </w:p>
    <w:p>
      <w:pPr>
        <w:spacing w:after="0" w:line="21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currently have three proprietary product candidates in clinical development: lorigerlimab, a bispecific DART molecule that targets checkpoint inhibitors PD-1 and CTLA-4; MGC026, an ADC that targets B7-H3 and delivers a novel topoisomerase I inhibitor (TOP1i)-based linker-payload, and MGC028, an ADC that targets ADAM9 and delivers a novel TOP1i-based linker-payload. We are also actively developing preclinical-stage ADC and next generation T-cell engager programs.</w:t>
      </w:r>
    </w:p>
    <w:p>
      <w:pPr>
        <w:spacing w:after="0" w:line="207"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We and our partners are developing or commercializing product candidates for which we retain certain economic rights. These include three products approved by the FDA: ZYNYZ (retifanlimab-dlwr), an anti-PD-1 monoclonal antibody (mAb) that we out-licensed; MARGENZA (margetuximab-cmkb), an anti-HER2 mAb that we sold to a partner; and TZIELD (teplizumab-mzwv), an anti-CD3 mAb that we sold to a partner. We are also collaborating with Gilead Sciences, Inc. (Gilead) on the development of MGD024, a bispecific DART molecule targeting CD123 and CD3 that utilizes our next-generation T-cell engager technology, as well as two additional undisclosed pre-clinical DART and TRIDENT molecule development programs</w:t>
      </w:r>
    </w:p>
    <w:p>
      <w:pPr>
        <w:spacing w:after="0" w:line="19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operations to date have concentrated on developing our technology platforms, identifying potential product candidates, undertaking preclinical studies, conducting clinical trials, developing collaborations, operating manufacturing facilities, business planning and raising capital. We began generating revenues from the sale of products in 2021. We have financed our operations primarily through the public and private offerings of our securities, and collaborations with other biopharmaceutical companies. Although it is difficult to predict our funding requirements, we anticipate that our cash, cash equivalents and marketable securities as of March 31, 2026, combined with the $60.0 million received from Sagard in May 2026, and the anticipated $122.5 million proceeds (before transaction fees and expenses and subject to customary adjustments), expected upon closing, from the sale of our manufacturing operations to Bora Pharmaceuticals Co., Ltd. and Bora Biologics USA, LLC (collectively, Bora), as well as projected and anticipated future payments from our partners and anticipated savings from our ongoing cost-reduction initiatives, supports our cash runway through 2028. We have implemented, and will continue to evaluate and execute, various cost-saving measures that are intended to extend our financial runway while continuing to progress our pipeline.</w:t>
      </w:r>
    </w:p>
    <w:p>
      <w:pPr>
        <w:spacing w:after="0" w:line="14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Through March 31, 2026, we had an accumulated deficit of $1.3 billion. We expect that over the next several years this deficit will increase as we continue to incur research and development expense in connection with our ongoing activities and several clinical trials.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23" w:name="page24"/>
    <w:bookmarkEnd w:id="23"/>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global economy, credit markets and financial markets have and may continue to experience significant volatility as a result of significant worldwide events, including, fluctuating interest rates, geopolitical upheaval and tariffs or other restrictions imposed by the United States government or governments of other nations (collectively, the Macroeconomic Conditions). These Macroeconomic Conditions have and may continue to create supply chain disruptions, inventory disruptions, and fluctuations in economic growth, including fluctuations in employment rates, inflation, energy prices and consumer sentiment. It remains difficult to assess or predict the ultimate duration and economic impact of the Macroeconomic Conditions. Prolonged uncertainty with respect to Macroeconomic Conditions could cause further economic slowdown or cause other unpredictable events, each of which could adversely affect our business, results of operations or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7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137" w:lineRule="exact"/>
        <w:rPr>
          <w:sz w:val="20"/>
          <w:szCs w:val="20"/>
          <w:color w:val="auto"/>
        </w:rPr>
      </w:pPr>
    </w:p>
    <w:p>
      <w:pPr>
        <w:ind w:left="980" w:right="120" w:hanging="324"/>
        <w:spacing w:after="0" w:line="267" w:lineRule="auto"/>
        <w:tabs>
          <w:tab w:leader="none" w:pos="941" w:val="left"/>
        </w:tabs>
        <w:numPr>
          <w:ilvl w:val="0"/>
          <w:numId w:val="10"/>
        </w:numPr>
        <w:rPr>
          <w:rFonts w:ascii="Arial" w:cs="Arial" w:eastAsia="Arial" w:hAnsi="Arial"/>
          <w:sz w:val="19"/>
          <w:szCs w:val="19"/>
          <w:b w:val="1"/>
          <w:bCs w:val="1"/>
          <w:i w:val="1"/>
          <w:iCs w:val="1"/>
          <w:color w:val="252525"/>
        </w:rPr>
      </w:pPr>
      <w:r>
        <w:rPr>
          <w:rFonts w:ascii="Times New Roman" w:cs="Times New Roman" w:eastAsia="Times New Roman" w:hAnsi="Times New Roman"/>
          <w:sz w:val="17"/>
          <w:szCs w:val="17"/>
          <w:i w:val="1"/>
          <w:iCs w:val="1"/>
          <w:color w:val="auto"/>
        </w:rPr>
        <w:t xml:space="preserve">Incyte Corporation (Incyte). </w:t>
      </w:r>
      <w:r>
        <w:rPr>
          <w:rFonts w:ascii="Times New Roman" w:cs="Times New Roman" w:eastAsia="Times New Roman" w:hAnsi="Times New Roman"/>
          <w:sz w:val="17"/>
          <w:szCs w:val="17"/>
          <w:color w:val="auto"/>
        </w:rPr>
        <w:t>We have an exclusive global collaboration and license agreement with Incyte for retifanlimab, an investigational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monoclonal antibody that inhibits PD-1 (Incyte License Agreement). Under this agreement, as amended, Incyte has obtained exclusive worldwide rights for the development and commercialization of retifanlimab in all indications, while we retain the right to develop our pipeline assets in combination with retifanlimab. We received an upfront payment of $150.0 million and milestone payments totaling $215.0</w:t>
      </w:r>
    </w:p>
    <w:p>
      <w:pPr>
        <w:spacing w:after="0" w:line="2" w:lineRule="exact"/>
        <w:rPr>
          <w:sz w:val="20"/>
          <w:szCs w:val="20"/>
          <w:color w:val="auto"/>
        </w:rPr>
      </w:pPr>
    </w:p>
    <w:p>
      <w:pPr>
        <w:ind w:left="980" w:right="40"/>
        <w:spacing w:after="0" w:line="252" w:lineRule="auto"/>
        <w:rPr>
          <w:sz w:val="20"/>
          <w:szCs w:val="20"/>
          <w:color w:val="auto"/>
        </w:rPr>
      </w:pPr>
      <w:r>
        <w:rPr>
          <w:rFonts w:ascii="Times New Roman" w:cs="Times New Roman" w:eastAsia="Times New Roman" w:hAnsi="Times New Roman"/>
          <w:sz w:val="18"/>
          <w:szCs w:val="18"/>
          <w:color w:val="auto"/>
        </w:rPr>
        <w:t>million from Incyte through March 31, 2026, including $100.0 million received in August 2024</w:t>
      </w:r>
      <w:r>
        <w:rPr>
          <w:rFonts w:ascii="Arial" w:cs="Arial" w:eastAsia="Arial" w:hAnsi="Arial"/>
          <w:sz w:val="21"/>
          <w:szCs w:val="21"/>
          <w:color w:val="008080"/>
        </w:rPr>
        <w:t>.</w:t>
      </w:r>
      <w:r>
        <w:rPr>
          <w:rFonts w:ascii="Times New Roman" w:cs="Times New Roman" w:eastAsia="Times New Roman" w:hAnsi="Times New Roman"/>
          <w:sz w:val="18"/>
          <w:szCs w:val="18"/>
          <w:color w:val="auto"/>
        </w:rPr>
        <w:t xml:space="preserve"> We are eligible to receive up to an additional $210.0 million in development and regulatory milestones and $330.0 million in commercial milestones. We receive tiered royalties of 15% to 24% on any global net sales, other than with respect to ZYNYZ (see Note 6. Royalty Monetization Arrangement for further information),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performed development and manufacturing services for Incyte's clinical needs of retifanlimab and another agreement under which we are entitled to manufacture a portion of Incyte’s global commercial supply of retifanlimab (Incyte Commercial Supply Agreement).</w:t>
      </w:r>
    </w:p>
    <w:p>
      <w:pPr>
        <w:spacing w:after="0" w:line="148" w:lineRule="exact"/>
        <w:rPr>
          <w:sz w:val="20"/>
          <w:szCs w:val="20"/>
          <w:color w:val="auto"/>
        </w:rPr>
      </w:pPr>
    </w:p>
    <w:p>
      <w:pPr>
        <w:ind w:left="980" w:hanging="324"/>
        <w:spacing w:after="0" w:line="250" w:lineRule="auto"/>
        <w:tabs>
          <w:tab w:leader="none" w:pos="941" w:val="left"/>
        </w:tabs>
        <w:numPr>
          <w:ilvl w:val="0"/>
          <w:numId w:val="11"/>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Gilead</w:t>
      </w:r>
      <w:r>
        <w:rPr>
          <w:rFonts w:ascii="Times New Roman" w:cs="Times New Roman" w:eastAsia="Times New Roman" w:hAnsi="Times New Roman"/>
          <w:sz w:val="18"/>
          <w:szCs w:val="18"/>
          <w:color w:val="auto"/>
        </w:rPr>
        <w:t>. In October 2022, we and Gilead entered into an exclusive option and collaboration agreement (Gilead Agreement) to develop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MGD024 and create bispecific cancer antibodies using our DART platform and undertake their early development under a maximum of two separate bispecific cancer target research programs. Under the Gilead Agreement, we will continue the ongoing phase 1 trial for MGD024 according to a development plan, during which Gilead will have the right to exercise an option granted to Gilead to obtain an exclusive license to develop and commercialize MGD024 and other bispecific antibodies of ours that bind CD123 and CD3 (CD123 Option). The agreement also granted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 $60.0 million and we will be eligible to receive up to $1.7 billion in target nomination, option fees, and development, regulatory and commercial milestones, assuming Gilead exercises the CD123 Option and Research Program Option, successfully develops and commercializes MGD024 or other CD123 products developed under the agreement, and products result from the two additional research programs. Assuming exercise of the CD123 Option, we will also be eligible to receive tiered, low double-digit royalties on worldwide net sales of MGD024 (or other CD123 products developed under the agreement) and assuming exercise of the</w:t>
      </w:r>
    </w:p>
    <w:p>
      <w:pPr>
        <w:spacing w:after="0" w:line="23" w:lineRule="exact"/>
        <w:rPr>
          <w:rFonts w:ascii="Arial" w:cs="Arial" w:eastAsia="Arial" w:hAnsi="Arial"/>
          <w:sz w:val="20"/>
          <w:szCs w:val="20"/>
          <w:color w:val="auto"/>
        </w:rPr>
      </w:pPr>
    </w:p>
    <w:p>
      <w:pPr>
        <w:ind w:left="980" w:right="60"/>
        <w:spacing w:after="0" w:line="259" w:lineRule="auto"/>
        <w:rPr>
          <w:rFonts w:ascii="Arial" w:cs="Arial" w:eastAsia="Arial" w:hAnsi="Arial"/>
          <w:sz w:val="20"/>
          <w:szCs w:val="20"/>
          <w:color w:val="auto"/>
        </w:rPr>
      </w:pPr>
      <w:r>
        <w:rPr>
          <w:rFonts w:ascii="Times New Roman" w:cs="Times New Roman" w:eastAsia="Times New Roman" w:hAnsi="Times New Roman"/>
          <w:sz w:val="18"/>
          <w:szCs w:val="18"/>
          <w:color w:val="auto"/>
        </w:rPr>
        <w:t>Research Program Option, a flat royalty on worldwide net sales of any products resulting from the two research programs. In 2023, Gilead nominated the first of the two research programs contemplated in the Gilead Agreement (First Research Program) and paid us a $15.7 million nomination fee. We granted Gilead a research license, and the parties agreed on a research plan for the First Research Program under which we will provide research and development services. In January 2024, the parties amended the Gilead Agreement to revise certain matters related to intellectual property in the performance of the research plans under the agreement. In June 2024, Gilead paid us variable consideration totaling $3.3 million upon achievement of a research plan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jc w:val="both"/>
        <w:ind w:left="980" w:right="160"/>
        <w:spacing w:after="0" w:line="261" w:lineRule="auto"/>
        <w:rPr>
          <w:sz w:val="20"/>
          <w:szCs w:val="20"/>
          <w:color w:val="auto"/>
        </w:rPr>
      </w:pPr>
      <w:r>
        <w:rPr>
          <w:rFonts w:ascii="Times New Roman" w:cs="Times New Roman" w:eastAsia="Times New Roman" w:hAnsi="Times New Roman"/>
          <w:sz w:val="18"/>
          <w:szCs w:val="18"/>
          <w:color w:val="auto"/>
        </w:rPr>
        <w:t>milestone. In September 2025, Gilead nominated the second of the two research programs contemplated in the Gilead Agreement (Second Research Program) and we granted Gilead a research license. Gilead also exercised their exclusive option to obtain a license to exploit the research molecule and research product with respect to the Second Research Program. Gilead is obligated to pay us a total of $25.0 million related to the nomination and option exercise.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policies which require the most significant judgments and estimates in the preparation of our consolidated financial statements. A summary of our critical accounting estimates is presented in Part II, Item 7, "Management's Discussion and Analysis of Financial Condition and Results of Operations" of our Annual Report on Form 10-K for the fiscal year ended December 31, 2025. There have been no material changes with respect to our critical accounting estimates during the three months ended March 31,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a comparison of our revenue for the three months ended March 31, 2026 and 2025 (dollars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700" w:type="dxa"/>
            <w:vAlign w:val="bottom"/>
            <w:tcBorders>
              <w:bottom w:val="single" w:sz="8" w:color="auto"/>
            </w:tcBorders>
          </w:tcPr>
          <w:p>
            <w:pPr>
              <w:spacing w:after="0"/>
              <w:rPr>
                <w:sz w:val="20"/>
                <w:szCs w:val="20"/>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and other agreements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(6.0)</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manufacturing</w:t>
            </w: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7.8</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7"/>
              </w:rPr>
              <w:t>5.8</w:t>
            </w:r>
          </w:p>
        </w:tc>
        <w:tc>
          <w:tcPr>
            <w:tcW w:w="2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13.2</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7"/>
              </w:rPr>
              <w:t>7.6</w:t>
            </w:r>
          </w:p>
        </w:tc>
        <w:tc>
          <w:tcPr>
            <w:tcW w:w="2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1"/>
        </w:trPr>
        <w:tc>
          <w:tcPr>
            <w:tcW w:w="4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increase in revenue of $7.6 million for the three months ended March 31, 2026 compared to the three months ended March 31, 2025 was primarily due to:</w:t>
      </w:r>
    </w:p>
    <w:p>
      <w:pPr>
        <w:spacing w:after="0" w:line="54"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an increase of $7.8 million in contract manufacturing revenue due to higher production volume in 2026; and</w:t>
      </w:r>
    </w:p>
    <w:p>
      <w:pPr>
        <w:spacing w:after="0" w:line="117"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$5.8 million in royalty revenue recognized due to higher sales of ZYNYZ.</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117"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$6.0 million in collaborative and other agreements.</w:t>
      </w:r>
    </w:p>
    <w:p>
      <w:pPr>
        <w:spacing w:after="0" w:line="117" w:lineRule="exact"/>
        <w:rPr>
          <w:sz w:val="20"/>
          <w:szCs w:val="20"/>
          <w:color w:val="auto"/>
        </w:rPr>
      </w:pPr>
    </w:p>
    <w:p>
      <w:pPr>
        <w:jc w:val="both"/>
        <w:ind w:right="680" w:firstLine="648"/>
        <w:spacing w:after="0" w:line="266" w:lineRule="auto"/>
        <w:rPr>
          <w:sz w:val="20"/>
          <w:szCs w:val="20"/>
          <w:color w:val="auto"/>
        </w:rPr>
      </w:pPr>
      <w:r>
        <w:rPr>
          <w:rFonts w:ascii="Times New Roman" w:cs="Times New Roman" w:eastAsia="Times New Roman" w:hAnsi="Times New Roman"/>
          <w:sz w:val="18"/>
          <w:szCs w:val="18"/>
          <w:color w:val="auto"/>
        </w:rPr>
        <w:t>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Manufacturing Services</w:t>
      </w:r>
    </w:p>
    <w:p>
      <w:pPr>
        <w:spacing w:after="0" w:line="175"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Cost of manufacturing services was $9.5 million and $5.4 million for the three months ended March 31, 2026 and 2025, respectively. Cost of manufacturing services includes process development costs and costs to produce bulk drug substance for our contract development and manufacturing customers. We expect cost of manufacturing services to vary from period to period based on the agreed-upon manufacturing schedule.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31"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75"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18"/>
          <w:szCs w:val="18"/>
          <w:color w:val="auto"/>
        </w:rPr>
        <w:t>The following represents a comparison of our research and development expense for the three months ended March 31, 2026 and 2025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740" w:type="dxa"/>
            <w:vAlign w:val="bottom"/>
            <w:tcBorders>
              <w:bottom w:val="single" w:sz="8" w:color="auto"/>
            </w:tcBorders>
          </w:tcPr>
          <w:p>
            <w:pPr>
              <w:spacing w:after="0"/>
              <w:rPr>
                <w:sz w:val="20"/>
                <w:szCs w:val="20"/>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Lorigerlimab</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(1.4)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MGC026</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MGC028</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Next-generation T-cell engagers</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MGC030</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MGD024</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Vobramitamab duocarmazine (vobra duo)</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(7.9)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Preclinical antibody-drug conjugates (ADCs)</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programs (a)</w:t>
            </w:r>
          </w:p>
        </w:tc>
        <w:tc>
          <w:tcPr>
            <w:tcW w:w="1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8"/>
              </w:rPr>
              <w:t>(4.7)</w:t>
            </w: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
        </w:trPr>
        <w:tc>
          <w:tcPr>
            <w:tcW w:w="4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Includes discontinued projects.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decrease in our research and development expense for the three months ended March 31, 2026 compared to the three months ended March 31,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was primarily due to:</w:t>
      </w:r>
    </w:p>
    <w:p>
      <w:pPr>
        <w:spacing w:after="0" w:line="153"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decreased vobra duo costs due to the decision to discontinue further internal development of that program; and</w:t>
      </w:r>
    </w:p>
    <w:p>
      <w:pPr>
        <w:spacing w:after="0" w:line="171"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development costs related to certain pre-clinical ADCs.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decreases were partially offset by:</w:t>
      </w:r>
    </w:p>
    <w:p>
      <w:pPr>
        <w:spacing w:after="0" w:line="171"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clinical trial costs related to MGC028; and</w:t>
      </w:r>
    </w:p>
    <w:p>
      <w:pPr>
        <w:spacing w:after="0" w:line="171"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development costs related to certain next generation T-cell engagers.</w:t>
      </w:r>
    </w:p>
    <w:p>
      <w:pPr>
        <w:spacing w:after="0" w:line="17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are uncertainties associated with our research and development expenses for future quarters which are impacted by multiple variables, including timing of wind down activities for recently closed studies and current and expected expenditures associated with our ongoing clinical studies.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2026 and 2025, general and administrative expenses were $9.7 million and $10.7 million, respectively.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a summary of our cash flows for the three months ended March 31, 2026 and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32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80" w:type="dxa"/>
            <w:vAlign w:val="bottom"/>
            <w:tcBorders>
              <w:bottom w:val="single" w:sz="8" w:color="auto"/>
            </w:tcBorders>
          </w:tcPr>
          <w:p>
            <w:pPr>
              <w:spacing w:after="0"/>
              <w:rPr>
                <w:sz w:val="20"/>
                <w:szCs w:val="20"/>
                <w:color w:val="auto"/>
              </w:rPr>
            </w:pPr>
          </w:p>
        </w:tc>
      </w:tr>
      <w:tr>
        <w:trPr>
          <w:trHeight w:val="223"/>
        </w:trPr>
        <w:tc>
          <w:tcPr>
            <w:tcW w:w="74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r>
      <w:tr>
        <w:trPr>
          <w:trHeight w:val="263"/>
        </w:trPr>
        <w:tc>
          <w:tcPr>
            <w:tcW w:w="7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1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(dollars in millions)</w:t>
            </w:r>
          </w:p>
        </w:tc>
        <w:tc>
          <w:tcPr>
            <w:tcW w:w="580" w:type="dxa"/>
            <w:vAlign w:val="bottom"/>
          </w:tcPr>
          <w:p>
            <w:pPr>
              <w:spacing w:after="0"/>
              <w:rPr>
                <w:sz w:val="22"/>
                <w:szCs w:val="22"/>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consists of our net loss adjusted for non-cash items such as depreciation and amortization expense and stock-based compensation and changes in working capital.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0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2026 and 2025 is primarily due to maturities of marketable securities, partially offset by purchases of marketable securities and purchases of property, equipment and software.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252525"/>
        </w:rPr>
        <w:t xml:space="preserve">Net cash used in </w:t>
      </w:r>
      <w:r>
        <w:rPr>
          <w:rFonts w:ascii="Times New Roman" w:cs="Times New Roman" w:eastAsia="Times New Roman" w:hAnsi="Times New Roman"/>
          <w:sz w:val="18"/>
          <w:szCs w:val="18"/>
          <w:color w:val="000000"/>
        </w:rPr>
        <w:t>financing activities during the three months ended March 31, 2026 and 2025 primarily includes taxes related to net share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settlement of equity awards.</w:t>
      </w:r>
    </w:p>
    <w:p>
      <w:pPr>
        <w:spacing w:after="0" w:line="10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multiple product candidates currently under development will require significant additional research and 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 to support such research and development. Net losses and negative cash flows have had, and will continue to have, an adverse effect on our stockholders’ equity and working capital, and accordingly, our ability to execute our future operating plans.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biotechnology company, we have primarily funded our operations with proceeds from the sale of our common stock in equity offerings and</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 from our multiple collaboration agreements. 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Although it is difficult to predict our funding requirements, we anticipate that our cash, cash equivalents and marketable securities as of March 31, 2026, combined with the $60.0 million received from Sagard in May 2026, and the anticipated $122.5 million proceeds (before transaction fees and expenses and subject to customary adjustments), expected upon closing, from the sale of our manufacturing operations to Bora, as well as projected and anticipated future payments from our partners, and anticipated savings from our ongoing cost-reduction initiatives, supports our cash runway through 2028. We have implemented, and will continue to evaluate and execute, various cost-saving measures that are intended to extend our financial runway while continuing to progress our pipeline.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252525"/>
        </w:rPr>
        <w:t>Material Cash Requirements</w:t>
      </w:r>
    </w:p>
    <w:p>
      <w:pPr>
        <w:spacing w:after="0" w:line="175"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significant changes to our material cash requirements, including contractual and other obligations, as presented in Part II, Item 7, "Management’s Discussion and Analysis of Financial Condition and Results of Operations" included in our Annual Report on Form 10-K for the fiscal year ended December 31, 2025.</w:t>
      </w:r>
    </w:p>
    <w:p>
      <w:pPr>
        <w:spacing w:after="0" w:line="158"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right="160" w:firstLine="683"/>
        <w:spacing w:after="0" w:line="266" w:lineRule="auto"/>
        <w:rPr>
          <w:sz w:val="20"/>
          <w:szCs w:val="20"/>
          <w:color w:val="auto"/>
        </w:rPr>
      </w:pPr>
      <w:r>
        <w:rPr>
          <w:rFonts w:ascii="Times New Roman" w:cs="Times New Roman" w:eastAsia="Times New Roman" w:hAnsi="Times New Roman"/>
          <w:sz w:val="18"/>
          <w:szCs w:val="18"/>
          <w:color w:val="auto"/>
        </w:rPr>
        <w:t>As of March 31, 2026, our exposure to market risk has not changed materially since December 31, 2025. For more information on financial market risks related to changes in interest rates, reference is made to Item 7A. "Quantitative and Qualitative Disclosures About Market Risk" contained in Part II of our Annual Report on Form 10-K for the fiscal year ended December 31, 2025, filed with the SEC on March 9, 2026.</w:t>
      </w:r>
    </w:p>
    <w:p>
      <w:pPr>
        <w:spacing w:after="0" w:line="158"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has evaluated the effectiveness of our disclosure controls and procedures (as defined in Exchange Act Rule 13a-15(e) and 15d-15(e)) as of March 31, 2026.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March 31, 2026, our principal executive officer and principal financial officer have concluded that our disclosure controls and procedures are effective at the reasonable assurance level.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March 31, 2026 that materially affected, or are reasonably likely to materially effect,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32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166"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9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trading price of our securities. In addition to the other information set forth in this Quarterly Report on Form 10-Q, you should carefully consider the factors described in Part I, Item 1A. “Risk Factors” of our Annual Report on Form 10-K for the fiscal year ended December 31, 2025. There have been no material changes in the risk factors described in Item 1A. "Risk Factors” of our Annual Report on Form 10-K for the fiscal year ended December 31, 2025, aside from the risk factors included 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Related to the Sale of our GMP Manufacturing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sale of our CDMO Operations could adversely affect our business, financial condition, results and operations.</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May 2026, we entered into the Asset Purchase Agreement (the “Purchase Agreement”) with Bora Pharmaceuticals Co., Ltd., a company organized under the laws of Taiwan, and Bora Biologics USA, LLC, a Delaware limited liability company (collectively, the “Purchaser”), pursuant to which we agreed to sell to the Purchaser assets and current liabilities related to our GMP manufacturing operations, including our CDMO business (the “CDMO Operations”). In connection with the sale of the CDMO Operations, the Purchaser also intends to extend offers of employment to approximately 140 of our employees currently employed in our manufacturing and related functions.</w:t>
      </w:r>
    </w:p>
    <w:p>
      <w:pPr>
        <w:spacing w:after="0" w:line="21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May 2026 announcement and pendency of the closing of the sale of our CDMO Operations could cause disruptions in, and create uncertainty surrounding, our business, which could have an adverse effect on our business, financial condition, results and operations, regardless of whether the transaction is completed. These risks to our business include the following, all of which could be exacerbated by a delay in the completion of the transaction:</w:t>
      </w:r>
    </w:p>
    <w:p>
      <w:pPr>
        <w:spacing w:after="0" w:line="20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significant management time and resources towards the completion of the closing of the transaction;</w:t>
      </w:r>
    </w:p>
    <w:p>
      <w:pPr>
        <w:spacing w:after="0" w:line="27"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ability to attract, retain, and motivate key personnel, including our senior management, and particularly those employees to whom employment offers will be extended by the Purchaser;</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maintaining relationships with customers, suppliers, and other business partners;</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pursue alternative business opportunities or make appropriate changes to our business because of requirements in the Purchase Agreement that we conduct our business in the ordinary course and not engage in certain kinds of transactions prior to the completion of the transaction;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relating to the transaction and the costs and distractions related thereto, which could impact our ability to close the transaction within the expected timeframe, or at all.</w:t>
      </w:r>
    </w:p>
    <w:p>
      <w:pPr>
        <w:spacing w:after="0" w:line="20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our CDMO Operations may not be completed within the expected timeframe, or at all, and the failure to complete the transaction could adversely affect our business and the market price of our common stock.</w:t>
      </w:r>
    </w:p>
    <w:p>
      <w:pPr>
        <w:spacing w:after="0" w:line="18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completion of the sale of our CDMO Operations is subject to a number of closing conditions as set forth in the Purchase Agreement, including the consent of our landlord to the assignment of the lease of the 9704 Medical Center Drive headquarters, which is the site of our manufacturing operations, and the warehouse operations located at 4735 Arcadia Drive, Frederick, Maryland. We cannot predict when or if these conditions will be satisfied.</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our business, our relationships or our financial condition will not be adversely affected, as compared to the condition prior to the announcement of the transaction, if the transaction is not consummated. Failure to complete the sale of our CDMO Operations could adversely affect our business and the market price of our common stock in a number of ways, including the following:</w:t>
      </w:r>
    </w:p>
    <w:p>
      <w:pPr>
        <w:sectPr>
          <w:pgSz w:w="11900" w:h="16838" w:orient="portrait"/>
          <w:cols w:equalWidth="0" w:num="1">
            <w:col w:w="11200"/>
          </w:cols>
          <w:pgMar w:left="320" w:top="927"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type w:val="continuous"/>
        </w:sectPr>
      </w:pPr>
    </w:p>
    <w:bookmarkStart w:id="29" w:name="page30"/>
    <w:bookmarkEnd w:id="29"/>
    <w:p>
      <w:pPr>
        <w:ind w:left="660" w:right="12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sale of our CDMO Operations is not completed, the share price of our common stock will change to the extent that the current market price of our stock reflects an assumption that the transaction will be completed;</w:t>
      </w:r>
    </w:p>
    <w:p>
      <w:pPr>
        <w:ind w:left="660" w:right="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significant costs, expenses and fees for professional services and other costs in connection with the sale of the CDMO Operations, including with respect to the transfer of our manufacturing services contracts, for which we may receive little or no benefit if the transaction is not completed. Many of these fees and costs will be payable by us even if the transaction is not completed and may relate to activities that we would not have undertaken other than to complete the transaction;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failed sale of our CDMO Operations may result in negative publicity and a negative impression of us in the investment community.</w:t>
      </w:r>
    </w:p>
    <w:p>
      <w:pPr>
        <w:spacing w:after="0" w:line="23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transaction may also be subject to additional governmental reviews, approvals or clearances. Any such review, approval process or clearance could delay the consummation of the transaction, require the parties to agree to conditions or mitigation measures that increase costs or limit the anticipated benefits of the transaction, or result in the inability of the parties to complete the transaction on the anticipated terms or at 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from the sale of our CDMO Operations.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may not be able to achieve the full strategic and financial benefits expected to result from the sale of our CDMO Operations, or such benefits may be delayed or not occur at all. In particular, we have made the strategic decision to dispose of our manufacturing facilities and related assets in order to focus on the advancement of our core business, the clinical and preclinical pipeline. Following the closing of the transaction, we will no longer operate our own GMP manufacturing facility and must rely on third parties, including the Purchaser for the clinical and, if approved, commercial manufacture of our product candidates. Although upon closing, we intend to enter into an agreement with the Purchaser for manufacturing services, we have not yet executed such agreement and may not realize the anticipated cost savings associated with contracting out our manufacturing requirements. The assumptions we made related to the sale of our CDMO Operations may prove to be inaccurate, including as to the expected benefits of the transaction and anticipated cost savings. Further, the transition activities following closing may disrupt our operations and divert management’s attention from our business. Moreover, the base purchase price of $122.5 million is subject to certain customary adjustments, including for working capital and indebtedness as set forth in the Purchase Agreement, which may result in lower net proceeds than we anticipate. An inability to realize the anticipated benefits of the transaction could have an adverse impact on our business, financial condition and results of operations.</w:t>
      </w: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the sale of the CDMO Operations is consummated, the Purchase Agreement provides that the Purchaser will assume certain liabilities related to the CDMO Operations and that we will retain certain excluded assets and excluded liabilities. However, notwithstanding the consummation of the transaction, we may remain responsible for, and may be required to satisfy, certain liabilities and obligations, including liabilities that are retained by us under the Purchase Agreement, liabilities that are not effectively assumed by the Purchaser, liabilities that arise out of or relate to our ownership and operation of the CDMO Operations and related facilities prior to closing, and liabilities that are not discovered, asserted or quantified until after closing. These liabilities and obligations could include, among other things, liabilities related to employee matters, taxes, environmental health and safety matters, product quality matters, regulatory compliance, and claims by customers, suppliers, counterparties or other third parties (including claims alleging breaches of contract or tort or other claims arising from pre-closing conduct of the CDMO Operations). In addition, the Purchase Agreement may require us to indemnify the Purchaser for certain matters, and disputes may arise between us and the Purchaser regarding whether a particular liability is an assumed liability or a retained liability, the scope of any indemnification obligations, or the allocation of responsibility for certain claims.</w:t>
      </w:r>
    </w:p>
    <w:p>
      <w:pPr>
        <w:spacing w:after="0" w:line="2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closing of the sale of our CDMO Operations, we will no longer operate our own cGMP manufacturing facility and instead will rely on third parties, including the Purchaser, for the clinical and, if approved, commercial manufacture of our product candidates. The third-party manufacturing facilities on which we rely may have limited capacity or fail to meet the applicable stringent regulatory requirements.</w:t>
      </w:r>
    </w:p>
    <w:p>
      <w:pPr>
        <w:spacing w:after="0" w:line="20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Upon the completion of the sale of our CDMO Operations, we will not have any proprietary cGMP manufacturing facilities owned or operated by us. We instead will rely on third parties, including Purchaser, for the cGMP manufacture of our product candidates for clinical development and, if approved, commercial supply. We intend to enter into a long-term manufacturing and supply agreement with the Purchaser in connection with the closing of the transaction; however, we have not yet executed such agreement. There is no guarantee that we will or have properly estimated our required manufacturing capacities or that the third parties we rely on to provide required machinery and materials for the manufacturing process, including the Purchaser, will be able to perform on our proposed timelines or meet our manufacturing demands, if at all. Also,</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0" w:name="page31"/>
    <w:bookmarkEnd w:id="30"/>
    <w:p>
      <w:pPr>
        <w:ind w:right="300"/>
        <w:spacing w:after="0" w:line="282" w:lineRule="auto"/>
        <w:rPr>
          <w:sz w:val="20"/>
          <w:szCs w:val="20"/>
          <w:color w:val="auto"/>
        </w:rPr>
      </w:pPr>
      <w:r>
        <w:rPr>
          <w:rFonts w:ascii="Times New Roman" w:cs="Times New Roman" w:eastAsia="Times New Roman" w:hAnsi="Times New Roman"/>
          <w:sz w:val="18"/>
          <w:szCs w:val="18"/>
          <w:color w:val="auto"/>
        </w:rPr>
        <w:t>if we must increase production capacity for any reason, we may need to make considerable investments that could lead to significant financing needs or require us to enter into subcontracting agreements in order to outsource part of the production.</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the Purchaser or any other third-party contract manufacturing organization on which we rely experiences capacity constraints, other disruptions, or delays in manufacturing our product candidates, our planned clinical trials and necessary manufacturing capabilities will be disrupted or delayed. Third-party manufacturers may not be able to meet our needs concerning timing, quantity, or quality.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 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We intend to continue to enter into additional third-party agreements in the future. However, we may not be able to negotiate any additional agreements successfully. Even if established, these relationships may not be scientifically or commercially successful.</w:t>
      </w:r>
    </w:p>
    <w:p>
      <w:pPr>
        <w:spacing w:after="0" w:line="21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inspected by the FDA. We do not have control over a supplier’s or manufacturer’s compliance with laws, regulations and applicable cGMP standards or similar regulatory requirements and other laws and regulations, such as those related to environmental health and safety matters. If our contract manufacturers cannot successfully manufacture material that conforms to our specifications and the strict regulatory requirements of the FDA or other regulatory authorities, we may be unable to obtain regulatory approval of our marketing applications.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21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spacing w:after="0" w:line="20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10b5-1 Trading Plans</w:t>
      </w:r>
    </w:p>
    <w:p>
      <w:pPr>
        <w:spacing w:after="0" w:line="17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the Company's directors or officers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tbl>
      <w:tblPr>
        <w:tblLayout w:type="fixed"/>
        <w:tblInd w:w="12"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18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1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 Certification of Principal Executive Officer</w:t>
            </w:r>
          </w:p>
        </w:tc>
      </w:tr>
      <w:tr>
        <w:trPr>
          <w:trHeight w:val="47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4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 Certification of Principal Financial Officer</w:t>
            </w:r>
          </w:p>
        </w:tc>
        <w:tc>
          <w:tcPr>
            <w:tcW w:w="40" w:type="dxa"/>
            <w:vAlign w:val="bottom"/>
            <w:tcBorders>
              <w:top w:val="single" w:sz="8" w:color="0000FF"/>
            </w:tcBorders>
          </w:tcPr>
          <w:p>
            <w:pPr>
              <w:spacing w:after="0"/>
              <w:rPr>
                <w:sz w:val="24"/>
                <w:szCs w:val="24"/>
                <w:color w:val="auto"/>
              </w:rPr>
            </w:pPr>
          </w:p>
        </w:tc>
        <w:tc>
          <w:tcPr>
            <w:tcW w:w="3000" w:type="dxa"/>
            <w:vAlign w:val="bottom"/>
          </w:tcPr>
          <w:p>
            <w:pPr>
              <w:spacing w:after="0"/>
              <w:rPr>
                <w:sz w:val="24"/>
                <w:szCs w:val="24"/>
                <w:color w:val="auto"/>
              </w:rPr>
            </w:pPr>
          </w:p>
        </w:tc>
      </w:tr>
      <w:tr>
        <w:trPr>
          <w:trHeight w:val="47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Section 1350 Certification of Principal Executive Officer</w:t>
            </w:r>
          </w:p>
        </w:tc>
      </w:tr>
      <w:tr>
        <w:trPr>
          <w:trHeight w:val="48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40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Principal Financial Officer</w:t>
            </w:r>
          </w:p>
        </w:tc>
        <w:tc>
          <w:tcPr>
            <w:tcW w:w="40" w:type="dxa"/>
            <w:vAlign w:val="bottom"/>
            <w:tcBorders>
              <w:top w:val="single" w:sz="8" w:color="0000FF"/>
            </w:tcBorders>
          </w:tcPr>
          <w:p>
            <w:pPr>
              <w:spacing w:after="0"/>
              <w:rPr>
                <w:sz w:val="24"/>
                <w:szCs w:val="24"/>
                <w:color w:val="auto"/>
              </w:rPr>
            </w:pPr>
          </w:p>
        </w:tc>
        <w:tc>
          <w:tcPr>
            <w:tcW w:w="3140" w:type="dxa"/>
            <w:vAlign w:val="bottom"/>
            <w:gridSpan w:val="3"/>
          </w:tcPr>
          <w:p>
            <w:pPr>
              <w:spacing w:after="0"/>
              <w:rPr>
                <w:sz w:val="24"/>
                <w:szCs w:val="24"/>
                <w:color w:val="auto"/>
              </w:rPr>
            </w:pPr>
          </w:p>
        </w:tc>
      </w:tr>
      <w:tr>
        <w:trPr>
          <w:trHeight w:val="52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50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4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4"/>
                <w:szCs w:val="24"/>
                <w:color w:val="auto"/>
              </w:rPr>
            </w:pPr>
          </w:p>
        </w:tc>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Cover Page Interactive Data (formatted as Inline XBRL and contained in Exhibit 101 filed herewith)</w:t>
            </w:r>
          </w:p>
        </w:tc>
      </w:tr>
    </w:tbl>
    <w:p>
      <w:pPr>
        <w:spacing w:after="0" w:line="306" w:lineRule="exact"/>
        <w:rPr>
          <w:sz w:val="20"/>
          <w:szCs w:val="20"/>
          <w:color w:val="auto"/>
        </w:rPr>
      </w:pPr>
    </w:p>
    <w:p>
      <w:pPr>
        <w:ind w:left="312" w:hanging="312"/>
        <w:spacing w:after="0"/>
        <w:tabs>
          <w:tab w:leader="none" w:pos="3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12" w:hanging="412"/>
        <w:spacing w:after="0"/>
        <w:tabs>
          <w:tab w:leader="none" w:pos="4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987425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968" w:right="1440" w:bottom="1440" w:gutter="0" w:footer="0" w:header="0"/>
        </w:sectPr>
      </w:pPr>
    </w:p>
    <w:bookmarkStart w:id="32" w:name="page33"/>
    <w:bookmarkEnd w:id="32"/>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7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MACROGENICS, INC.</w:t>
      </w:r>
    </w:p>
    <w:p>
      <w:pPr>
        <w:spacing w:after="0" w:line="293"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Eric Risser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2918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Eric Risser</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2918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James Karrels</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13, 2026</w:t>
      </w:r>
    </w:p>
    <w:p>
      <w:pPr>
        <w:sectPr>
          <w:pgSz w:w="11900" w:h="16838" w:orient="portrait"/>
          <w:cols w:equalWidth="0" w:num="1">
            <w:col w:w="10920"/>
          </w:cols>
          <w:pgMar w:left="320" w:top="927" w:right="659" w:bottom="1440" w:gutter="0" w:footer="0" w:header="0"/>
        </w:sectPr>
      </w:pPr>
    </w:p>
    <w:bookmarkStart w:id="33" w:name="page34"/>
    <w:bookmarkEnd w:id="33"/>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Risser, certify that:</w:t>
      </w:r>
    </w:p>
    <w:p>
      <w:pPr>
        <w:spacing w:after="0" w:line="234"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MacroGenics, Inc.;</w:t>
      </w:r>
    </w:p>
    <w:p>
      <w:pPr>
        <w:spacing w:after="0" w:line="17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Eric Risser</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Eric Risser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13, 2026</w:t>
      </w:r>
    </w:p>
    <w:p>
      <w:pPr>
        <w:sectPr>
          <w:pgSz w:w="11900" w:h="16838" w:orient="portrait"/>
          <w:cols w:equalWidth="0" w:num="1">
            <w:col w:w="11240"/>
          </w:cols>
          <w:pgMar w:left="320" w:top="1440" w:right="339" w:bottom="1440" w:gutter="0" w:footer="0" w:header="0"/>
        </w:sectPr>
      </w:pPr>
    </w:p>
    <w:bookmarkStart w:id="34" w:name="page35"/>
    <w:bookmarkEnd w:id="34"/>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Karrels, certify that:</w:t>
      </w:r>
    </w:p>
    <w:p>
      <w:pPr>
        <w:spacing w:after="0" w:line="234"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MacroGenics, Inc.;</w:t>
      </w:r>
    </w:p>
    <w:p>
      <w:pPr>
        <w:spacing w:after="0" w:line="17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James Karrels</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James Karrels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13, 2026</w:t>
      </w:r>
    </w:p>
    <w:p>
      <w:pPr>
        <w:sectPr>
          <w:pgSz w:w="11900" w:h="16838" w:orient="portrait"/>
          <w:cols w:equalWidth="0" w:num="1">
            <w:col w:w="11240"/>
          </w:cols>
          <w:pgMar w:left="320" w:top="1440" w:right="339" w:bottom="1440" w:gutter="0" w:footer="0" w:header="0"/>
        </w:sectPr>
      </w:pPr>
    </w:p>
    <w:bookmarkStart w:id="35" w:name="page36"/>
    <w:bookmarkEnd w:id="35"/>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jc w:val="both"/>
        <w:ind w:right="820"/>
        <w:spacing w:after="0" w:line="312" w:lineRule="auto"/>
        <w:rPr>
          <w:sz w:val="20"/>
          <w:szCs w:val="20"/>
          <w:color w:val="auto"/>
        </w:rPr>
      </w:pPr>
      <w:r>
        <w:rPr>
          <w:rFonts w:ascii="Times New Roman" w:cs="Times New Roman" w:eastAsia="Times New Roman" w:hAnsi="Times New Roman"/>
          <w:sz w:val="17"/>
          <w:szCs w:val="17"/>
          <w:color w:val="auto"/>
        </w:rPr>
        <w:t>I, Eric Risser, President and Chief Executive Officer (principal executive officer) of MacroGenics, Inc. (the Registrant), certify, to the best of my knowledge, based upon a review of the Quarterly Report on Form 10-Q for the period ended March 31, 2026 of the Registrant (the Report), that:</w:t>
      </w:r>
    </w:p>
    <w:p>
      <w:pPr>
        <w:spacing w:after="0" w:line="16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Eric Risser</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Eric Risser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Date: May 13, 2026</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James Karrels, Senior Vice President and Chief Financial Officer (principal financial officer) of MacroGenics, Inc. (the Registrant), certify, to the best of my knowledge, based upon a review of the Quarterly Report on Form 10-Q for the period ended March 31, 2026 of the Registrant (the Report), that:</w:t>
      </w:r>
    </w:p>
    <w:p>
      <w:pPr>
        <w:spacing w:after="0" w:line="189"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James Karrels</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James Karrels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Date: May 13, 2026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decimal"/>
      <w:start w:val="606"/>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Roman"/>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2026-05-13T15:23:54Z</dcterms:created>
  <dcterms:modified xsi:type="dcterms:W3CDTF">2026-05-13T15:23:54Z</dcterms:modified>
</cp:coreProperties>
</file>