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4574.xml.htm"/>
      <w:bookmarkStart w:id="1" w:name="kswkform4_17914045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Bonvini Ezio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9704 MEDICAL CENTER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MACROGENICS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 VP, Research &amp; CSO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193,799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represents an exercise and hold of options.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12.5% of the shares underlying the grant become exercisable 6 months after the date of grant and an additional 6.25% of the shares underlying the grant become exercisable on the first day of each three-month period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Beth A.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8365" TargetMode="External"/><Relationship Id="rId5" Type="http://schemas.openxmlformats.org/officeDocument/2006/relationships/hyperlink" Target="http://www.sec.gov/cgi-bin/browse-edgar?action=getcompany&amp;CIK=00011253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3409</Characters>
  <CharactersWithSpaces>3959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