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001-36112</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MACROGENICS, INC.</w:t>
      </w:r>
    </w:p>
    <w:p>
      <w:pPr>
        <w:spacing w:after="0" w:line="13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632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2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06-1591613</w:t>
            </w:r>
          </w:p>
        </w:tc>
        <w:tc>
          <w:tcPr>
            <w:tcW w:w="0" w:type="dxa"/>
            <w:vAlign w:val="bottom"/>
          </w:tcPr>
          <w:p>
            <w:pPr>
              <w:spacing w:after="0"/>
              <w:rPr>
                <w:sz w:val="1"/>
                <w:szCs w:val="1"/>
                <w:color w:val="auto"/>
              </w:rPr>
            </w:pPr>
          </w:p>
        </w:tc>
      </w:tr>
      <w:tr>
        <w:trPr>
          <w:trHeight w:val="180"/>
        </w:trPr>
        <w:tc>
          <w:tcPr>
            <w:tcW w:w="6320" w:type="dxa"/>
            <w:vAlign w:val="bottom"/>
          </w:tcPr>
          <w:p>
            <w:pPr>
              <w:jc w:val="center"/>
              <w:ind w:right="3230"/>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34"/>
        </w:trPr>
        <w:tc>
          <w:tcPr>
            <w:tcW w:w="632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225"/>
        </w:trPr>
        <w:tc>
          <w:tcPr>
            <w:tcW w:w="632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9704 Medical Center Drive</w:t>
            </w:r>
          </w:p>
        </w:tc>
        <w:tc>
          <w:tcPr>
            <w:tcW w:w="14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25"/>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93"/>
              </w:rPr>
              <w:t>Rockville, Maryland</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419"/>
        </w:trPr>
        <w:tc>
          <w:tcPr>
            <w:tcW w:w="6320" w:type="dxa"/>
            <w:vAlign w:val="bottom"/>
          </w:tcPr>
          <w:p>
            <w:pPr>
              <w:jc w:val="center"/>
              <w:ind w:left="2010"/>
              <w:spacing w:after="0"/>
              <w:rPr>
                <w:sz w:val="20"/>
                <w:szCs w:val="20"/>
                <w:color w:val="auto"/>
              </w:rPr>
            </w:pPr>
            <w:r>
              <w:rPr>
                <w:rFonts w:ascii="Arial" w:cs="Arial" w:eastAsia="Arial" w:hAnsi="Arial"/>
                <w:sz w:val="18"/>
                <w:szCs w:val="18"/>
                <w:b w:val="1"/>
                <w:bCs w:val="1"/>
                <w:color w:val="auto"/>
                <w:w w:val="90"/>
              </w:rPr>
              <w:t>301-251-5172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220" w:type="dxa"/>
            <w:vAlign w:val="bottom"/>
            <w:tcBorders>
              <w:top w:val="single" w:sz="8" w:color="auto"/>
              <w:left w:val="single" w:sz="8" w:color="auto"/>
              <w:right w:val="single" w:sz="8" w:color="auto"/>
            </w:tcBorders>
            <w:vMerge w:val="restart"/>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1860" w:type="dxa"/>
            <w:vAlign w:val="bottom"/>
            <w:tcBorders>
              <w:top w:val="single" w:sz="8" w:color="auto"/>
              <w:right w:val="single" w:sz="8" w:color="auto"/>
            </w:tcBorders>
          </w:tcPr>
          <w:p>
            <w:pPr>
              <w:ind w:left="960"/>
              <w:spacing w:after="0" w:line="189" w:lineRule="exact"/>
              <w:rPr>
                <w:sz w:val="20"/>
                <w:szCs w:val="20"/>
                <w:color w:val="auto"/>
              </w:rPr>
            </w:pPr>
            <w:r>
              <w:rPr>
                <w:rFonts w:ascii="Arial" w:cs="Arial" w:eastAsia="Arial" w:hAnsi="Arial"/>
                <w:sz w:val="18"/>
                <w:szCs w:val="18"/>
                <w:color w:val="auto"/>
              </w:rPr>
              <w:t>Trading</w:t>
            </w:r>
          </w:p>
        </w:tc>
        <w:tc>
          <w:tcPr>
            <w:tcW w:w="4980" w:type="dxa"/>
            <w:vAlign w:val="bottom"/>
            <w:tcBorders>
              <w:top w:val="single" w:sz="8" w:color="auto"/>
              <w:right w:val="single" w:sz="8" w:color="auto"/>
            </w:tcBorders>
            <w:vMerge w:val="restart"/>
          </w:tcPr>
          <w:p>
            <w:pPr>
              <w:jc w:val="center"/>
              <w:ind w:left="55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9"/>
        </w:trPr>
        <w:tc>
          <w:tcPr>
            <w:tcW w:w="42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8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Symbol(s)</w:t>
            </w:r>
          </w:p>
        </w:tc>
        <w:tc>
          <w:tcPr>
            <w:tcW w:w="49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ind w:left="570"/>
              <w:spacing w:after="0"/>
              <w:rPr>
                <w:sz w:val="20"/>
                <w:szCs w:val="20"/>
                <w:color w:val="auto"/>
              </w:rPr>
            </w:pPr>
            <w:r>
              <w:rPr>
                <w:rFonts w:ascii="Arial" w:cs="Arial" w:eastAsia="Arial" w:hAnsi="Arial"/>
                <w:sz w:val="18"/>
                <w:szCs w:val="18"/>
                <w:color w:val="auto"/>
                <w:w w:val="89"/>
              </w:rPr>
              <w:t>Common Stock, par value $0.01 per share</w:t>
            </w:r>
          </w:p>
        </w:tc>
        <w:tc>
          <w:tcPr>
            <w:tcW w:w="186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MGNX</w:t>
            </w:r>
          </w:p>
        </w:tc>
        <w:tc>
          <w:tcPr>
            <w:tcW w:w="49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64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640" w:type="dxa"/>
            <w:vAlign w:val="bottom"/>
          </w:tcPr>
          <w:p>
            <w:pPr>
              <w:ind w:left="660"/>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640" w:type="dxa"/>
            <w:vAlign w:val="bottom"/>
          </w:tcPr>
          <w:p>
            <w:pPr>
              <w:ind w:left="660"/>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4"/>
        </w:trPr>
        <w:tc>
          <w:tcPr>
            <w:tcW w:w="2640" w:type="dxa"/>
            <w:vAlign w:val="bottom"/>
          </w:tcPr>
          <w:p>
            <w:pPr>
              <w:ind w:left="660"/>
              <w:spacing w:after="0"/>
              <w:rPr>
                <w:sz w:val="20"/>
                <w:szCs w:val="20"/>
                <w:color w:val="auto"/>
              </w:rPr>
            </w:pPr>
            <w:r>
              <w:rPr>
                <w:rFonts w:ascii="Arial" w:cs="Arial" w:eastAsia="Arial" w:hAnsi="Arial"/>
                <w:sz w:val="18"/>
                <w:szCs w:val="18"/>
                <w:color w:val="auto"/>
              </w:rPr>
              <w:t>Emerging growth</w:t>
            </w:r>
          </w:p>
        </w:tc>
        <w:tc>
          <w:tcPr>
            <w:tcW w:w="266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0"/>
                <w:szCs w:val="20"/>
                <w:color w:val="auto"/>
              </w:rPr>
            </w:pPr>
            <w:r>
              <w:rPr>
                <w:rFonts w:ascii="Arial" w:cs="Arial" w:eastAsia="Arial" w:hAnsi="Arial"/>
                <w:sz w:val="18"/>
                <w:szCs w:val="18"/>
                <w:color w:val="auto"/>
              </w:rPr>
              <w:t>company</w:t>
            </w:r>
          </w:p>
        </w:tc>
        <w:tc>
          <w:tcPr>
            <w:tcW w:w="2660" w:type="dxa"/>
            <w:vAlign w:val="bottom"/>
            <w:vMerge w:val="continue"/>
          </w:tcPr>
          <w:p>
            <w:pPr>
              <w:spacing w:after="0"/>
              <w:rPr>
                <w:sz w:val="21"/>
                <w:szCs w:val="21"/>
                <w:color w:val="auto"/>
              </w:rPr>
            </w:pPr>
          </w:p>
        </w:tc>
        <w:tc>
          <w:tcPr>
            <w:tcW w:w="4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080" w:firstLine="648"/>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 2022, 61,458,790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216"/>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6100" w:type="dxa"/>
            <w:vAlign w:val="bottom"/>
            <w:gridSpan w:val="8"/>
          </w:tcPr>
          <w:p>
            <w:pPr>
              <w:spacing w:after="0"/>
              <w:rPr>
                <w:sz w:val="18"/>
                <w:szCs w:val="18"/>
                <w:color w:val="auto"/>
              </w:rPr>
            </w:pP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w:t>
              </w:r>
            </w:hyperlink>
          </w:p>
        </w:tc>
        <w:tc>
          <w:tcPr>
            <w:tcW w:w="6980" w:type="dxa"/>
            <w:vAlign w:val="bottom"/>
            <w:gridSpan w:val="12"/>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596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Consolidated Balance Sheets at </w:t>
              </w:r>
            </w:hyperlink>
            <w:r>
              <w:rPr>
                <w:rFonts w:ascii="Arial" w:cs="Arial" w:eastAsia="Arial" w:hAnsi="Arial"/>
                <w:sz w:val="18"/>
                <w:szCs w:val="18"/>
                <w:color w:val="0000FF"/>
                <w:w w:val="88"/>
              </w:rPr>
              <w:t>June 30, 2022 (unaudited) and December 31, 2021</w:t>
            </w:r>
          </w:p>
        </w:tc>
        <w:tc>
          <w:tcPr>
            <w:tcW w:w="254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 xml:space="preserve">Consolidated Statements of Operations and Comprehensive Loss for the three and </w:t>
              </w:r>
            </w:hyperlink>
            <w:r>
              <w:rPr>
                <w:rFonts w:ascii="Arial" w:cs="Arial" w:eastAsia="Arial" w:hAnsi="Arial"/>
                <w:sz w:val="18"/>
                <w:szCs w:val="18"/>
                <w:color w:val="0000FF"/>
                <w:w w:val="91"/>
              </w:rPr>
              <w:t xml:space="preserve">six </w:t>
            </w:r>
            <w:hyperlink w:anchor="page5">
              <w:r>
                <w:rPr>
                  <w:rFonts w:ascii="Arial" w:cs="Arial" w:eastAsia="Arial" w:hAnsi="Arial"/>
                  <w:sz w:val="18"/>
                  <w:szCs w:val="18"/>
                  <w:color w:val="0000FF"/>
                  <w:w w:val="91"/>
                </w:rPr>
                <w:t xml:space="preserve">months ended </w:t>
              </w:r>
            </w:hyperlink>
            <w:r>
              <w:rPr>
                <w:rFonts w:ascii="Arial" w:cs="Arial" w:eastAsia="Arial" w:hAnsi="Arial"/>
                <w:sz w:val="18"/>
                <w:szCs w:val="18"/>
                <w:color w:val="0000FF"/>
                <w:w w:val="91"/>
              </w:rPr>
              <w:t>June 30, 2022</w:t>
            </w:r>
          </w:p>
        </w:tc>
      </w:tr>
      <w:tr>
        <w:trPr>
          <w:trHeight w:val="156"/>
        </w:trPr>
        <w:tc>
          <w:tcPr>
            <w:tcW w:w="2740" w:type="dxa"/>
            <w:vAlign w:val="bottom"/>
          </w:tcPr>
          <w:p>
            <w:pPr>
              <w:spacing w:after="0"/>
              <w:rPr>
                <w:sz w:val="13"/>
                <w:szCs w:val="13"/>
                <w:color w:val="auto"/>
              </w:rPr>
            </w:pPr>
          </w:p>
        </w:tc>
        <w:tc>
          <w:tcPr>
            <w:tcW w:w="8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and </w:t>
              </w:r>
            </w:hyperlink>
            <w:r>
              <w:rPr>
                <w:rFonts w:ascii="Arial" w:cs="Arial" w:eastAsia="Arial" w:hAnsi="Arial"/>
                <w:sz w:val="18"/>
                <w:szCs w:val="18"/>
                <w:color w:val="0000FF"/>
              </w:rPr>
              <w:t xml:space="preserve">June 30, 2021 </w:t>
            </w:r>
            <w:hyperlink w:anchor="page5">
              <w:r>
                <w:rPr>
                  <w:rFonts w:ascii="Arial" w:cs="Arial" w:eastAsia="Arial" w:hAnsi="Arial"/>
                  <w:sz w:val="18"/>
                  <w:szCs w:val="18"/>
                  <w:color w:val="0000FF"/>
                </w:rPr>
                <w:t>(unaudited)</w:t>
              </w:r>
            </w:hyperlink>
          </w:p>
        </w:tc>
        <w:tc>
          <w:tcPr>
            <w:tcW w:w="24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 xml:space="preserve">Consolidated Statements of Stockholders' Equity for the three and six months ended </w:t>
              </w:r>
            </w:hyperlink>
            <w:r>
              <w:rPr>
                <w:rFonts w:ascii="Arial" w:cs="Arial" w:eastAsia="Arial" w:hAnsi="Arial"/>
                <w:sz w:val="18"/>
                <w:szCs w:val="18"/>
                <w:color w:val="0000FF"/>
                <w:w w:val="94"/>
              </w:rPr>
              <w:t xml:space="preserve">June 30, 2022 </w:t>
            </w:r>
            <w:hyperlink w:anchor="page6">
              <w:r>
                <w:rPr>
                  <w:rFonts w:ascii="Arial" w:cs="Arial" w:eastAsia="Arial" w:hAnsi="Arial"/>
                  <w:sz w:val="18"/>
                  <w:szCs w:val="18"/>
                  <w:color w:val="0000FF"/>
                  <w:w w:val="94"/>
                </w:rPr>
                <w:t xml:space="preserve">and </w:t>
              </w:r>
            </w:hyperlink>
            <w:r>
              <w:rPr>
                <w:rFonts w:ascii="Arial" w:cs="Arial" w:eastAsia="Arial" w:hAnsi="Arial"/>
                <w:sz w:val="18"/>
                <w:szCs w:val="18"/>
                <w:color w:val="0000FF"/>
                <w:w w:val="94"/>
              </w:rPr>
              <w:t>June 30,</w:t>
            </w:r>
          </w:p>
        </w:tc>
      </w:tr>
      <w:tr>
        <w:trPr>
          <w:trHeight w:val="156"/>
        </w:trPr>
        <w:tc>
          <w:tcPr>
            <w:tcW w:w="2740" w:type="dxa"/>
            <w:vAlign w:val="bottom"/>
          </w:tcPr>
          <w:p>
            <w:pPr>
              <w:spacing w:after="0"/>
              <w:rPr>
                <w:sz w:val="13"/>
                <w:szCs w:val="13"/>
                <w:color w:val="auto"/>
              </w:rPr>
            </w:pPr>
          </w:p>
        </w:tc>
        <w:tc>
          <w:tcPr>
            <w:tcW w:w="8060" w:type="dxa"/>
            <w:vAlign w:val="bottom"/>
            <w:tcBorders>
              <w:top w:val="single" w:sz="8" w:color="0000FF"/>
            </w:tcBorders>
            <w:gridSpan w:val="16"/>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2021 </w:t>
            </w:r>
            <w:hyperlink w:anchor="page6">
              <w:r>
                <w:rPr>
                  <w:rFonts w:ascii="Arial" w:cs="Arial" w:eastAsia="Arial" w:hAnsi="Arial"/>
                  <w:sz w:val="18"/>
                  <w:szCs w:val="18"/>
                  <w:color w:val="0000FF"/>
                </w:rPr>
                <w:t>(unaudited)</w:t>
              </w:r>
            </w:hyperlink>
          </w:p>
        </w:tc>
        <w:tc>
          <w:tcPr>
            <w:tcW w:w="440" w:type="dxa"/>
            <w:vAlign w:val="bottom"/>
            <w:gridSpan w:val="2"/>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479"/>
        </w:trPr>
        <w:tc>
          <w:tcPr>
            <w:tcW w:w="2740" w:type="dxa"/>
            <w:vAlign w:val="bottom"/>
          </w:tcPr>
          <w:p>
            <w:pPr>
              <w:spacing w:after="0"/>
              <w:rPr>
                <w:sz w:val="24"/>
                <w:szCs w:val="24"/>
                <w:color w:val="auto"/>
              </w:rPr>
            </w:pPr>
          </w:p>
        </w:tc>
        <w:tc>
          <w:tcPr>
            <w:tcW w:w="79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Consolidated Statements of Cash Flows for the </w:t>
              </w:r>
            </w:hyperlink>
            <w:r>
              <w:rPr>
                <w:rFonts w:ascii="Arial" w:cs="Arial" w:eastAsia="Arial" w:hAnsi="Arial"/>
                <w:sz w:val="18"/>
                <w:szCs w:val="18"/>
                <w:color w:val="0000FF"/>
                <w:w w:val="89"/>
              </w:rPr>
              <w:t xml:space="preserve">six </w:t>
            </w:r>
            <w:hyperlink w:anchor="page7">
              <w:r>
                <w:rPr>
                  <w:rFonts w:ascii="Arial" w:cs="Arial" w:eastAsia="Arial" w:hAnsi="Arial"/>
                  <w:sz w:val="18"/>
                  <w:szCs w:val="18"/>
                  <w:color w:val="0000FF"/>
                  <w:w w:val="89"/>
                </w:rPr>
                <w:t xml:space="preserve">months ended </w:t>
              </w:r>
            </w:hyperlink>
            <w:r>
              <w:rPr>
                <w:rFonts w:ascii="Arial" w:cs="Arial" w:eastAsia="Arial" w:hAnsi="Arial"/>
                <w:sz w:val="18"/>
                <w:szCs w:val="18"/>
                <w:color w:val="0000FF"/>
                <w:w w:val="89"/>
              </w:rPr>
              <w:t xml:space="preserve">June 30, 2022 </w:t>
            </w:r>
            <w:hyperlink w:anchor="page7">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 xml:space="preserve">June 30, 2021 </w:t>
            </w:r>
            <w:hyperlink w:anchor="page7">
              <w:r>
                <w:rPr>
                  <w:rFonts w:ascii="Arial" w:cs="Arial" w:eastAsia="Arial" w:hAnsi="Arial"/>
                  <w:sz w:val="18"/>
                  <w:szCs w:val="18"/>
                  <w:color w:val="0000FF"/>
                  <w:w w:val="89"/>
                </w:rPr>
                <w:t>(unaudited)</w:t>
              </w:r>
            </w:hyperlink>
          </w:p>
        </w:tc>
        <w:tc>
          <w:tcPr>
            <w:tcW w:w="520" w:type="dxa"/>
            <w:vAlign w:val="bottom"/>
            <w:gridSpan w:val="3"/>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80"/>
        </w:trPr>
        <w:tc>
          <w:tcPr>
            <w:tcW w:w="2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500" w:type="dxa"/>
            <w:vAlign w:val="bottom"/>
            <w:gridSpan w:val="1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r>
      <w:tr>
        <w:trPr>
          <w:trHeight w:val="480"/>
        </w:trPr>
        <w:tc>
          <w:tcPr>
            <w:tcW w:w="2740" w:type="dxa"/>
            <w:vAlign w:val="bottom"/>
          </w:tcPr>
          <w:p>
            <w:pPr>
              <w:ind w:left="26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Quantitative and Qualitative Disclosures about Market Risk</w:t>
              </w:r>
            </w:hyperlink>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Controls and Procedures</w:t>
              </w:r>
            </w:hyperlink>
          </w:p>
        </w:tc>
        <w:tc>
          <w:tcPr>
            <w:tcW w:w="6720" w:type="dxa"/>
            <w:vAlign w:val="bottom"/>
            <w:gridSpan w:val="11"/>
          </w:tcPr>
          <w:p>
            <w:pPr>
              <w:spacing w:after="0"/>
              <w:rPr>
                <w:sz w:val="24"/>
                <w:szCs w:val="24"/>
                <w:color w:val="auto"/>
              </w:rPr>
            </w:pPr>
          </w:p>
        </w:tc>
      </w:tr>
      <w:tr>
        <w:trPr>
          <w:trHeight w:val="480"/>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8500" w:type="dxa"/>
            <w:vAlign w:val="bottom"/>
            <w:gridSpan w:val="18"/>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OTHER INFORMATION</w:t>
              </w:r>
            </w:hyperlink>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6480" w:type="dxa"/>
            <w:vAlign w:val="bottom"/>
            <w:gridSpan w:val="10"/>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24"/>
                <w:szCs w:val="24"/>
                <w:color w:val="auto"/>
              </w:rPr>
            </w:pPr>
          </w:p>
        </w:tc>
        <w:tc>
          <w:tcPr>
            <w:tcW w:w="7160" w:type="dxa"/>
            <w:vAlign w:val="bottom"/>
            <w:gridSpan w:val="13"/>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6.</w:t>
            </w:r>
          </w:p>
        </w:tc>
        <w:tc>
          <w:tcPr>
            <w:tcW w:w="850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6"/>
          </w:tcPr>
          <w:p>
            <w:pPr>
              <w:spacing w:after="0" w:line="20" w:lineRule="exact"/>
              <w:rPr>
                <w:sz w:val="1"/>
                <w:szCs w:val="1"/>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2021 and "Part II, Item 1A. Risk Factors" of this Quarterly Report on Form 10-Q), could affect future performance and cause actual results to differ materially from those matters expressed in or implied by forward-looking statements:</w:t>
      </w:r>
    </w:p>
    <w:p>
      <w:pPr>
        <w:spacing w:after="0" w:line="110" w:lineRule="exact"/>
        <w:rPr>
          <w:sz w:val="20"/>
          <w:szCs w:val="20"/>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520" w:right="280" w:hanging="332"/>
        <w:spacing w:after="0" w:line="342" w:lineRule="auto"/>
        <w:tabs>
          <w:tab w:leader="none" w:pos="5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additional capital through the capital markets or through one or more corporate partnerships, equity offerings, debt financings, collaborations, licensing arrangements or asset sales and the availability of financing to fund the development of our product candidates;</w:t>
      </w:r>
    </w:p>
    <w:p>
      <w:pPr>
        <w:spacing w:after="0" w:line="15" w:lineRule="exact"/>
        <w:rPr>
          <w:rFonts w:ascii="Arial" w:cs="Arial" w:eastAsia="Arial" w:hAnsi="Arial"/>
          <w:sz w:val="16"/>
          <w:szCs w:val="16"/>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 and the labeling for any approved products;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realize expected cost savings from our restructuring plan;</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commercial prospects of or product revenues from MARGENZA and our product candidates if approved;</w:t>
      </w:r>
    </w:p>
    <w:p>
      <w:pPr>
        <w:spacing w:after="0" w:line="117"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impact of the COVID-19 global pandemic, geopolitical tensions, and macroeconomic conditions on our business, operations, clinical programs, manufacturing, financial results and other aspects of our business;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candidates currently being developed by our collaborators;</w:t>
      </w:r>
    </w:p>
    <w:p>
      <w:pPr>
        <w:spacing w:after="0" w:line="117" w:lineRule="exact"/>
        <w:rPr>
          <w:rFonts w:ascii="Arial" w:cs="Arial" w:eastAsia="Arial" w:hAnsi="Arial"/>
          <w:sz w:val="18"/>
          <w:szCs w:val="18"/>
          <w:color w:val="auto"/>
        </w:rPr>
      </w:pPr>
    </w:p>
    <w:p>
      <w:pPr>
        <w:ind w:left="520" w:right="34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17" w:lineRule="exact"/>
        <w:rPr>
          <w:rFonts w:ascii="Arial" w:cs="Arial" w:eastAsia="Arial" w:hAnsi="Arial"/>
          <w:sz w:val="18"/>
          <w:szCs w:val="18"/>
          <w:color w:val="auto"/>
        </w:rPr>
      </w:pPr>
    </w:p>
    <w:p>
      <w:pPr>
        <w:ind w:left="520" w:right="42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 and our expectations regarding the outcome of any regulatory or legal proceedings;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500" w:hanging="31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 and</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5" w:right="51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123,469</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112,271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120,147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167,633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279,560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 current assets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31,763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33,755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 current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Common stock, $0.01 par value -- 125,000,000 shares authorized, 61,458,790 and</w:t>
            </w:r>
          </w:p>
        </w:tc>
        <w:tc>
          <w:tcPr>
            <w:tcW w:w="34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61,307,428 shares outstanding at June 30, 2022 and December 31, 2021, respectively</w:t>
            </w:r>
          </w:p>
        </w:tc>
        <w:tc>
          <w:tcPr>
            <w:tcW w:w="34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1,223,875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1,213,002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(973,936)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218,043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Collaborative and other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16,863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27,168</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42,352</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Contract manufacturing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agreements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47,638</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Cost of product sales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manufacturing services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51,744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55,780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108,901</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30,270</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139,210</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(91,572)</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(91,207)</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(91,199)</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Basic and diluted weighted average common shares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61,384,943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60,068,315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58,643,496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900" w:type="dxa"/>
            <w:vAlign w:val="bottom"/>
            <w:gridSpan w:val="4"/>
            <w:vMerge w:val="restart"/>
          </w:tcPr>
          <w:p>
            <w:pPr>
              <w:jc w:val="right"/>
              <w:ind w:right="3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00" w:type="dxa"/>
            <w:vAlign w:val="bottom"/>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8"/>
                <w:szCs w:val="8"/>
                <w:color w:val="auto"/>
              </w:rPr>
            </w:pPr>
          </w:p>
        </w:tc>
        <w:tc>
          <w:tcPr>
            <w:tcW w:w="126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1140" w:type="dxa"/>
            <w:vAlign w:val="bottom"/>
          </w:tcPr>
          <w:p>
            <w:pPr>
              <w:jc w:val="center"/>
              <w:ind w:right="95"/>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61,307,428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Unrealized loss on investments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(66,443)</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61,333,074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1,218,263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(1,040,379)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178,214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tcPr>
          <w:p>
            <w:pPr>
              <w:jc w:val="right"/>
              <w:spacing w:after="0"/>
              <w:rPr>
                <w:sz w:val="20"/>
                <w:szCs w:val="20"/>
                <w:color w:val="auto"/>
              </w:rPr>
            </w:pPr>
            <w:r>
              <w:rPr>
                <w:rFonts w:ascii="Arial" w:cs="Arial" w:eastAsia="Arial" w:hAnsi="Arial"/>
                <w:sz w:val="18"/>
                <w:szCs w:val="18"/>
                <w:color w:val="auto"/>
              </w:rPr>
              <w:t>125,716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(41,304)</w:t>
            </w:r>
          </w:p>
        </w:tc>
        <w:tc>
          <w:tcPr>
            <w:tcW w:w="0" w:type="dxa"/>
            <w:vAlign w:val="bottom"/>
          </w:tcPr>
          <w:p>
            <w:pPr>
              <w:spacing w:after="0"/>
              <w:rPr>
                <w:sz w:val="1"/>
                <w:szCs w:val="1"/>
                <w:color w:val="auto"/>
              </w:rPr>
            </w:pPr>
          </w:p>
        </w:tc>
      </w:tr>
      <w:tr>
        <w:trPr>
          <w:trHeight w:val="24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61,458,790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12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04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1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1260" w:type="dxa"/>
            <w:vAlign w:val="bottom"/>
          </w:tcPr>
          <w:p>
            <w:pPr>
              <w:jc w:val="center"/>
              <w:ind w:right="134"/>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0"/>
                <w:szCs w:val="10"/>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0"/>
                <w:szCs w:val="10"/>
                <w:color w:val="auto"/>
              </w:rPr>
            </w:pPr>
          </w:p>
        </w:tc>
        <w:tc>
          <w:tcPr>
            <w:tcW w:w="12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3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56,244,771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 net of offering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tcPr>
          <w:p>
            <w:pPr>
              <w:jc w:val="right"/>
              <w:spacing w:after="0"/>
              <w:rPr>
                <w:sz w:val="20"/>
                <w:szCs w:val="20"/>
                <w:color w:val="auto"/>
              </w:rPr>
            </w:pPr>
            <w:r>
              <w:rPr>
                <w:rFonts w:ascii="Arial" w:cs="Arial" w:eastAsia="Arial" w:hAnsi="Arial"/>
                <w:sz w:val="18"/>
                <w:szCs w:val="18"/>
                <w:color w:val="auto"/>
              </w:rPr>
              <w:t>144,249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(51,272)</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60,011,206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Unrealized loss on investments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60,133,447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(863,028)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319,045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(107,747)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(91,207)</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5,510</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marketable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11,356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(6,476)</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Other non current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4,404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5,365</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(74,726)</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(117,546)</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sale and maturities of marketable securities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82,440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99,800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and software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(20,439)</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offering costs</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98,200</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 and ESPP Purchases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103,004</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Property, equipment and software included in accounts payable or accruals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7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the Company or its collaborators. These product candidates include multiple immuno-oncology programs, some of which were created primarily using the Company’s proprietary, antibody-based technology platforms. The Company believes its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17" w:lineRule="exact"/>
        <w:rPr>
          <w:sz w:val="20"/>
          <w:szCs w:val="20"/>
          <w:color w:val="auto"/>
        </w:rPr>
      </w:pPr>
    </w:p>
    <w:p>
      <w:pPr>
        <w:ind w:right="500" w:firstLine="648"/>
        <w:spacing w:after="0" w:line="308" w:lineRule="auto"/>
        <w:rPr>
          <w:sz w:val="20"/>
          <w:szCs w:val="20"/>
          <w:color w:val="auto"/>
        </w:rPr>
      </w:pPr>
      <w:r>
        <w:rPr>
          <w:rFonts w:ascii="Arial" w:cs="Arial" w:eastAsia="Arial" w:hAnsi="Arial"/>
          <w:sz w:val="16"/>
          <w:szCs w:val="16"/>
          <w:color w:val="auto"/>
        </w:rPr>
        <w:t>As a biotechnology company, the Company has primarily funded its operations with proceeds from the sale of its common stock in equity offerings, revenue from its multiple collaboration agreements, and contracts and grants from the National Institute of Allergy and Infectious Diseases</w:t>
      </w:r>
    </w:p>
    <w:p>
      <w:pPr>
        <w:ind w:right="260"/>
        <w:spacing w:after="0" w:line="308" w:lineRule="auto"/>
        <w:rPr>
          <w:sz w:val="20"/>
          <w:szCs w:val="20"/>
          <w:color w:val="auto"/>
        </w:rPr>
      </w:pPr>
      <w:r>
        <w:rPr>
          <w:rFonts w:ascii="Arial" w:cs="Arial" w:eastAsia="Arial" w:hAnsi="Arial"/>
          <w:sz w:val="16"/>
          <w:szCs w:val="16"/>
          <w:color w:val="auto"/>
        </w:rPr>
        <w:t>(NIAID).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w:t>
      </w:r>
    </w:p>
    <w:p>
      <w:pPr>
        <w:ind w:right="40"/>
        <w:spacing w:after="0" w:line="271" w:lineRule="auto"/>
        <w:rPr>
          <w:sz w:val="20"/>
          <w:szCs w:val="20"/>
          <w:color w:val="auto"/>
        </w:rPr>
      </w:pPr>
      <w:r>
        <w:rPr>
          <w:rFonts w:ascii="Arial" w:cs="Arial" w:eastAsia="Arial" w:hAnsi="Arial"/>
          <w:sz w:val="17"/>
          <w:szCs w:val="17"/>
          <w:color w:val="auto"/>
        </w:rPr>
        <w:t>collaborations or other arrangements, and product sales.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It is considered probable that the Company can successfully implement efforts to manage uncommitted spending and carry out necessary cost saving measures, including from our recently announced corporate restructuring plan. Therefore, based on the Company’s most recent cash flow forecast, the Company believes its current resources are sufficient to fund its operating plans for a minimum of twelve months from the date that this Quarterly Report on Form 10-Q was filed.</w:t>
      </w:r>
    </w:p>
    <w:p>
      <w:pPr>
        <w:spacing w:after="0" w:line="12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Similar to the other risk factors pertinent to the Company's business, the COVID-19 pandemic and geopolitical tensions, including the ongoing military conflict between Russia and Ukraine and the related sanctions imposed against Russia, and related global slowdown of economic activity, decades-high inflation, rising interest rates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420" w:firstLine="648"/>
        <w:spacing w:after="0" w:line="301" w:lineRule="auto"/>
        <w:rPr>
          <w:sz w:val="20"/>
          <w:szCs w:val="20"/>
          <w:color w:val="auto"/>
        </w:rPr>
      </w:pPr>
      <w:r>
        <w:rPr>
          <w:rFonts w:ascii="Arial" w:cs="Arial" w:eastAsia="Arial" w:hAnsi="Arial"/>
          <w:sz w:val="16"/>
          <w:szCs w:val="16"/>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2021 Annual Report on Form 10-K filed with the Securities and Exchange Commission (SEC) on February 24,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six months ended June 30, 2022, there have been no material changes to the significant accounting policies previously disclosed in the Company’s Annual Report on Form 10-K for the year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There were no new accounting pronouncements that were issued or became effective since the issuance of the Company’s 2021 Annual Report on Form 10-K that had, or are expected to have, a material impact on its consolidated financial position,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6"/>
          <w:szCs w:val="16"/>
          <w:color w:val="000000"/>
        </w:rPr>
        <w:t>The Company accounts for recurring and non-recurring fair value measurements in</w:t>
      </w:r>
      <w:r>
        <w:rPr>
          <w:rFonts w:ascii="Arial" w:cs="Arial" w:eastAsia="Arial" w:hAnsi="Arial"/>
          <w:sz w:val="16"/>
          <w:szCs w:val="16"/>
          <w:color w:val="252525"/>
        </w:rPr>
        <w:t xml:space="preserve"> </w:t>
      </w:r>
      <w:r>
        <w:rPr>
          <w:rFonts w:ascii="Arial" w:cs="Arial" w:eastAsia="Arial" w:hAnsi="Arial"/>
          <w:sz w:val="16"/>
          <w:szCs w:val="16"/>
          <w:color w:val="000000"/>
        </w:rPr>
        <w:t xml:space="preserve">accordance with the Financial Accounting Standards Board (FASB) Accounting Standards Codification (ASC) 820, </w:t>
      </w:r>
      <w:r>
        <w:rPr>
          <w:rFonts w:ascii="Arial" w:cs="Arial" w:eastAsia="Arial" w:hAnsi="Arial"/>
          <w:sz w:val="16"/>
          <w:szCs w:val="16"/>
          <w:i w:val="1"/>
          <w:iCs w:val="1"/>
          <w:color w:val="000000"/>
        </w:rPr>
        <w:t>Fair Value Measurements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Disclosures </w:t>
      </w:r>
      <w:r>
        <w:rPr>
          <w:rFonts w:ascii="Arial" w:cs="Arial" w:eastAsia="Arial" w:hAnsi="Arial"/>
          <w:sz w:val="16"/>
          <w:szCs w:val="16"/>
          <w:color w:val="000000"/>
        </w:rPr>
        <w:t>(ASC 820). ASC 820 defines fair value, establishes a fair value hierarchy for assets and liabilities measured at fair value, and requires</w:t>
      </w:r>
      <w:r>
        <w:rPr>
          <w:rFonts w:ascii="Arial" w:cs="Arial" w:eastAsia="Arial" w:hAnsi="Arial"/>
          <w:sz w:val="16"/>
          <w:szCs w:val="16"/>
          <w:i w:val="1"/>
          <w:iCs w:val="1"/>
          <w:color w:val="000000"/>
        </w:rPr>
        <w:t xml:space="preserve"> </w:t>
      </w:r>
      <w:r>
        <w:rPr>
          <w:rFonts w:ascii="Arial" w:cs="Arial" w:eastAsia="Arial" w:hAnsi="Arial"/>
          <w:sz w:val="16"/>
          <w:szCs w:val="16"/>
          <w:color w:val="000000"/>
        </w:rPr>
        <w:t>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40"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8"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Arial" w:cs="Arial" w:eastAsia="Arial" w:hAnsi="Arial"/>
          <w:sz w:val="16"/>
          <w:szCs w:val="16"/>
          <w:color w:val="252525"/>
        </w:rPr>
        <w:t>There were no transfers between levels during the periods presented.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Fair Value Measurements at June 30, 2022</w:t>
            </w:r>
          </w:p>
        </w:tc>
        <w:tc>
          <w:tcPr>
            <w:tcW w:w="136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8,162</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8,162</w:t>
            </w:r>
          </w:p>
        </w:tc>
        <w:tc>
          <w:tcPr>
            <w:tcW w:w="2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105,837</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48"/>
        </w:trPr>
        <w:tc>
          <w:tcPr>
            <w:tcW w:w="50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113,999</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Arial" w:cs="Arial" w:eastAsia="Arial" w:hAnsi="Arial"/>
                <w:sz w:val="18"/>
                <w:szCs w:val="18"/>
                <w:b w:val="1"/>
                <w:bCs w:val="1"/>
                <w:color w:val="auto"/>
              </w:rPr>
              <w:t>Fair Value Measurements at December 31, 2021</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17,202</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17,202</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143,348</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98,334</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45,014</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60" w:right="460" w:hanging="252"/>
        <w:spacing w:after="0" w:line="277"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measured at fair value at June 30, 2022 includes approximately $8.2 million reported in cash and cash equivalents on the consolidated balance sheet.</w:t>
      </w:r>
    </w:p>
    <w:p>
      <w:pPr>
        <w:spacing w:after="0" w:line="170" w:lineRule="exact"/>
        <w:rPr>
          <w:rFonts w:ascii="Arial" w:cs="Arial" w:eastAsia="Arial" w:hAnsi="Arial"/>
          <w:sz w:val="18"/>
          <w:szCs w:val="18"/>
          <w:color w:val="auto"/>
        </w:rPr>
      </w:pPr>
    </w:p>
    <w:p>
      <w:pPr>
        <w:ind w:left="260" w:right="920" w:hanging="252"/>
        <w:spacing w:after="0" w:line="277"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2021 includes approximately $23.2 million reported in cash and cash equivalents on the consolidated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Amortized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line="169" w:lineRule="exact"/>
              <w:rPr>
                <w:sz w:val="20"/>
                <w:szCs w:val="20"/>
                <w:color w:val="auto"/>
              </w:rPr>
            </w:pPr>
            <w:r>
              <w:rPr>
                <w:rFonts w:ascii="Arial" w:cs="Arial" w:eastAsia="Arial" w:hAnsi="Arial"/>
                <w:sz w:val="18"/>
                <w:szCs w:val="18"/>
                <w:b w:val="1"/>
                <w:bCs w:val="1"/>
                <w:color w:val="auto"/>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720"/>
              <w:spacing w:after="0" w:line="169" w:lineRule="exact"/>
              <w:rPr>
                <w:sz w:val="20"/>
                <w:szCs w:val="20"/>
                <w:color w:val="auto"/>
              </w:rPr>
            </w:pPr>
            <w:r>
              <w:rPr>
                <w:rFonts w:ascii="Arial" w:cs="Arial" w:eastAsia="Arial" w:hAnsi="Arial"/>
                <w:sz w:val="18"/>
                <w:szCs w:val="18"/>
                <w:b w:val="1"/>
                <w:bCs w:val="1"/>
                <w:color w:val="auto"/>
              </w:rPr>
              <w:t>Gross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4"/>
          </w:tcPr>
          <w:p>
            <w:pPr>
              <w:jc w:val="right"/>
              <w:ind w:right="560"/>
              <w:spacing w:after="0" w:line="176" w:lineRule="exact"/>
              <w:rPr>
                <w:sz w:val="20"/>
                <w:szCs w:val="20"/>
                <w:color w:val="auto"/>
              </w:rPr>
            </w:pPr>
            <w:r>
              <w:rPr>
                <w:rFonts w:ascii="Arial" w:cs="Arial" w:eastAsia="Arial" w:hAnsi="Arial"/>
                <w:sz w:val="18"/>
                <w:szCs w:val="18"/>
                <w:b w:val="1"/>
                <w:bCs w:val="1"/>
                <w:color w:val="auto"/>
              </w:rPr>
              <w:t>Unrealized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20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Cost</w:t>
            </w:r>
          </w:p>
        </w:tc>
        <w:tc>
          <w:tcPr>
            <w:tcW w:w="1840" w:type="dxa"/>
            <w:vAlign w:val="bottom"/>
            <w:gridSpan w:val="4"/>
          </w:tcPr>
          <w:p>
            <w:pPr>
              <w:ind w:left="640"/>
              <w:spacing w:after="0"/>
              <w:rPr>
                <w:sz w:val="20"/>
                <w:szCs w:val="20"/>
                <w:color w:val="auto"/>
              </w:rPr>
            </w:pPr>
            <w:r>
              <w:rPr>
                <w:rFonts w:ascii="Arial" w:cs="Arial" w:eastAsia="Arial" w:hAnsi="Arial"/>
                <w:sz w:val="18"/>
                <w:szCs w:val="18"/>
                <w:b w:val="1"/>
                <w:bCs w:val="1"/>
                <w:color w:val="auto"/>
              </w:rPr>
              <w:t>Gains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U.S. Treasury securities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105,837</w:t>
            </w:r>
          </w:p>
        </w:tc>
        <w:tc>
          <w:tcPr>
            <w:tcW w:w="0" w:type="dxa"/>
            <w:vAlign w:val="bottom"/>
          </w:tcPr>
          <w:p>
            <w:pPr>
              <w:spacing w:after="0"/>
              <w:rPr>
                <w:sz w:val="1"/>
                <w:szCs w:val="1"/>
                <w:color w:val="auto"/>
              </w:rPr>
            </w:pPr>
          </w:p>
        </w:tc>
      </w:tr>
      <w:tr>
        <w:trPr>
          <w:trHeight w:val="230"/>
        </w:trPr>
        <w:tc>
          <w:tcPr>
            <w:tcW w:w="3240" w:type="dxa"/>
            <w:vAlign w:val="bottom"/>
          </w:tcPr>
          <w:p>
            <w:pPr>
              <w:ind w:left="680"/>
              <w:spacing w:after="0"/>
              <w:rPr>
                <w:sz w:val="20"/>
                <w:szCs w:val="20"/>
                <w:color w:val="auto"/>
              </w:rPr>
            </w:pPr>
            <w:r>
              <w:rPr>
                <w:rFonts w:ascii="Arial" w:cs="Arial" w:eastAsia="Arial" w:hAnsi="Arial"/>
                <w:sz w:val="18"/>
                <w:szCs w:val="18"/>
                <w:color w:val="auto"/>
              </w:rPr>
              <w:t>Corporate debt securities</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5"/>
              </w:rPr>
              <w:t>Amortized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gridSpan w:val="2"/>
          </w:tcPr>
          <w:p>
            <w:pPr>
              <w:jc w:val="center"/>
              <w:ind w:right="40"/>
              <w:spacing w:after="0" w:line="169" w:lineRule="exact"/>
              <w:rPr>
                <w:sz w:val="20"/>
                <w:szCs w:val="20"/>
                <w:color w:val="auto"/>
              </w:rPr>
            </w:pPr>
            <w:r>
              <w:rPr>
                <w:rFonts w:ascii="Arial" w:cs="Arial" w:eastAsia="Arial" w:hAnsi="Arial"/>
                <w:sz w:val="18"/>
                <w:szCs w:val="18"/>
                <w:b w:val="1"/>
                <w:bCs w:val="1"/>
                <w:color w:val="auto"/>
                <w:w w:val="88"/>
              </w:rPr>
              <w:t>Gross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5"/>
                <w:szCs w:val="15"/>
                <w:color w:val="auto"/>
              </w:rPr>
            </w:pPr>
          </w:p>
        </w:tc>
        <w:tc>
          <w:tcPr>
            <w:tcW w:w="1260" w:type="dxa"/>
            <w:vAlign w:val="bottom"/>
            <w:gridSpan w:val="5"/>
          </w:tcPr>
          <w:p>
            <w:pPr>
              <w:jc w:val="center"/>
              <w:ind w:right="40"/>
              <w:spacing w:after="0" w:line="176" w:lineRule="exact"/>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Cost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0"/>
              </w:rPr>
              <w:t>Losses</w:t>
            </w: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81,184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Government-sponsored enterprises</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7,739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31,285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120,208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All available-for-sale marketable debt securities held as of June 30, 2022 and December 31, 2021 had contractual maturities of less than one year. All of the Company's available-for-sale marketable debt securities in an unrealized loss position as of June 30, 2022 and December 31, 2021 were in a loss position for less than twelve months. Unrealized losses on available-for-sale debt securities as of June 30, 2022 and December 31, 2021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1" w:name="page12"/>
    <w:bookmarkEnd w:id="11"/>
    <w:p>
      <w:pPr>
        <w:ind w:right="260"/>
        <w:spacing w:after="0" w:line="277" w:lineRule="auto"/>
        <w:rPr>
          <w:sz w:val="20"/>
          <w:szCs w:val="20"/>
          <w:color w:val="auto"/>
        </w:rPr>
      </w:pPr>
      <w:r>
        <w:rPr>
          <w:rFonts w:ascii="Arial" w:cs="Arial" w:eastAsia="Arial" w:hAnsi="Arial"/>
          <w:sz w:val="18"/>
          <w:szCs w:val="18"/>
          <w:color w:val="auto"/>
        </w:rPr>
        <w:t>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 Net</w:t>
      </w:r>
    </w:p>
    <w:p>
      <w:pPr>
        <w:spacing w:after="0" w:line="175"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All of the Company's inventory relates to the manufacturing of MARGENZA. The following table sets forth the Company's net inventory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 net</w:t>
            </w:r>
          </w:p>
        </w:tc>
        <w:tc>
          <w:tcPr>
            <w:tcW w:w="1660" w:type="dxa"/>
            <w:vAlign w:val="bottom"/>
            <w:tcBorders>
              <w:bottom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Prior to U.S. Food and Drug Administration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June 30, 2022 and December 31, 2021 is net of a reserve of $3.1 million and $2.0 million, respectively, for unsaleable inventory.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six months ended June 30, 2021, the Company sold 3,622,186 shares of common stock at a weighted average price per share of $27.60, resulting in net proceeds of approximately $98.2 million, net of underwriting discounts and commissions and other offering expenses.</w:t>
      </w:r>
    </w:p>
    <w:p>
      <w:pPr>
        <w:spacing w:after="0" w:line="1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The Company has not sold any shares of common stock related to Amendment No. 1 to the Sales Agreement as of June 30, 2022.</w:t>
      </w:r>
    </w:p>
    <w:p>
      <w:pPr>
        <w:spacing w:after="0" w:line="1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the consideration for the rights granted to Zai Lab US LLC under the collaboration and license agreement described more fully in Note 7, Revenue, the Company and Zai Lab US LLC entered into a separate stock purchase agreement (Stock Purchase Agreement) in June 2021. Under this Stock Purchase Agreement, Zai Lab US LLC paid the Company approximately $30.0 million to purchase 958,467 newly issued shares of the Company's common stock, par value $0.01, at a fixed price of $31.30 which represented a $10.4 million premium over the share price on the Stock Purchase Agreement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and Other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Incyte License Agreement</w:t>
      </w:r>
    </w:p>
    <w:p>
      <w:pPr>
        <w:spacing w:after="0" w:line="17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2017, the Company entered into an exclusive global collaboration and license agreement with Incyte Corporation (Incyte)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July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retifanlimab in potentially registration-enabling studies beyond squamous cell carcinoma of the anal canal, including in patients with MSI-high endometrial</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cancer, Merkel cell carcinoma and non-small cell lung cancer. Incyte is also pursuing development of retifanlimab in combination with multiple product candidates from its pipeline. In April 2022, the Company and Incyte executed an amendment to the Incyte License Agreement to add a milestone for U.S. approval of retifanlimab in a specific indication and to exclude certain other regulatory and development achievements with retifanlimab in this same indication from the milestone events of the Incyte License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terms of the Incyte License Agreement, as amended, Incyte will lead global development of retifanlimab. Assuming successful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commercialization by Incyte, the Company could receive up to $435.0 million in development and regulatory milestones and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$330.0 million in commercial milestones. From the inception of the Incyte License Agreement through </w:t>
      </w:r>
      <w:r>
        <w:rPr>
          <w:rFonts w:ascii="Arial" w:cs="Arial" w:eastAsia="Arial" w:hAnsi="Arial"/>
          <w:sz w:val="16"/>
          <w:szCs w:val="16"/>
          <w:color w:val="252525"/>
        </w:rPr>
        <w:t>June 30, 2022</w:t>
      </w:r>
      <w:r>
        <w:rPr>
          <w:rFonts w:ascii="Arial" w:cs="Arial" w:eastAsia="Arial" w:hAnsi="Arial"/>
          <w:sz w:val="16"/>
          <w:szCs w:val="16"/>
          <w:color w:val="auto"/>
        </w:rPr>
        <w:t>, the Company has recognized $70.0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development milestones under the Incyte License Agreement. In July 2022, the Company and Incyte further amended the Incyte License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to reflect changes related to the payment of certain milestones and the Company received $30.0 million in milestone payments from Incyte.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retifanlimab is approved and commercialized, the Company would be eligible to receive tiered royalties of 15% to 24% on any global net sales.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retains the right to develop its pipeline assets in combination with retifanlimab, with Incyte commercializing retifanlimab and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commercializing its asset(s), if any such potential combinations are approved. In addition, the Company retains the right to manufacture a portion of both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global commercial supply needs of retifanlimab, subject to the separate commercial supply agreement.</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 xml:space="preserve">The Company evaluated the Incyte License Agreement under the provisions of Accounting Standards Codification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(ASC 606) and identified the following two performance obligations under the agreement: (i) the license of retifanlimab and (ii)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Arial" w:cs="Arial" w:eastAsia="Arial" w:hAnsi="Arial"/>
          <w:sz w:val="16"/>
          <w:szCs w:val="16"/>
          <w:color w:val="252525"/>
        </w:rPr>
        <w:t>June 30, 2022</w:t>
      </w:r>
      <w:r>
        <w:rPr>
          <w:rFonts w:ascii="Arial" w:cs="Arial" w:eastAsia="Arial" w:hAnsi="Arial"/>
          <w:sz w:val="16"/>
          <w:szCs w:val="16"/>
          <w:color w:val="auto"/>
        </w:rPr>
        <w:t xml:space="preserve">, it became probable that a significant reversal of cumulative revenue would not occur for development milestones totaling $70.0 million related to </w:t>
      </w:r>
      <w:r>
        <w:rPr>
          <w:rFonts w:ascii="Arial" w:cs="Arial" w:eastAsia="Arial" w:hAnsi="Arial"/>
          <w:sz w:val="16"/>
          <w:szCs w:val="16"/>
          <w:color w:val="252525"/>
        </w:rPr>
        <w:t>clinical and regulatory activities related to the further advancement of retifanlimab, including Incyte’s initiation of a Phase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252525"/>
        </w:rPr>
        <w:t>3 clinical trial</w:t>
      </w:r>
      <w:r>
        <w:rPr>
          <w:rFonts w:ascii="Arial" w:cs="Arial" w:eastAsia="Arial" w:hAnsi="Arial"/>
          <w:sz w:val="18"/>
          <w:szCs w:val="18"/>
          <w:color w:val="000000"/>
        </w:rPr>
        <w:t>. Therefore, the associated consideration was added to the estimated transaction price and was recognized as revenue</w:t>
      </w:r>
      <w:r>
        <w:rPr>
          <w:rFonts w:ascii="Arial" w:cs="Arial" w:eastAsia="Arial" w:hAnsi="Arial"/>
          <w:sz w:val="21"/>
          <w:szCs w:val="21"/>
          <w:color w:val="252525"/>
        </w:rPr>
        <w:t>.</w:t>
      </w:r>
    </w:p>
    <w:p>
      <w:pPr>
        <w:spacing w:after="0" w:line="244"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No revenue was recognized under the Incyte License Agreement during the three and six months ended June 30, 2022. $5.0 million and $15.0 million in milestone revenue was recognized under the Incyte License Agreement during the three and six months ended June 30, 2021, respectively.</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Clinical Supply Agreement</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ind w:right="180"/>
        <w:spacing w:after="0" w:line="311" w:lineRule="auto"/>
        <w:rPr>
          <w:sz w:val="20"/>
          <w:szCs w:val="20"/>
          <w:color w:val="auto"/>
        </w:rPr>
      </w:pPr>
      <w:r>
        <w:rPr>
          <w:rFonts w:ascii="Arial" w:cs="Arial" w:eastAsia="Arial" w:hAnsi="Arial"/>
          <w:sz w:val="16"/>
          <w:szCs w:val="16"/>
          <w:color w:val="auto"/>
        </w:rPr>
        <w:t>related to the manufacturing services. During the three months ended June 30, 2022 and 2021, the Company recognized revenue of $0.2 million and $0.7 million, respectively, for services performed under the Incyte Clinical Supply Agreement. During the six months ended June 30, 2022 and 2021, the Company recognized revenue of $0.5 million and $0.8 million, respectively, for services performed under the Incyte Clinical Supply Agreement.</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Commercial Supply Agreement</w:t>
      </w:r>
    </w:p>
    <w:p>
      <w:pPr>
        <w:spacing w:after="0" w:line="171" w:lineRule="exact"/>
        <w:rPr>
          <w:sz w:val="20"/>
          <w:szCs w:val="20"/>
          <w:color w:val="auto"/>
        </w:rPr>
      </w:pPr>
    </w:p>
    <w:p>
      <w:pPr>
        <w:ind w:right="80" w:firstLine="756"/>
        <w:spacing w:after="0" w:line="269" w:lineRule="auto"/>
        <w:rPr>
          <w:sz w:val="20"/>
          <w:szCs w:val="20"/>
          <w:color w:val="auto"/>
        </w:rPr>
      </w:pPr>
      <w:r>
        <w:rPr>
          <w:rFonts w:ascii="Arial" w:cs="Arial" w:eastAsia="Arial" w:hAnsi="Arial"/>
          <w:sz w:val="17"/>
          <w:szCs w:val="17"/>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the Incyte Commercial Supply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costs incurred) related to the manufacturing services. During the three months ended June 30, 2022 and 2021, the Company recognized $0.3 million and $2.8 million, respectively, for services performed under the Incyte Commercial Supply Agreement. During the six months ended June 30, 2022 and 2021, the Company recognized $0.3 million and $5.9 million, respectively, for services performed under the Incyte Commercial Supply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 Limited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Zai Lab Agreement</w:t>
      </w:r>
    </w:p>
    <w:p>
      <w:pPr>
        <w:spacing w:after="0" w:line="17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Company that they have decided to discontinue development of tebotelimab for indications they were enrolling in their territory and is evaluating future development plans in other indications.</w:t>
      </w:r>
    </w:p>
    <w:p>
      <w:pPr>
        <w:spacing w:after="0" w:line="1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June 30, 2022.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occur, as they were determined to relate predominantly to the license granted to Zai Lab and, therefore, have also been excluded from the transaction price.</w:t>
      </w:r>
    </w:p>
    <w:p>
      <w:pPr>
        <w:spacing w:after="0" w:line="19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Company re-assesses the transaction price in each reporting period and when events whose outcomes are resolved or other changes in circumstances occur. From 2020 through </w:t>
      </w:r>
      <w:r>
        <w:rPr>
          <w:rFonts w:ascii="Arial" w:cs="Arial" w:eastAsia="Arial" w:hAnsi="Arial"/>
          <w:sz w:val="17"/>
          <w:szCs w:val="17"/>
          <w:color w:val="252525"/>
        </w:rPr>
        <w:t>June 30, 2022</w:t>
      </w:r>
      <w:r>
        <w:rPr>
          <w:rFonts w:ascii="Arial" w:cs="Arial" w:eastAsia="Arial" w:hAnsi="Arial"/>
          <w:sz w:val="17"/>
          <w:szCs w:val="17"/>
          <w:color w:val="auto"/>
        </w:rPr>
        <w:t>, it became probable that a significant reversal of cumulative revenue would not occur for development and regulatory milestones totaling $9.0 million. Therefore, the associated consideration was added to the estimated transaction price and was recognized as revenue</w:t>
      </w:r>
      <w:r>
        <w:rPr>
          <w:rFonts w:ascii="Arial" w:cs="Arial" w:eastAsia="Arial" w:hAnsi="Arial"/>
          <w:sz w:val="17"/>
          <w:szCs w:val="17"/>
          <w:color w:val="252525"/>
        </w:rPr>
        <w:t>. Of this</w:t>
      </w:r>
      <w:r>
        <w:rPr>
          <w:rFonts w:ascii="Arial" w:cs="Arial" w:eastAsia="Arial" w:hAnsi="Arial"/>
          <w:sz w:val="17"/>
          <w:szCs w:val="17"/>
          <w:color w:val="auto"/>
        </w:rPr>
        <w:t xml:space="preserve"> $9.0 million</w:t>
      </w:r>
      <w:r>
        <w:rPr>
          <w:rFonts w:ascii="Arial" w:cs="Arial" w:eastAsia="Arial" w:hAnsi="Arial"/>
          <w:sz w:val="17"/>
          <w:szCs w:val="17"/>
          <w:color w:val="252525"/>
        </w:rPr>
        <w:t>,</w:t>
      </w:r>
      <w:r>
        <w:rPr>
          <w:rFonts w:ascii="Arial" w:cs="Arial" w:eastAsia="Arial" w:hAnsi="Arial"/>
          <w:sz w:val="17"/>
          <w:szCs w:val="17"/>
          <w:color w:val="auto"/>
        </w:rPr>
        <w:t xml:space="preserve"> $5.0 million </w:t>
      </w:r>
      <w:r>
        <w:rPr>
          <w:rFonts w:ascii="Arial" w:cs="Arial" w:eastAsia="Arial" w:hAnsi="Arial"/>
          <w:sz w:val="17"/>
          <w:szCs w:val="17"/>
          <w:color w:val="252525"/>
        </w:rPr>
        <w:t>was recognized as revenue</w:t>
      </w:r>
      <w:r>
        <w:rPr>
          <w:rFonts w:ascii="Arial" w:cs="Arial" w:eastAsia="Arial" w:hAnsi="Arial"/>
          <w:sz w:val="17"/>
          <w:szCs w:val="17"/>
          <w:color w:val="auto"/>
        </w:rPr>
        <w:t xml:space="preserve"> during the six months ended June 30, 2022. During the three and six months ended June 30, 2022, the Company recognized $0.4 million and $5.4 million, respectively, under the 2018 Zai Lab Agreement. No revenue was recognized during the three and six months ended June 30, 2021 under the 2018 Zai Lab Agreement.</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Zai Lab Clinical Supply Agreements</w:t>
      </w:r>
    </w:p>
    <w:p>
      <w:pPr>
        <w:spacing w:after="0" w:line="17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 During the three months ended June 30, 2022 and 2021, the Company recognized revenue of $0.1 million and $0.5 million, respectively, related to the Zai Lab Clinical Supply Agreements. During the six months ended June 30, 2022 and 2021, the Company recognized revenue of $0.3 million and $1.6 million, respectively, related to the Zai Lab Clinical Supply Agreements.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Zai Lab Agreement</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Under the Lead Program, Zai Lab received an option upon reaching a predefined clinical milestone to convert the regional arrangement into a global 50/50 profit share. If Zai Lab elects such option, Zai Lab is to pay the Company $85.0 million plus any research costs incurred by both parties as of the option election date. Zai Lab also obtained exclusive, global licenses from the Company to develop, manufacture and commercialize two additional molecules. Zai Lab granted the Company a worldwide, royalty-free, co-exclusive license to conduct the development activities allocated to the Company.</w:t>
      </w:r>
    </w:p>
    <w:p>
      <w:pPr>
        <w:spacing w:after="0" w:line="11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Under the terms of the 2021 Zai Lab Agreement, the Lead Program includes joint research and development services by both the Company and Zai Lab. For the other programs, Zai Lab can separately negotiate and agree with the Company to perform research and development services in the future.</w:t>
      </w:r>
    </w:p>
    <w:p>
      <w:pPr>
        <w:spacing w:after="0" w:line="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par value $0.01, at a fixed price of $31.30 which represented a $10.4 million premium over the share price on the Stock Purchase Agreement date.</w:t>
      </w:r>
    </w:p>
    <w:p>
      <w:pPr>
        <w:spacing w:after="0" w:line="10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Assuming successful development and commercialization of the Programs, the Company could receive up to approximately $800.0 million in development and regulatory milestones and $600.0 million in commercial milestones. In addition, Zai Lab would pay the Company tiered royalties at percentage rates of low double digit teens on annual net sales of certain specified products and of mid-single digits to low double digit teens on annual net sales of other specified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0" w:right="399" w:bottom="1440" w:gutter="0" w:footer="0" w:header="0"/>
        </w:sectPr>
      </w:pPr>
    </w:p>
    <w:bookmarkStart w:id="15" w:name="page16"/>
    <w:bookmarkEnd w:id="15"/>
    <w:p>
      <w:pPr>
        <w:ind w:right="40" w:firstLine="648"/>
        <w:spacing w:after="0" w:line="271" w:lineRule="auto"/>
        <w:rPr>
          <w:sz w:val="20"/>
          <w:szCs w:val="20"/>
          <w:color w:val="auto"/>
        </w:rPr>
      </w:pPr>
      <w:r>
        <w:rPr>
          <w:rFonts w:ascii="Arial" w:cs="Arial" w:eastAsia="Arial" w:hAnsi="Arial"/>
          <w:sz w:val="17"/>
          <w:szCs w:val="17"/>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13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13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Revenue related to the Lead Program license and related research and development services performance obligation is being recognized over time as the research and development activities are performed. The Company will utilize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three months ended June 30, 2022 and 2021, the Company recognized revenue of $14.7 million and $14.4 million, respectively, under the 2021 Zai Lab Agreement. During the six months ended June 30, 2022 and 2021, the Company recognized revenue of $15.0 million and $14.4 million, respectively, under the 2021 Zai Lab Agreement. As of </w:t>
      </w:r>
      <w:r>
        <w:rPr>
          <w:rFonts w:ascii="Arial" w:cs="Arial" w:eastAsia="Arial" w:hAnsi="Arial"/>
          <w:sz w:val="16"/>
          <w:szCs w:val="16"/>
          <w:color w:val="252525"/>
        </w:rPr>
        <w:t>June 30, 2022, $1.8 million</w:t>
      </w:r>
      <w:r>
        <w:rPr>
          <w:rFonts w:ascii="Arial" w:cs="Arial" w:eastAsia="Arial" w:hAnsi="Arial"/>
          <w:sz w:val="16"/>
          <w:szCs w:val="16"/>
          <w:color w:val="auto"/>
        </w:rPr>
        <w:t xml:space="preserve"> in </w:t>
      </w:r>
      <w:r>
        <w:rPr>
          <w:rFonts w:ascii="Arial" w:cs="Arial" w:eastAsia="Arial" w:hAnsi="Arial"/>
          <w:sz w:val="16"/>
          <w:szCs w:val="16"/>
          <w:color w:val="252525"/>
        </w:rPr>
        <w:t>revenue was deferred under the agreement, all of</w:t>
      </w:r>
      <w:r>
        <w:rPr>
          <w:rFonts w:ascii="Arial" w:cs="Arial" w:eastAsia="Arial" w:hAnsi="Arial"/>
          <w:sz w:val="16"/>
          <w:szCs w:val="16"/>
          <w:color w:val="auto"/>
        </w:rPr>
        <w:t xml:space="preserve"> </w:t>
      </w:r>
      <w:r>
        <w:rPr>
          <w:rFonts w:ascii="Arial" w:cs="Arial" w:eastAsia="Arial" w:hAnsi="Arial"/>
          <w:sz w:val="16"/>
          <w:szCs w:val="16"/>
          <w:color w:val="252525"/>
        </w:rPr>
        <w:t xml:space="preserve">which was current. </w:t>
      </w:r>
      <w:r>
        <w:rPr>
          <w:rFonts w:ascii="Arial" w:cs="Arial" w:eastAsia="Arial" w:hAnsi="Arial"/>
          <w:sz w:val="16"/>
          <w:szCs w:val="16"/>
          <w:color w:val="000000"/>
        </w:rPr>
        <w:t>As of</w:t>
      </w:r>
      <w:r>
        <w:rPr>
          <w:rFonts w:ascii="Arial" w:cs="Arial" w:eastAsia="Arial" w:hAnsi="Arial"/>
          <w:sz w:val="16"/>
          <w:szCs w:val="16"/>
          <w:color w:val="252525"/>
        </w:rPr>
        <w:t xml:space="preserve"> December 31, 2021, $16.1 million in revenue was deferred, all of which was current.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171"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0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ind w:right="140"/>
        <w:spacing w:after="0" w:line="290" w:lineRule="auto"/>
        <w:rPr>
          <w:sz w:val="20"/>
          <w:szCs w:val="20"/>
          <w:color w:val="auto"/>
        </w:rPr>
      </w:pPr>
      <w:r>
        <w:rPr>
          <w:rFonts w:ascii="Arial" w:cs="Arial" w:eastAsia="Arial" w:hAnsi="Arial"/>
          <w:sz w:val="16"/>
          <w:szCs w:val="16"/>
          <w:color w:val="auto"/>
        </w:rPr>
        <w:t xml:space="preserve">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6"/>
          <w:szCs w:val="16"/>
          <w:color w:val="252525"/>
        </w:rPr>
        <w:t>fully constrained until the Company concludes that achievement of the milestone is probable and that recognition of revenue related to the</w:t>
      </w:r>
      <w:r>
        <w:rPr>
          <w:rFonts w:ascii="Arial" w:cs="Arial" w:eastAsia="Arial" w:hAnsi="Arial"/>
          <w:sz w:val="16"/>
          <w:szCs w:val="16"/>
          <w:color w:val="auto"/>
        </w:rPr>
        <w:t xml:space="preserve"> </w:t>
      </w:r>
      <w:r>
        <w:rPr>
          <w:rFonts w:ascii="Arial" w:cs="Arial" w:eastAsia="Arial" w:hAnsi="Arial"/>
          <w:sz w:val="16"/>
          <w:szCs w:val="16"/>
          <w:color w:val="252525"/>
        </w:rPr>
        <w:t xml:space="preserve">milestone will not result in a significant reversal in amounts recognized in future periods, </w:t>
      </w:r>
      <w:r>
        <w:rPr>
          <w:rFonts w:ascii="Arial" w:cs="Arial" w:eastAsia="Arial" w:hAnsi="Arial"/>
          <w:sz w:val="16"/>
          <w:szCs w:val="16"/>
          <w:color w:val="000000"/>
        </w:rPr>
        <w:t>and as such have been excluded from the transaction price. Any</w:t>
      </w:r>
      <w:r>
        <w:rPr>
          <w:rFonts w:ascii="Arial" w:cs="Arial" w:eastAsia="Arial" w:hAnsi="Arial"/>
          <w:sz w:val="16"/>
          <w:szCs w:val="16"/>
          <w:color w:val="252525"/>
        </w:rPr>
        <w:t xml:space="preserve"> </w:t>
      </w:r>
      <w:r>
        <w:rPr>
          <w:rFonts w:ascii="Arial" w:cs="Arial" w:eastAsia="Arial" w:hAnsi="Arial"/>
          <w:sz w:val="16"/>
          <w:szCs w:val="16"/>
          <w:color w:val="000000"/>
        </w:rPr>
        <w:t>consideration 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11" w:lineRule="exact"/>
        <w:rPr>
          <w:sz w:val="20"/>
          <w:szCs w:val="20"/>
          <w:color w:val="auto"/>
        </w:rPr>
      </w:pPr>
    </w:p>
    <w:p>
      <w:pPr>
        <w:ind w:right="160" w:firstLine="756"/>
        <w:spacing w:after="0" w:line="255" w:lineRule="auto"/>
        <w:rPr>
          <w:sz w:val="20"/>
          <w:szCs w:val="20"/>
          <w:color w:val="auto"/>
        </w:rPr>
      </w:pPr>
      <w:r>
        <w:rPr>
          <w:rFonts w:ascii="Arial" w:cs="Arial" w:eastAsia="Arial" w:hAnsi="Arial"/>
          <w:sz w:val="18"/>
          <w:szCs w:val="18"/>
          <w:color w:val="252525"/>
        </w:rPr>
        <w:t xml:space="preserve">The Company recognized the $20.0 million allocated to the </w:t>
      </w:r>
      <w:r>
        <w:rPr>
          <w:rFonts w:ascii="Arial" w:cs="Arial" w:eastAsia="Arial" w:hAnsi="Arial"/>
          <w:sz w:val="18"/>
          <w:szCs w:val="18"/>
          <w:color w:val="000000"/>
        </w:rPr>
        <w:t>license when it satisfied its performance obligation and transferred the license to</w:t>
      </w:r>
      <w:r>
        <w:rPr>
          <w:rFonts w:ascii="Arial" w:cs="Arial" w:eastAsia="Arial" w:hAnsi="Arial"/>
          <w:sz w:val="18"/>
          <w:szCs w:val="18"/>
          <w:color w:val="252525"/>
        </w:rPr>
        <w:t xml:space="preserve"> </w:t>
      </w:r>
      <w:r>
        <w:rPr>
          <w:rFonts w:ascii="Arial" w:cs="Arial" w:eastAsia="Arial" w:hAnsi="Arial"/>
          <w:sz w:val="18"/>
          <w:szCs w:val="18"/>
          <w:color w:val="000000"/>
        </w:rPr>
        <w:t>Janssen in December 2020. The $2.2 million allocated to the research and development activities is being recognized over the Company’s involvement in the research term, which is estimated to be less than two years. During the three months ended June 30, 2022 and 2021, the Company recognized revenue of $0.2 million and $0.6 million, respectively, for research and development activities performed under the Janssen Agreement. During the six months ended June 30, 2022, and 2021 the Company recognized revenue of $0.6 million and $0.9 million, respectively, for research and development activities performed under the Janssen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License Agreement</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1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Under the terms of the I-Mab License Agreement, I-Mab paid the Company an upfront payment of $15.0 million. Assuming successful development and commercialization of enoblituzumab, the Company could receive up to $135.0 million in development and regulatory milestones, of which $5.0 million has been earned from the inception of the I-Mab License Agreement through </w:t>
      </w:r>
      <w:r>
        <w:rPr>
          <w:rFonts w:ascii="Arial" w:cs="Arial" w:eastAsia="Arial" w:hAnsi="Arial"/>
          <w:sz w:val="18"/>
          <w:szCs w:val="18"/>
          <w:color w:val="252525"/>
        </w:rPr>
        <w:t>June 30, 2022.</w:t>
      </w:r>
      <w:r>
        <w:rPr>
          <w:rFonts w:ascii="Arial" w:cs="Arial" w:eastAsia="Arial" w:hAnsi="Arial"/>
          <w:sz w:val="18"/>
          <w:szCs w:val="18"/>
          <w:color w:val="auto"/>
        </w:rPr>
        <w:t xml:space="preserve"> In addition, I-Mab would pay the Company tiered royalties ranging from mid-teens to 20% on annual net sales in I-Mab's territory.</w:t>
      </w:r>
    </w:p>
    <w:p>
      <w:pPr>
        <w:spacing w:after="0" w:line="13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120" w:lineRule="exact"/>
        <w:rPr>
          <w:sz w:val="20"/>
          <w:szCs w:val="20"/>
          <w:color w:val="auto"/>
        </w:rPr>
      </w:pPr>
    </w:p>
    <w:p>
      <w:pPr>
        <w:ind w:right="480" w:firstLine="180"/>
        <w:spacing w:after="0" w:line="263" w:lineRule="auto"/>
        <w:rPr>
          <w:sz w:val="20"/>
          <w:szCs w:val="20"/>
          <w:color w:val="auto"/>
        </w:rPr>
      </w:pPr>
      <w:r>
        <w:rPr>
          <w:rFonts w:ascii="Arial" w:cs="Arial" w:eastAsia="Arial" w:hAnsi="Arial"/>
          <w:sz w:val="18"/>
          <w:szCs w:val="18"/>
          <w:color w:val="auto"/>
        </w:rPr>
        <w:t>Revenue under the I-Mab License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three months ended June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7" w:name="page18"/>
    <w:bookmarkEnd w:id="17"/>
    <w:p>
      <w:pPr>
        <w:ind w:right="100"/>
        <w:spacing w:after="0" w:line="279" w:lineRule="auto"/>
        <w:rPr>
          <w:sz w:val="20"/>
          <w:szCs w:val="20"/>
          <w:color w:val="auto"/>
        </w:rPr>
      </w:pPr>
      <w:r>
        <w:rPr>
          <w:rFonts w:ascii="Arial" w:cs="Arial" w:eastAsia="Arial" w:hAnsi="Arial"/>
          <w:sz w:val="17"/>
          <w:szCs w:val="17"/>
          <w:color w:val="auto"/>
        </w:rPr>
        <w:t>30, 2022 and 2021, the Company recognized revenue of $0.6 million and $1.9 million, respectively, under the I-Mab License Agreement. During the six months ended June 30, 2022 and 2021, the Company recognized revenue of $0.7 million and $2.5 million, respectively, under the I-Mab License Agreement. As of June 30, 2022, $3.8 million in revenue was deferred under the I-Mab License Agreement, all of which was current. As of December 31, 2021, $4.5 million in revenue was deferred under the I-Mab License Agreement, all of which was current.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Clinical Supply Agreement</w:t>
      </w:r>
    </w:p>
    <w:p>
      <w:pPr>
        <w:spacing w:after="0" w:line="25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and six months ended June 30, 2022, the Company recognized revenue of $0.3 million and $1.1 million, respectively, for research and development activities performed under the I-Mab Clinical Supply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Services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2022, the Company entered into a Manufacturing and Clinical Supply Agreement with Incyte (Incyte Manufacturing and Clinical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to provide manufacturing services to produce certain Incyte bulk drug substance over a three-year period at one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facilities. Under the terms of the Incyte Manufacturing and Clinical Supply Agreement, the Company received an upfront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and is eligible to receive annual fixed payments paid quarterly over the term of the contract totaling $14.4 million. The Company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reimbursed for materials used to manufacture product as well as other costs incurred to provide manufacturing services.</w:t>
      </w:r>
    </w:p>
    <w:p>
      <w:pPr>
        <w:spacing w:after="0" w:line="10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Company evaluated the Incyte Manufacturing and Clinical Supply Agreement under the provisions of ASC 606 and identified one performance obligation to provide manufacturing runs to Incyte, as and when requested by Incyte, over the term of the contract that is part of a series of goods and services. The Company determined that the transaction price at inception consists of the upfront payment received of $10.0 million and the annual fixed payments totaling $14.4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recognized revenue of $4.0 million under the Incyte Manufacturing and Clinical Supply Agreement during each of the three and six month periods ended </w:t>
      </w:r>
      <w:r>
        <w:rPr>
          <w:rFonts w:ascii="Arial" w:cs="Arial" w:eastAsia="Arial" w:hAnsi="Arial"/>
          <w:sz w:val="18"/>
          <w:szCs w:val="18"/>
          <w:color w:val="252525"/>
        </w:rPr>
        <w:t>June 30, 2022</w:t>
      </w:r>
      <w:r>
        <w:rPr>
          <w:rFonts w:ascii="Arial" w:cs="Arial" w:eastAsia="Arial" w:hAnsi="Arial"/>
          <w:sz w:val="18"/>
          <w:szCs w:val="18"/>
          <w:color w:val="auto"/>
        </w:rPr>
        <w:t xml:space="preserve">. As of </w:t>
      </w:r>
      <w:r>
        <w:rPr>
          <w:rFonts w:ascii="Arial" w:cs="Arial" w:eastAsia="Arial" w:hAnsi="Arial"/>
          <w:sz w:val="18"/>
          <w:szCs w:val="18"/>
          <w:color w:val="252525"/>
        </w:rPr>
        <w:t>June 30, 2022,</w:t>
      </w:r>
      <w:r>
        <w:rPr>
          <w:rFonts w:ascii="Arial" w:cs="Arial" w:eastAsia="Arial" w:hAnsi="Arial"/>
          <w:sz w:val="18"/>
          <w:szCs w:val="18"/>
          <w:color w:val="auto"/>
        </w:rPr>
        <w:t xml:space="preserve"> $9.5 million </w:t>
      </w:r>
      <w:r>
        <w:rPr>
          <w:rFonts w:ascii="Arial" w:cs="Arial" w:eastAsia="Arial" w:hAnsi="Arial"/>
          <w:sz w:val="18"/>
          <w:szCs w:val="18"/>
          <w:color w:val="252525"/>
        </w:rPr>
        <w:t>in revenue was deferred under this agreement,</w:t>
      </w:r>
      <w:r>
        <w:rPr>
          <w:rFonts w:ascii="Arial" w:cs="Arial" w:eastAsia="Arial" w:hAnsi="Arial"/>
          <w:sz w:val="18"/>
          <w:szCs w:val="18"/>
          <w:color w:val="auto"/>
        </w:rPr>
        <w:t xml:space="preserve"> $3.3 million </w:t>
      </w:r>
      <w:r>
        <w:rPr>
          <w:rFonts w:ascii="Arial" w:cs="Arial" w:eastAsia="Arial" w:hAnsi="Arial"/>
          <w:sz w:val="18"/>
          <w:szCs w:val="18"/>
          <w:color w:val="252525"/>
        </w:rPr>
        <w:t>of which was current and</w:t>
      </w:r>
      <w:r>
        <w:rPr>
          <w:rFonts w:ascii="Arial" w:cs="Arial" w:eastAsia="Arial" w:hAnsi="Arial"/>
          <w:sz w:val="18"/>
          <w:szCs w:val="18"/>
          <w:color w:val="auto"/>
        </w:rPr>
        <w:t xml:space="preserve"> $6.2 million </w:t>
      </w:r>
      <w:r>
        <w:rPr>
          <w:rFonts w:ascii="Arial" w:cs="Arial" w:eastAsia="Arial" w:hAnsi="Arial"/>
          <w:sz w:val="18"/>
          <w:szCs w:val="18"/>
          <w:color w:val="252525"/>
        </w:rPr>
        <w:t>of which was non-current.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Government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 Company entered into a contract with National Institute of Allergy and Infectious Diseases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8" w:name="page19"/>
    <w:bookmarkEnd w:id="18"/>
    <w:p>
      <w:pPr>
        <w:ind w:right="40" w:firstLine="648"/>
        <w:spacing w:after="0" w:line="257" w:lineRule="auto"/>
        <w:rPr>
          <w:sz w:val="20"/>
          <w:szCs w:val="20"/>
          <w:color w:val="auto"/>
        </w:rPr>
      </w:pPr>
      <w:r>
        <w:rPr>
          <w:rFonts w:ascii="Arial" w:cs="Arial" w:eastAsia="Arial" w:hAnsi="Arial"/>
          <w:sz w:val="18"/>
          <w:szCs w:val="18"/>
          <w:color w:val="auto"/>
        </w:rPr>
        <w:t>Since the inception of the NIAID Contract, NIAID has exercised the two options contemplated in the original contract and executed modifications such that the total funded contract value as of June 30, 2022 is $25.1 million. In addition, the most recent modification changed the period of performance under the NIAID Contract to end in July 2023. During the three months ended June 30, 2022 and 2021, the Company recognized revenue under the NIAID Contract of $0.5 million and $0.4 million, respectively. During the six months ended June 30, 2022 and 2021, the Company recognized revenue under the NIAID Contract of $0.9 million and $1.2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six months ended June 30, 2022, 65,125 shares of common stock were purchased under the 2016 ESPP.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June 30, 2022, under the 2003 Plan, there were options to purchase an aggregate of 105,282 shares of common stock outstanding.</w:t>
      </w:r>
    </w:p>
    <w:p>
      <w:pPr>
        <w:spacing w:after="0" w:line="11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six months ended June 30, 2022, the maximum number of shares of common stock authorized to be issued by the Company under the 2013 Plan was increased to 15,816,949.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June 30, 2022, there were options to purchase an aggregate of 10,395,473 shares of common stock outstanding.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6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3,058</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r>
      <w:tr>
        <w:trPr>
          <w:trHeight w:val="22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3,012</w:t>
            </w:r>
          </w:p>
        </w:tc>
        <w:tc>
          <w:tcPr>
            <w:tcW w:w="5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6,070</w:t>
            </w:r>
          </w:p>
        </w:tc>
        <w:tc>
          <w:tcPr>
            <w:tcW w:w="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96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87.8% -89.7%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w:t>
            </w:r>
          </w:p>
        </w:tc>
        <w:tc>
          <w:tcPr>
            <w:tcW w:w="960" w:type="dxa"/>
            <w:vAlign w:val="bottom"/>
          </w:tcPr>
          <w:p>
            <w:pPr>
              <w:ind w:left="40"/>
              <w:spacing w:after="0"/>
              <w:rPr>
                <w:sz w:val="20"/>
                <w:szCs w:val="20"/>
                <w:color w:val="auto"/>
              </w:rPr>
            </w:pPr>
            <w:r>
              <w:rPr>
                <w:rFonts w:ascii="Arial" w:cs="Arial" w:eastAsia="Arial" w:hAnsi="Arial"/>
                <w:sz w:val="18"/>
                <w:szCs w:val="18"/>
                <w:color w:val="auto"/>
              </w:rPr>
              <w:t>- 86.7%</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- 3.6%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500" w:type="dxa"/>
            <w:vAlign w:val="bottom"/>
            <w:gridSpan w:val="2"/>
          </w:tcPr>
          <w:p>
            <w:pPr>
              <w:ind w:left="820"/>
              <w:spacing w:after="0"/>
              <w:rPr>
                <w:sz w:val="20"/>
                <w:szCs w:val="20"/>
                <w:color w:val="auto"/>
              </w:rPr>
            </w:pPr>
            <w:r>
              <w:rPr>
                <w:rFonts w:ascii="Arial" w:cs="Arial" w:eastAsia="Arial" w:hAnsi="Arial"/>
                <w:sz w:val="18"/>
                <w:szCs w:val="18"/>
                <w:color w:val="auto"/>
              </w:rPr>
              <w:t>5.95 years</w:t>
            </w:r>
          </w:p>
        </w:tc>
        <w:tc>
          <w:tcPr>
            <w:tcW w:w="1800" w:type="dxa"/>
            <w:vAlign w:val="bottom"/>
            <w:gridSpan w:val="2"/>
          </w:tcPr>
          <w:p>
            <w:pPr>
              <w:ind w:left="540"/>
              <w:spacing w:after="0"/>
              <w:rPr>
                <w:sz w:val="20"/>
                <w:szCs w:val="20"/>
                <w:color w:val="auto"/>
              </w:rPr>
            </w:pPr>
            <w:r>
              <w:rPr>
                <w:rFonts w:ascii="Arial" w:cs="Arial" w:eastAsia="Arial" w:hAnsi="Arial"/>
                <w:sz w:val="18"/>
                <w:szCs w:val="18"/>
                <w:color w:val="auto"/>
              </w:rPr>
              <w:t>6.25 years</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six months ended June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89"/>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Weighted-Average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Arial" w:cs="Arial" w:eastAsia="Arial" w:hAnsi="Arial"/>
                <w:sz w:val="18"/>
                <w:szCs w:val="18"/>
                <w:b w:val="1"/>
                <w:bCs w:val="1"/>
                <w:color w:val="auto"/>
                <w:w w:val="87"/>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8,373,921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2,685,197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920" w:type="dxa"/>
            <w:vAlign w:val="bottom"/>
          </w:tcPr>
          <w:p>
            <w:pPr>
              <w:jc w:val="right"/>
              <w:spacing w:after="0"/>
              <w:rPr>
                <w:sz w:val="20"/>
                <w:szCs w:val="20"/>
                <w:color w:val="auto"/>
              </w:rPr>
            </w:pPr>
            <w:r>
              <w:rPr>
                <w:rFonts w:ascii="Arial" w:cs="Arial" w:eastAsia="Arial" w:hAnsi="Arial"/>
                <w:sz w:val="18"/>
                <w:szCs w:val="18"/>
                <w:color w:val="auto"/>
              </w:rPr>
              <w:t>(267,563)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16.32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Arial" w:cs="Arial" w:eastAsia="Arial" w:hAnsi="Arial"/>
                <w:sz w:val="18"/>
                <w:szCs w:val="18"/>
                <w:color w:val="auto"/>
              </w:rPr>
              <w:t>Outstanding, June 30, 2022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10,500,755</w:t>
            </w:r>
          </w:p>
        </w:tc>
        <w:tc>
          <w:tcPr>
            <w:tcW w:w="15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18.66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 of June 30, 2022:</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920" w:type="dxa"/>
            <w:vAlign w:val="bottom"/>
          </w:tcPr>
          <w:p>
            <w:pPr>
              <w:jc w:val="right"/>
              <w:spacing w:after="0"/>
              <w:rPr>
                <w:sz w:val="20"/>
                <w:szCs w:val="20"/>
                <w:color w:val="auto"/>
              </w:rPr>
            </w:pPr>
            <w:r>
              <w:rPr>
                <w:rFonts w:ascii="Arial" w:cs="Arial" w:eastAsia="Arial" w:hAnsi="Arial"/>
                <w:sz w:val="18"/>
                <w:szCs w:val="18"/>
                <w:color w:val="auto"/>
              </w:rPr>
              <w:t>5,930,958</w:t>
            </w:r>
          </w:p>
        </w:tc>
        <w:tc>
          <w:tcPr>
            <w:tcW w:w="15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22.57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9,719,165</w:t>
            </w:r>
          </w:p>
        </w:tc>
        <w:tc>
          <w:tcPr>
            <w:tcW w:w="15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weighted-average grant-date fair value of options granted during the six months ended June 30, 2022 and 2021 was $6.96 and $15.11, respectively. The total intrinsic value of options exercised during the six months ended June 30, 2022 and 2021 was approximately $0.5 million and $1.8 million, respectively. The total cash received for options exercised during the six months ended June 30, 2022 and 2021 was $0.3 million and $4.6 million, respectively. The total fair value of shares vested in the six months ended June 30, 2022 and 2021 was approximately $9.4 million and $8.1 million, respectively. As of June 30, 2022, the total unrecognized compensation expense related to unvested stock options, net of related forfeiture estimates, was approximately $33.9 million, which the Company expects to recognize over a weighted-average period of approximately 1.5 years.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grants restricted stock units (RSUs) under the 2013 Plan to employees from time to time as a component of their compensation. During the six months ended June 30, 2022, the Company awarded RSUs to employees in conjunction with the annual performance review process. Each RSU vests over a two-year period and entitles the holder to receive one share of the Company's common stock when the RSU vests. Compensation expense is recognized on a straight-line basis over the vesting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RSU activity during the six months ended June 30, 2022: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2"/>
                <w:szCs w:val="22"/>
                <w:color w:val="auto"/>
              </w:rPr>
            </w:pPr>
          </w:p>
        </w:tc>
        <w:tc>
          <w:tcPr>
            <w:tcW w:w="16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314,372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29"/>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(20,099)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2022</w:t>
            </w:r>
          </w:p>
        </w:tc>
        <w:tc>
          <w:tcPr>
            <w:tcW w:w="16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307,308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At June 30, 2022, there was $2.4 million of total unrecognized compensation cost related to unvested RSUs, which the Company expects to recognize over a remaining weighted-average period of approximately 1.3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0" w:name="page21"/>
    <w:bookmarkEnd w:id="20"/>
    <w:p>
      <w:pPr>
        <w:ind w:firstLine="648"/>
        <w:spacing w:after="0" w:line="270" w:lineRule="auto"/>
        <w:rPr>
          <w:sz w:val="20"/>
          <w:szCs w:val="20"/>
          <w:color w:val="auto"/>
        </w:rPr>
      </w:pPr>
      <w:r>
        <w:rPr>
          <w:rFonts w:ascii="Arial" w:cs="Arial" w:eastAsia="Arial" w:hAnsi="Arial"/>
          <w:sz w:val="17"/>
          <w:szCs w:val="17"/>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The appeal is now pending in the Fourth Circuit.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ind w:left="20"/>
        <w:spacing w:after="0"/>
        <w:tabs>
          <w:tab w:leader="none" w:pos="9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08" w:lineRule="exact"/>
        <w:rPr>
          <w:sz w:val="20"/>
          <w:szCs w:val="20"/>
          <w:color w:val="auto"/>
        </w:rPr>
      </w:pPr>
    </w:p>
    <w:p>
      <w:pPr>
        <w:ind w:right="220" w:firstLine="810"/>
        <w:spacing w:after="0" w:line="29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These product candidates include multiple immuno-oncology programs, some of which were created primarily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commenced active operations in 2000, and have since devoted substantially all of our resources to staffing our company, developing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technology platforms, identifying potential product candidates, undertaking preclinical studies, conducting clinical trials, developing collaborations,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planning and raising capital. We only began generating revenues from the sale of products in 2021. We have financed our operations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the public and private offerings of our securities, collaborations with other biopharmaceutical companies, and government grants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contracts. Although it is difficult to predict our funding requirements, we anticipate that our cash, cash equivalents and marketable securities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combined with anticipated and potential collaboration payments, product revenues and savings from the execution of our recently announced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restructuring plan, should enable us to fund our operations into 2024. Our expected funding requirements reflect anticipated expenditures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planned Phase 2 portion of the MGC018 clinical trial in metastatic castration-resistant prostate cancer (TAMARACK study), as well as our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and preclinical studies currently ongoing.</w:t>
      </w:r>
    </w:p>
    <w:p>
      <w:pPr>
        <w:spacing w:after="0" w:line="23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Through June 30, 2022, we had an accumulated deficit of $1.1 billion. We expect that over the next several years this deficit will increase as we continue to incur research and development expense in connection with our ongoing preclinical and clinical studies.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COVID-19 pandemic, including the resulting adverse macroeconomic conditions,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w:t>
      </w:r>
    </w:p>
    <w:p>
      <w:pPr>
        <w:spacing w:after="0" w:line="9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continue to evolve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 We are classified as a government contractor and are required to comply with Executive Order 14042. The contract terms include the requirement that all our employees that may be on site at the same location as any employee supporting the government contract be fully vaccinated against COVID-19, unless legally entitled to an accommodation due to a disability or religious belief, practice or observance. In anticipation of deadlines associated with the contract terms and Executive Order 14042, we implemented 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2" w:name="page23"/>
    <w:bookmarkEnd w:id="22"/>
    <w:p>
      <w:pPr>
        <w:ind w:right="80"/>
        <w:spacing w:after="0" w:line="342" w:lineRule="auto"/>
        <w:rPr>
          <w:sz w:val="20"/>
          <w:szCs w:val="20"/>
          <w:color w:val="auto"/>
        </w:rPr>
      </w:pPr>
      <w:r>
        <w:rPr>
          <w:rFonts w:ascii="Arial" w:cs="Arial" w:eastAsia="Arial" w:hAnsi="Arial"/>
          <w:sz w:val="16"/>
          <w:szCs w:val="16"/>
          <w:color w:val="auto"/>
        </w:rPr>
        <w:t>company-wide vaccination requirement by the end of 2021, with certain exceptions. To date, we do not believe our vaccination requirement has resulted in workforce attrition nor will it result in material difficulty securing future labor needs. If attrition is significant, our business could be adversely affected.</w:t>
      </w:r>
    </w:p>
    <w:p>
      <w:pPr>
        <w:spacing w:after="0" w:line="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foregoing, we cannot precisely predict the impact that the COVID-19 pandemic will have in the future due to numerous uncertainties, including the severity, duration and resurgences of the disease and new variants, actions that may be taken by governmental authorities, the impact to the business of potential variations or disruptions in our supply chain, and other factors identified in Part I, Item 1A. “Risk Factors” in our Annual Report on Form 10-K for the year ended December 31, 2021.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3" w:lineRule="exact"/>
        <w:rPr>
          <w:sz w:val="20"/>
          <w:szCs w:val="20"/>
          <w:color w:val="auto"/>
        </w:rPr>
      </w:pPr>
    </w:p>
    <w:p>
      <w:pPr>
        <w:ind w:left="980" w:hanging="324"/>
        <w:spacing w:after="0" w:line="268" w:lineRule="auto"/>
        <w:tabs>
          <w:tab w:leader="none" w:pos="975" w:val="left"/>
        </w:tabs>
        <w:numPr>
          <w:ilvl w:val="0"/>
          <w:numId w:val="7"/>
        </w:numPr>
        <w:rPr>
          <w:rFonts w:ascii="Arial" w:cs="Arial" w:eastAsia="Arial" w:hAnsi="Arial"/>
          <w:sz w:val="17"/>
          <w:szCs w:val="17"/>
          <w:b w:val="1"/>
          <w:bCs w:val="1"/>
          <w:i w:val="1"/>
          <w:iCs w:val="1"/>
          <w:color w:val="252525"/>
        </w:rPr>
      </w:pPr>
      <w:r>
        <w:rPr>
          <w:rFonts w:ascii="Arial" w:cs="Arial" w:eastAsia="Arial" w:hAnsi="Arial"/>
          <w:sz w:val="17"/>
          <w:szCs w:val="17"/>
          <w:i w:val="1"/>
          <w:iCs w:val="1"/>
          <w:color w:val="auto"/>
        </w:rPr>
        <w:t xml:space="preserve">Incyte. </w:t>
      </w:r>
      <w:r>
        <w:rPr>
          <w:rFonts w:ascii="Arial" w:cs="Arial" w:eastAsia="Arial" w:hAnsi="Arial"/>
          <w:sz w:val="17"/>
          <w:szCs w:val="17"/>
          <w:color w:val="auto"/>
        </w:rPr>
        <w:t>In 2017, we entered into an exclusive global collaboration and license agreement with Incyte Corporation (Incyte) for retifanlimab,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July 2021, Incyte announced that the U.S. Food and Drug Administration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were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 Merkel cell carcinoma and non-small cell lung cancer. Incyte is also pursuing development of retifanlimab in combination with multiple product candidates from its pipeline. In April 2022, we and Incyte executed an amendment to the Incyte License Agreement to add a milestone for U.S. approval of retifanlimab in a specific indication and to exclude certain other regulatory and development achievements with retifanlimab in this same indication from the milestone events of the Incyte License Agreement.</w:t>
      </w:r>
    </w:p>
    <w:p>
      <w:pPr>
        <w:spacing w:after="0" w:line="208" w:lineRule="exact"/>
        <w:rPr>
          <w:rFonts w:ascii="Arial" w:cs="Arial" w:eastAsia="Arial" w:hAnsi="Arial"/>
          <w:sz w:val="17"/>
          <w:szCs w:val="17"/>
          <w:b w:val="1"/>
          <w:bCs w:val="1"/>
          <w:i w:val="1"/>
          <w:iCs w:val="1"/>
          <w:color w:val="252525"/>
        </w:rPr>
      </w:pPr>
    </w:p>
    <w:p>
      <w:pPr>
        <w:ind w:left="980" w:right="20"/>
        <w:spacing w:after="0" w:line="269" w:lineRule="auto"/>
        <w:rPr>
          <w:rFonts w:ascii="Arial" w:cs="Arial" w:eastAsia="Arial" w:hAnsi="Arial"/>
          <w:sz w:val="17"/>
          <w:szCs w:val="17"/>
          <w:b w:val="1"/>
          <w:bCs w:val="1"/>
          <w:i w:val="1"/>
          <w:iCs w:val="1"/>
          <w:color w:val="252525"/>
        </w:rPr>
      </w:pPr>
      <w:r>
        <w:rPr>
          <w:rFonts w:ascii="Arial" w:cs="Arial" w:eastAsia="Arial" w:hAnsi="Arial"/>
          <w:sz w:val="17"/>
          <w:szCs w:val="17"/>
          <w:color w:val="auto"/>
        </w:rPr>
        <w:t>Under the terms of the Incyte License Agreement, as amended, Incyte leads global development of retifanlimab. Assuming successful development and commercialization of retifanlimab by Incyte, we could receive total development and regulatory milestones of up to approximately $435.0 million and up to $330.0 million in commercial milestones. We received $70.0 million of the total development milestones through June 30, 2022. In July 2022, we and Incyte further amended the Incyte License Agreement to reflect changes related to the payment of certain milestones and we received $30.0 million in milestone payments from Incyte.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27" w:lineRule="exact"/>
        <w:rPr>
          <w:rFonts w:ascii="Arial" w:cs="Arial" w:eastAsia="Arial" w:hAnsi="Arial"/>
          <w:sz w:val="17"/>
          <w:szCs w:val="17"/>
          <w:b w:val="1"/>
          <w:bCs w:val="1"/>
          <w:i w:val="1"/>
          <w:iCs w:val="1"/>
          <w:color w:val="252525"/>
        </w:rPr>
      </w:pPr>
    </w:p>
    <w:p>
      <w:pPr>
        <w:ind w:left="980" w:right="300"/>
        <w:spacing w:after="0" w:line="259" w:lineRule="auto"/>
        <w:rPr>
          <w:rFonts w:ascii="Arial" w:cs="Arial" w:eastAsia="Arial" w:hAnsi="Arial"/>
          <w:sz w:val="17"/>
          <w:szCs w:val="17"/>
          <w:b w:val="1"/>
          <w:bCs w:val="1"/>
          <w:i w:val="1"/>
          <w:iCs w:val="1"/>
          <w:color w:val="252525"/>
        </w:rPr>
      </w:pPr>
      <w:r>
        <w:rPr>
          <w:rFonts w:ascii="Arial" w:cs="Arial" w:eastAsia="Arial" w:hAnsi="Arial"/>
          <w:sz w:val="18"/>
          <w:szCs w:val="18"/>
          <w:color w:val="auto"/>
        </w:rPr>
        <w:t>In January 2022, we entered into a Manufacturing and Clinical Supply Agreement with Incyte (Incyte Manufacturing and Clinical Supply Agreement) to provide manufacturing services to produce certain Incyte bulk drug substance over a three-year period at one of our manufacturing facilities. Under the terms of the Incyte Manufacturing and Clinical Supply Agreement, we received an upfront payment of $10.0 million and are eligible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ind w:left="324" w:right="100"/>
        <w:spacing w:after="0" w:line="277" w:lineRule="auto"/>
        <w:rPr>
          <w:sz w:val="20"/>
          <w:szCs w:val="20"/>
          <w:color w:val="auto"/>
        </w:rPr>
      </w:pPr>
      <w:r>
        <w:rPr>
          <w:rFonts w:ascii="Arial" w:cs="Arial" w:eastAsia="Arial" w:hAnsi="Arial"/>
          <w:sz w:val="18"/>
          <w:szCs w:val="18"/>
          <w:color w:val="auto"/>
        </w:rPr>
        <w:t>to receive annual fixed payments paid quarterly over the term of the contract totaling $14.4 million. We will also be reimbursed for materials used to manufacture product as well as other costs incurred to provide manufacturing services.</w:t>
      </w:r>
    </w:p>
    <w:p>
      <w:pPr>
        <w:spacing w:after="0" w:line="116" w:lineRule="exact"/>
        <w:rPr>
          <w:sz w:val="20"/>
          <w:szCs w:val="20"/>
          <w:color w:val="auto"/>
        </w:rPr>
      </w:pPr>
    </w:p>
    <w:p>
      <w:pPr>
        <w:ind w:left="324" w:right="20" w:hanging="324"/>
        <w:spacing w:after="0" w:line="272"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2018, we entered into a collaboration and license agreement with Zai Lab Limited (Zai Lab) under which Zai Lab obtained</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spacing w:after="0" w:line="123" w:lineRule="exact"/>
        <w:rPr>
          <w:rFonts w:ascii="Arial" w:cs="Arial" w:eastAsia="Arial" w:hAnsi="Arial"/>
          <w:sz w:val="17"/>
          <w:szCs w:val="17"/>
          <w:color w:val="auto"/>
        </w:rPr>
      </w:pPr>
    </w:p>
    <w:p>
      <w:pPr>
        <w:ind w:left="324" w:right="220"/>
        <w:spacing w:after="0" w:line="255" w:lineRule="auto"/>
        <w:rPr>
          <w:rFonts w:ascii="Arial" w:cs="Arial" w:eastAsia="Arial" w:hAnsi="Arial"/>
          <w:sz w:val="17"/>
          <w:szCs w:val="17"/>
          <w:color w:val="auto"/>
        </w:rPr>
      </w:pPr>
      <w:r>
        <w:rPr>
          <w:rFonts w:ascii="Arial" w:cs="Arial" w:eastAsia="Arial" w:hAnsi="Arial"/>
          <w:sz w:val="18"/>
          <w:szCs w:val="18"/>
          <w:color w:val="auto"/>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earned $9.0 million.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38" w:lineRule="exact"/>
        <w:rPr>
          <w:rFonts w:ascii="Arial" w:cs="Arial" w:eastAsia="Arial" w:hAnsi="Arial"/>
          <w:sz w:val="17"/>
          <w:szCs w:val="17"/>
          <w:color w:val="auto"/>
        </w:rPr>
      </w:pPr>
    </w:p>
    <w:p>
      <w:pPr>
        <w:ind w:left="324" w:right="40"/>
        <w:spacing w:after="0" w:line="277" w:lineRule="auto"/>
        <w:rPr>
          <w:rFonts w:ascii="Arial" w:cs="Arial" w:eastAsia="Arial" w:hAnsi="Arial"/>
          <w:sz w:val="17"/>
          <w:szCs w:val="17"/>
          <w:color w:val="auto"/>
        </w:rPr>
      </w:pPr>
      <w:r>
        <w:rPr>
          <w:rFonts w:ascii="Arial" w:cs="Arial" w:eastAsia="Arial" w:hAnsi="Arial"/>
          <w:sz w:val="18"/>
          <w:szCs w:val="18"/>
          <w:color w:val="auto"/>
        </w:rPr>
        <w:t>In 2019, we entered into two agreements under which we are to perform manufacturing services for Zai Lab’s clinical needs of margetuximab and tebotelimab (Zai Lab Clinical Supply Agreements).</w:t>
      </w:r>
    </w:p>
    <w:p>
      <w:pPr>
        <w:spacing w:after="0" w:line="116" w:lineRule="exact"/>
        <w:rPr>
          <w:rFonts w:ascii="Arial" w:cs="Arial" w:eastAsia="Arial" w:hAnsi="Arial"/>
          <w:sz w:val="17"/>
          <w:szCs w:val="17"/>
          <w:color w:val="auto"/>
        </w:rPr>
      </w:pPr>
    </w:p>
    <w:p>
      <w:pPr>
        <w:ind w:left="324"/>
        <w:spacing w:after="0" w:line="269" w:lineRule="auto"/>
        <w:rPr>
          <w:rFonts w:ascii="Arial" w:cs="Arial" w:eastAsia="Arial" w:hAnsi="Arial"/>
          <w:sz w:val="17"/>
          <w:szCs w:val="17"/>
          <w:color w:val="auto"/>
        </w:rPr>
      </w:pPr>
      <w:r>
        <w:rPr>
          <w:rFonts w:ascii="Arial" w:cs="Arial" w:eastAsia="Arial" w:hAnsi="Arial"/>
          <w:sz w:val="17"/>
          <w:szCs w:val="17"/>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Under the Lead Program, Zai Lab received an option upon reaching a predefined clinical milestone to convert the regional arrangement into a global 50/50 profit share. If Zai Lab elects such option, Zai Lab is to pay us $85.0 million plus any research costs incurred by both parties as of the option election date. Zai Lab also obtained exclusive, global licenses from us to develop, manufacture and commercialize two additional molecules (license-only programs). Zai Lab granted us a worldwide, royalty-free, co-exclusive license to conduct the development activities allocated to us.</w:t>
      </w:r>
    </w:p>
    <w:p>
      <w:pPr>
        <w:spacing w:after="0" w:line="212" w:lineRule="exact"/>
        <w:rPr>
          <w:rFonts w:ascii="Arial" w:cs="Arial" w:eastAsia="Arial" w:hAnsi="Arial"/>
          <w:sz w:val="17"/>
          <w:szCs w:val="17"/>
          <w:color w:val="auto"/>
        </w:rPr>
      </w:pPr>
    </w:p>
    <w:p>
      <w:pPr>
        <w:ind w:left="324" w:right="60"/>
        <w:spacing w:after="0" w:line="342" w:lineRule="auto"/>
        <w:rPr>
          <w:rFonts w:ascii="Arial" w:cs="Arial" w:eastAsia="Arial" w:hAnsi="Arial"/>
          <w:sz w:val="17"/>
          <w:szCs w:val="17"/>
          <w:color w:val="auto"/>
        </w:rPr>
      </w:pPr>
      <w:r>
        <w:rPr>
          <w:rFonts w:ascii="Arial" w:cs="Arial" w:eastAsia="Arial" w:hAnsi="Arial"/>
          <w:sz w:val="16"/>
          <w:szCs w:val="16"/>
          <w:color w:val="auto"/>
        </w:rPr>
        <w:t>Under the terms of the 2021 Zai Lab Agreement, the Lead Program includes joint research and development services by both us and Zai Lab. For the other programs, Zai Lab can separately negotiate and agree with us to perform research and development services in the future.</w:t>
      </w:r>
    </w:p>
    <w:p>
      <w:pPr>
        <w:spacing w:after="0" w:line="69" w:lineRule="exact"/>
        <w:rPr>
          <w:rFonts w:ascii="Arial" w:cs="Arial" w:eastAsia="Arial" w:hAnsi="Arial"/>
          <w:sz w:val="17"/>
          <w:szCs w:val="17"/>
          <w:color w:val="auto"/>
        </w:rPr>
      </w:pPr>
    </w:p>
    <w:p>
      <w:pPr>
        <w:ind w:left="324" w:right="140"/>
        <w:spacing w:after="0" w:line="257" w:lineRule="auto"/>
        <w:rPr>
          <w:rFonts w:ascii="Arial" w:cs="Arial" w:eastAsia="Arial" w:hAnsi="Arial"/>
          <w:sz w:val="17"/>
          <w:szCs w:val="17"/>
          <w:color w:val="auto"/>
        </w:rPr>
      </w:pPr>
      <w:r>
        <w:rPr>
          <w:rFonts w:ascii="Arial" w:cs="Arial" w:eastAsia="Arial" w:hAnsi="Arial"/>
          <w:sz w:val="18"/>
          <w:szCs w:val="18"/>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w:t>
      </w:r>
    </w:p>
    <w:p>
      <w:pPr>
        <w:spacing w:after="0" w:line="133" w:lineRule="exact"/>
        <w:rPr>
          <w:rFonts w:ascii="Arial" w:cs="Arial" w:eastAsia="Arial" w:hAnsi="Arial"/>
          <w:sz w:val="17"/>
          <w:szCs w:val="17"/>
          <w:color w:val="auto"/>
        </w:rPr>
      </w:pPr>
    </w:p>
    <w:p>
      <w:pPr>
        <w:ind w:left="324" w:right="80"/>
        <w:spacing w:after="0" w:line="296" w:lineRule="auto"/>
        <w:rPr>
          <w:rFonts w:ascii="Arial" w:cs="Arial" w:eastAsia="Arial" w:hAnsi="Arial"/>
          <w:sz w:val="17"/>
          <w:szCs w:val="17"/>
          <w:color w:val="auto"/>
        </w:rPr>
      </w:pPr>
      <w:r>
        <w:rPr>
          <w:rFonts w:ascii="Arial" w:cs="Arial" w:eastAsia="Arial" w:hAnsi="Arial"/>
          <w:sz w:val="16"/>
          <w:szCs w:val="16"/>
          <w:color w:val="auto"/>
        </w:rPr>
        <w:t>Assuming successful development and commercialization of the Programs under the 2021 Zai Lab Agreement, we could receive up to $1.4 billion in development, regulatory and commercial milestones. In addition, Zai Lab would pay us tiered royalties at percentage rates of low double digit teens on annual net sales of certain specified products and of mid-single digits to low double digit teens on annual net sales of other specified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107" w:lineRule="exact"/>
        <w:rPr>
          <w:rFonts w:ascii="Arial" w:cs="Arial" w:eastAsia="Arial" w:hAnsi="Arial"/>
          <w:sz w:val="17"/>
          <w:szCs w:val="17"/>
          <w:color w:val="auto"/>
        </w:rPr>
      </w:pPr>
    </w:p>
    <w:p>
      <w:pPr>
        <w:ind w:left="324" w:right="320" w:hanging="324"/>
        <w:spacing w:after="0" w:line="263" w:lineRule="auto"/>
        <w:tabs>
          <w:tab w:leader="none" w:pos="319" w:val="left"/>
        </w:tabs>
        <w:numPr>
          <w:ilvl w:val="0"/>
          <w:numId w:val="8"/>
        </w:numPr>
        <w:rPr>
          <w:rFonts w:ascii="Arial" w:cs="Arial" w:eastAsia="Arial" w:hAnsi="Arial"/>
          <w:sz w:val="18"/>
          <w:szCs w:val="18"/>
          <w:b w:val="1"/>
          <w:bCs w:val="1"/>
          <w:i w:val="1"/>
          <w:iCs w:val="1"/>
          <w:color w:val="252525"/>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License Agreement). I-Mab obtained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935" w:right="359" w:bottom="1440" w:gutter="0" w:footer="0" w:header="0"/>
        </w:sectPr>
      </w:pPr>
    </w:p>
    <w:bookmarkStart w:id="24" w:name="page25"/>
    <w:bookmarkEnd w:id="24"/>
    <w:p>
      <w:pPr>
        <w:ind w:left="980" w:right="140"/>
        <w:spacing w:after="0" w:line="277" w:lineRule="auto"/>
        <w:rPr>
          <w:sz w:val="20"/>
          <w:szCs w:val="20"/>
          <w:color w:val="auto"/>
        </w:rPr>
      </w:pPr>
      <w:r>
        <w:rPr>
          <w:rFonts w:ascii="Arial" w:cs="Arial" w:eastAsia="Arial" w:hAnsi="Arial"/>
          <w:sz w:val="18"/>
          <w:szCs w:val="18"/>
          <w:color w:val="auto"/>
        </w:rPr>
        <w:t>regional development and commercialization rights in mainland China, Hong Kong, Macau and Taiwan (I-Mab's territory), will lead clinical development of enoblituzumab in its territories, and will participate in global studies conducted by us.</w:t>
      </w:r>
    </w:p>
    <w:p>
      <w:pPr>
        <w:spacing w:after="0" w:line="170"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 xml:space="preserve">Under the terms of the agreement, I-Mab paid us an upfront payment of $15.0 million. Assuming successful development and commercialization of enoblituzumab, we could receive up to $135.0 million in development and regulatory milestones of which $5.0 million has been earned from the inception of the I-Mab License Agreement through </w:t>
      </w:r>
      <w:r>
        <w:rPr>
          <w:rFonts w:ascii="Arial" w:cs="Arial" w:eastAsia="Arial" w:hAnsi="Arial"/>
          <w:sz w:val="18"/>
          <w:szCs w:val="18"/>
          <w:color w:val="252525"/>
        </w:rPr>
        <w:t>June 30, 2022</w:t>
      </w:r>
      <w:r>
        <w:rPr>
          <w:rFonts w:ascii="Arial" w:cs="Arial" w:eastAsia="Arial" w:hAnsi="Arial"/>
          <w:sz w:val="18"/>
          <w:szCs w:val="18"/>
          <w:color w:val="auto"/>
        </w:rPr>
        <w:t>. In addition, I-Mab would pay us tiered royalties ranging from mid-teens to 20% on annual net sales in its territories.</w:t>
      </w:r>
    </w:p>
    <w:p>
      <w:pPr>
        <w:spacing w:after="0" w:line="133" w:lineRule="exact"/>
        <w:rPr>
          <w:sz w:val="20"/>
          <w:szCs w:val="20"/>
          <w:color w:val="auto"/>
        </w:rPr>
      </w:pPr>
    </w:p>
    <w:p>
      <w:pPr>
        <w:ind w:left="980" w:right="40" w:hanging="323"/>
        <w:spacing w:after="0" w:line="277" w:lineRule="auto"/>
        <w:rPr>
          <w:sz w:val="20"/>
          <w:szCs w:val="20"/>
          <w:color w:val="auto"/>
        </w:rPr>
      </w:pPr>
      <w:r>
        <w:rPr>
          <w:rFonts w:ascii="Arial" w:cs="Arial" w:eastAsia="Arial" w:hAnsi="Arial"/>
          <w:sz w:val="18"/>
          <w:szCs w:val="18"/>
          <w:color w:val="auto"/>
        </w:rPr>
        <w:t>In October 2021, we entered into an agreement under which we are to perform development and manufacturing services for I-Mab’s clinical needs of enoblituzumab</w:t>
      </w:r>
      <w:r>
        <w:rPr>
          <w:rFonts w:ascii="Arial" w:cs="Arial" w:eastAsia="Arial" w:hAnsi="Arial"/>
          <w:sz w:val="18"/>
          <w:szCs w:val="18"/>
          <w:color w:val="008080"/>
        </w:rPr>
        <w:t>.</w:t>
      </w:r>
    </w:p>
    <w:p>
      <w:pPr>
        <w:spacing w:after="0" w:line="116" w:lineRule="exact"/>
        <w:rPr>
          <w:sz w:val="20"/>
          <w:szCs w:val="20"/>
          <w:color w:val="auto"/>
        </w:rPr>
      </w:pPr>
    </w:p>
    <w:p>
      <w:pPr>
        <w:ind w:left="980" w:right="20" w:hanging="324"/>
        <w:spacing w:after="0" w:line="275"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Janssen. </w:t>
      </w:r>
      <w:r>
        <w:rPr>
          <w:rFonts w:ascii="Arial" w:cs="Arial" w:eastAsia="Arial" w:hAnsi="Arial"/>
          <w:sz w:val="17"/>
          <w:szCs w:val="17"/>
          <w:color w:val="auto"/>
        </w:rPr>
        <w:t>In December 2020, we entered into a research collaboration and global license agreement to develop a preclinical bispecific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right="220" w:firstLine="702"/>
        <w:spacing w:after="0" w:line="279" w:lineRule="auto"/>
        <w:rPr>
          <w:sz w:val="20"/>
          <w:szCs w:val="20"/>
          <w:color w:val="auto"/>
        </w:rPr>
      </w:pPr>
      <w:r>
        <w:rPr>
          <w:rFonts w:ascii="Arial" w:cs="Arial" w:eastAsia="Arial" w:hAnsi="Arial"/>
          <w:sz w:val="17"/>
          <w:szCs w:val="17"/>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2021. There have been no material changes with respect to our critical accounting estimates during the six months ended June 30, 2022.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comparison of our revenue for the three and six months ended June 30, 2022 and 2021 (dollars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Six Months Ended June 30,</w:t>
            </w:r>
          </w:p>
        </w:tc>
        <w:tc>
          <w:tcPr>
            <w:tcW w:w="980" w:type="dxa"/>
            <w:vAlign w:val="bottom"/>
            <w:tcBorders>
              <w:bottom w:val="single" w:sz="8" w:color="auto"/>
            </w:tcBorders>
          </w:tcPr>
          <w:p>
            <w:pPr>
              <w:spacing w:after="0"/>
              <w:rPr>
                <w:sz w:val="16"/>
                <w:szCs w:val="16"/>
                <w:color w:val="auto"/>
              </w:rPr>
            </w:pPr>
          </w:p>
        </w:tc>
      </w:tr>
      <w:tr>
        <w:trPr>
          <w:trHeight w:val="187"/>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18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Collaborative and other agreements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color w:val="auto"/>
              </w:rPr>
              <w:t>Product sales, net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102 %</w:t>
            </w:r>
          </w:p>
        </w:tc>
      </w:tr>
      <w:tr>
        <w:trPr>
          <w:trHeight w:val="19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6"/>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Government agreements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decrease in revenue of $4.8 million for the three months ended June 30, 2022 compared to the three months ended June 30, 2021 was primarily due to:</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decrease of $5.0 million in development milestones recognized under the </w:t>
      </w:r>
      <w:r>
        <w:rPr>
          <w:rFonts w:ascii="Arial" w:cs="Arial" w:eastAsia="Arial" w:hAnsi="Arial"/>
          <w:sz w:val="18"/>
          <w:szCs w:val="18"/>
          <w:color w:val="252525"/>
        </w:rPr>
        <w:t>Incyte License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10"/>
        </w:numPr>
        <w:rPr>
          <w:rFonts w:ascii="Arial" w:cs="Arial" w:eastAsia="Arial" w:hAnsi="Arial"/>
          <w:sz w:val="18"/>
          <w:szCs w:val="18"/>
          <w:color w:val="252525"/>
        </w:rPr>
      </w:pPr>
      <w:r>
        <w:rPr>
          <w:rFonts w:ascii="Arial" w:cs="Arial" w:eastAsia="Arial" w:hAnsi="Arial"/>
          <w:sz w:val="18"/>
          <w:szCs w:val="18"/>
          <w:color w:val="auto"/>
        </w:rPr>
        <w:t>a decrease of $2.6 million in revenue recognized under the Incyte Commercial Supply Agreement due to timing of manufacturing activities; and</w:t>
      </w:r>
    </w:p>
    <w:p>
      <w:pPr>
        <w:spacing w:after="0" w:line="62" w:lineRule="exact"/>
        <w:rPr>
          <w:rFonts w:ascii="Arial" w:cs="Arial" w:eastAsia="Arial" w:hAnsi="Arial"/>
          <w:sz w:val="18"/>
          <w:szCs w:val="18"/>
          <w:color w:val="252525"/>
        </w:rPr>
      </w:pPr>
    </w:p>
    <w:p>
      <w:pPr>
        <w:ind w:left="980" w:hanging="324"/>
        <w:spacing w:after="0"/>
        <w:tabs>
          <w:tab w:leader="none" w:pos="980" w:val="left"/>
        </w:tabs>
        <w:numPr>
          <w:ilvl w:val="0"/>
          <w:numId w:val="10"/>
        </w:numPr>
        <w:rPr>
          <w:rFonts w:ascii="Arial" w:cs="Arial" w:eastAsia="Arial" w:hAnsi="Arial"/>
          <w:sz w:val="18"/>
          <w:szCs w:val="18"/>
          <w:b w:val="1"/>
          <w:bCs w:val="1"/>
          <w:i w:val="1"/>
          <w:iCs w:val="1"/>
          <w:color w:val="252525"/>
        </w:rPr>
      </w:pPr>
      <w:r>
        <w:rPr>
          <w:rFonts w:ascii="Arial" w:cs="Arial" w:eastAsia="Arial" w:hAnsi="Arial"/>
          <w:sz w:val="18"/>
          <w:szCs w:val="18"/>
          <w:color w:val="auto"/>
        </w:rPr>
        <w:t>a decrease of $1.3 million in revenue recognized under the I-Mab License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 million recognized under the Incyte Manufacturing and Clinical Supply Agreement;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$1.5 million in net product revenue from sales of MARGENZA.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color w:val="auto"/>
        </w:rPr>
        <w:t>The decrease in revenue of $10.6 million for the six months ended June 30, 2022 compared to the six months ended June 30, 2021 was primarily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to:</w:t>
      </w:r>
    </w:p>
    <w:p>
      <w:pPr>
        <w:spacing w:after="0" w:line="10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252525"/>
        </w:rPr>
      </w:pPr>
      <w:r>
        <w:rPr>
          <w:rFonts w:ascii="Arial" w:cs="Arial" w:eastAsia="Arial" w:hAnsi="Arial"/>
          <w:sz w:val="18"/>
          <w:szCs w:val="18"/>
          <w:color w:val="auto"/>
        </w:rPr>
        <w:t xml:space="preserve">a decrease of $15.0 million in development milestones recognized under the </w:t>
      </w:r>
      <w:r>
        <w:rPr>
          <w:rFonts w:ascii="Arial" w:cs="Arial" w:eastAsia="Arial" w:hAnsi="Arial"/>
          <w:sz w:val="18"/>
          <w:szCs w:val="18"/>
          <w:color w:val="252525"/>
        </w:rPr>
        <w:t>Incyte License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252525"/>
        </w:rPr>
      </w:pPr>
    </w:p>
    <w:p>
      <w:pPr>
        <w:ind w:left="980" w:right="180" w:hanging="324"/>
        <w:spacing w:after="0" w:line="277" w:lineRule="auto"/>
        <w:tabs>
          <w:tab w:leader="none" w:pos="975" w:val="left"/>
        </w:tabs>
        <w:numPr>
          <w:ilvl w:val="0"/>
          <w:numId w:val="12"/>
        </w:numPr>
        <w:rPr>
          <w:rFonts w:ascii="Arial" w:cs="Arial" w:eastAsia="Arial" w:hAnsi="Arial"/>
          <w:sz w:val="18"/>
          <w:szCs w:val="18"/>
          <w:color w:val="252525"/>
        </w:rPr>
      </w:pPr>
      <w:r>
        <w:rPr>
          <w:rFonts w:ascii="Arial" w:cs="Arial" w:eastAsia="Arial" w:hAnsi="Arial"/>
          <w:sz w:val="18"/>
          <w:szCs w:val="18"/>
          <w:color w:val="auto"/>
        </w:rPr>
        <w:t>a decrease of $5.7 million in revenue recognized under the Incyte Commercial Supply Agreement due to timing of manufacturing activities; and</w:t>
      </w:r>
    </w:p>
    <w:p>
      <w:pPr>
        <w:spacing w:after="0" w:line="62" w:lineRule="exact"/>
        <w:rPr>
          <w:rFonts w:ascii="Arial" w:cs="Arial" w:eastAsia="Arial" w:hAnsi="Arial"/>
          <w:sz w:val="18"/>
          <w:szCs w:val="18"/>
          <w:color w:val="252525"/>
        </w:rPr>
      </w:pPr>
    </w:p>
    <w:p>
      <w:pPr>
        <w:ind w:left="980" w:hanging="324"/>
        <w:spacing w:after="0"/>
        <w:tabs>
          <w:tab w:leader="none" w:pos="980" w:val="left"/>
        </w:tabs>
        <w:numPr>
          <w:ilvl w:val="0"/>
          <w:numId w:val="12"/>
        </w:numPr>
        <w:rPr>
          <w:rFonts w:ascii="Arial" w:cs="Arial" w:eastAsia="Arial" w:hAnsi="Arial"/>
          <w:sz w:val="18"/>
          <w:szCs w:val="18"/>
          <w:color w:val="252525"/>
        </w:rPr>
      </w:pPr>
      <w:r>
        <w:rPr>
          <w:rFonts w:ascii="Arial" w:cs="Arial" w:eastAsia="Arial" w:hAnsi="Arial"/>
          <w:sz w:val="18"/>
          <w:szCs w:val="18"/>
          <w:color w:val="auto"/>
        </w:rPr>
        <w:t>a decrease of $1.8 million in revenue recognized under the I-Mab License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252525"/>
        </w:rPr>
      </w:pPr>
      <w:r>
        <w:rPr>
          <w:rFonts w:ascii="Arial" w:cs="Arial" w:eastAsia="Arial" w:hAnsi="Arial"/>
          <w:sz w:val="18"/>
          <w:szCs w:val="18"/>
          <w:color w:val="252525"/>
        </w:rPr>
        <w:t xml:space="preserve">recognition of a $5.0 million milestone under the </w:t>
      </w:r>
      <w:r>
        <w:rPr>
          <w:rFonts w:ascii="Arial" w:cs="Arial" w:eastAsia="Arial" w:hAnsi="Arial"/>
          <w:sz w:val="18"/>
          <w:szCs w:val="18"/>
          <w:color w:val="000000"/>
        </w:rPr>
        <w:t>2018 Zai Lab Agreement during the six months ended June 30, 2022</w:t>
      </w:r>
      <w:r>
        <w:rPr>
          <w:rFonts w:ascii="Arial" w:cs="Arial" w:eastAsia="Arial" w:hAnsi="Arial"/>
          <w:sz w:val="18"/>
          <w:szCs w:val="18"/>
          <w:color w:val="252525"/>
        </w:rPr>
        <w:t>;</w:t>
      </w:r>
    </w:p>
    <w:p>
      <w:pPr>
        <w:spacing w:after="0" w:line="117" w:lineRule="exact"/>
        <w:rPr>
          <w:rFonts w:ascii="Arial" w:cs="Arial" w:eastAsia="Arial" w:hAnsi="Arial"/>
          <w:sz w:val="18"/>
          <w:szCs w:val="18"/>
          <w:color w:val="252525"/>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$4.2 million in net product revenue from sales of MARGENZA;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 million recognized under the Incyte Manufacturing and Clinical Supply Agreement.</w:t>
      </w:r>
    </w:p>
    <w:p>
      <w:pPr>
        <w:spacing w:after="0" w:line="171" w:lineRule="exact"/>
        <w:rPr>
          <w:sz w:val="20"/>
          <w:szCs w:val="20"/>
          <w:color w:val="auto"/>
        </w:rPr>
      </w:pPr>
    </w:p>
    <w:p>
      <w:pPr>
        <w:jc w:val="both"/>
        <w:ind w:right="780" w:firstLine="648"/>
        <w:spacing w:after="0" w:line="263" w:lineRule="auto"/>
        <w:rPr>
          <w:sz w:val="20"/>
          <w:szCs w:val="20"/>
          <w:color w:val="auto"/>
        </w:rPr>
      </w:pPr>
      <w:r>
        <w:rPr>
          <w:rFonts w:ascii="Arial" w:cs="Arial" w:eastAsia="Arial" w:hAnsi="Arial"/>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Cost of product sales for all periods presented consists primarily of product royalties and fill finish costs. Product sold during these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Cost of manufacturing services consists of the costs to provide manufacturing services to produce certain Incyte bulk drug substance under the Incyte Manufacturing and Clinical Supply Agreement. We entered into this agreement in January 2022, therefore there are no such costs during the three and six months ended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represents a comparison of our research and development expense for the three and six months ended June 30, 2022 and 2021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ind w:left="520"/>
              <w:spacing w:after="0"/>
              <w:rPr>
                <w:sz w:val="20"/>
                <w:szCs w:val="20"/>
                <w:color w:val="auto"/>
              </w:rPr>
            </w:pPr>
            <w:r>
              <w:rPr>
                <w:rFonts w:ascii="Arial" w:cs="Arial" w:eastAsia="Arial" w:hAnsi="Arial"/>
                <w:sz w:val="18"/>
                <w:szCs w:val="18"/>
                <w:b w:val="1"/>
                <w:bCs w:val="1"/>
                <w:color w:val="auto"/>
                <w:w w:val="92"/>
              </w:rPr>
              <w:t>Three Months Ended June 30,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3"/>
              </w:rPr>
              <w:t>Six Months Ended June 30,</w:t>
            </w:r>
          </w:p>
        </w:tc>
        <w:tc>
          <w:tcPr>
            <w:tcW w:w="660" w:type="dxa"/>
            <w:vAlign w:val="bottom"/>
            <w:tcBorders>
              <w:bottom w:val="single" w:sz="8" w:color="auto"/>
            </w:tcBorders>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MGC018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Margetuximab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Lorigerlimab</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Flotetuzumab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Enoblituzumab</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Tebotelimab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MGD024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IMGC936</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50"/>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DART molecules under HIV government contract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 (a)</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1"/>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research and discovery projects, as well as early preclinical and terminated molecules.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Our research and development expense for the three months ended June 30, 2022 decreased by $4.1 million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primarily due to:</w:t>
      </w:r>
    </w:p>
    <w:p>
      <w:pPr>
        <w:spacing w:after="0" w:line="15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retifanlimab manufacturing costs related to the Incyte Commercial Supply Agreement;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decreased development, manufacturing and clinical trial costs related to flotetuzumab (due to discontinuance of our company-sponsored trial);</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b w:val="1"/>
          <w:bCs w:val="1"/>
          <w:i w:val="1"/>
          <w:iCs w:val="1"/>
          <w:color w:val="252525"/>
        </w:rPr>
      </w:pPr>
      <w:r>
        <w:rPr>
          <w:rFonts w:ascii="Arial" w:cs="Arial" w:eastAsia="Arial" w:hAnsi="Arial"/>
          <w:sz w:val="18"/>
          <w:szCs w:val="18"/>
          <w:color w:val="auto"/>
        </w:rPr>
        <w:t>decreased margetuximab manufacturing costs related to the Zai Lab Clinical Supply Agreement; and</w:t>
      </w:r>
    </w:p>
    <w:p>
      <w:pPr>
        <w:spacing w:after="0" w:line="171"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development, manufacturing and clinical trial costs related to tebotelimab.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5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development of discovery projects and preclinical molecules;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lorigerlimab;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252525"/>
        </w:rPr>
      </w:pPr>
      <w:r>
        <w:rPr>
          <w:rFonts w:ascii="Arial" w:cs="Arial" w:eastAsia="Arial" w:hAnsi="Arial"/>
          <w:sz w:val="18"/>
          <w:szCs w:val="18"/>
          <w:color w:val="auto"/>
        </w:rPr>
        <w:t>increased development, manufacturing and clinical trial costs related to MGC018.</w:t>
      </w:r>
    </w:p>
    <w:p>
      <w:pPr>
        <w:spacing w:after="0" w:line="17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Our research and development expense for the six months ended June 30, 2022 increased by $4.3 million compared to the six months ended June 30, 2021 primarily due to:</w:t>
      </w:r>
    </w:p>
    <w:p>
      <w:pPr>
        <w:spacing w:after="0" w:line="11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252525"/>
        </w:rPr>
      </w:pPr>
      <w:r>
        <w:rPr>
          <w:rFonts w:ascii="Arial" w:cs="Arial" w:eastAsia="Arial" w:hAnsi="Arial"/>
          <w:sz w:val="18"/>
          <w:szCs w:val="18"/>
          <w:color w:val="auto"/>
        </w:rPr>
        <w:t>increased development, manufacturing and clinical trial costs related to MGC018;</w:t>
      </w:r>
    </w:p>
    <w:p>
      <w:pPr>
        <w:spacing w:after="0" w:line="171" w:lineRule="exact"/>
        <w:rPr>
          <w:rFonts w:ascii="Arial" w:cs="Arial" w:eastAsia="Arial" w:hAnsi="Arial"/>
          <w:sz w:val="18"/>
          <w:szCs w:val="18"/>
          <w:color w:val="252525"/>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development of discovery projects and preclinical molecules;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lorigerlimab.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5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development, manufacturing and clinical trial costs related to flotetuzumab (due to discontinuance of our company-sponsored trial);</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retifanlimab manufacturing costs related to the Incyte Commercial Supply Agreement;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b w:val="1"/>
          <w:bCs w:val="1"/>
          <w:i w:val="1"/>
          <w:iCs w:val="1"/>
          <w:color w:val="252525"/>
        </w:rPr>
      </w:pPr>
      <w:r>
        <w:rPr>
          <w:rFonts w:ascii="Arial" w:cs="Arial" w:eastAsia="Arial" w:hAnsi="Arial"/>
          <w:sz w:val="18"/>
          <w:szCs w:val="18"/>
          <w:color w:val="auto"/>
        </w:rPr>
        <w:t>decreased margetuximab manufacturing costs related to the Zai Lab Clinical Supply Agreement.</w:t>
      </w:r>
    </w:p>
    <w:p>
      <w:pPr>
        <w:spacing w:after="0" w:line="158"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Phase 2/3 MGC018 TAMARACK study.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Selling, general and administrative expenses decreased by $1.6 million for the three months ended June 30, 2022 compared to the three months ended June 30, 2021 and by $0.3 million for the six months ended June 30, 2022 compared to the six months ended June 30, 2021 primarily due to decreased selling costs for MARGENZA, which launched in March 2021, as well as decreased consulting expenses.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biotechnology company, we have primarily funded our operations with proceeds from the sale of our common stock in equity offerings,</w:t>
      </w:r>
    </w:p>
    <w:p>
      <w:pPr>
        <w:spacing w:after="0" w:line="6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revenue from our multiple collaboration agreements, and contracts and grants from the National Institute of Allergy and Infectious Diseases. Management regularly reviews our available liquidity relative to our operating budget and forecast to monitor the sufficiency of our working capital, and anticipates continuing to draw upon available sources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t>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7"/>
          <w:szCs w:val="17"/>
          <w:color w:val="EE2724"/>
        </w:rPr>
        <w:t>.</w:t>
      </w:r>
      <w:r>
        <w:rPr>
          <w:rFonts w:ascii="Arial" w:cs="Arial" w:eastAsia="Arial" w:hAnsi="Arial"/>
          <w:sz w:val="17"/>
          <w:szCs w:val="17"/>
          <w:color w:val="auto"/>
        </w:rPr>
        <w:t xml:space="preserve"> Although it is difficult to predict our funding requirements, we anticipate that our cash, cash equivalents and marketable securities as of June 30, 2022, combined with $30.0 million subsequently received from Incyte, anticipated and potential collaboration payments, product revenues and savings from the execution of our corporate restructuring plan, should enable us to fund our operations into 2024. Our expected funding requirements reflect anticipated expenditures related to the planned Phase 2 portion of the MGC018 TAMARACK study, as well as our other clinical and preclinical studies currently ongoing.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Material Cash Requirements</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six months ended June 30, 2022,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 summary of our cash flows for the six months ended June 30,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106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2021</w:t>
            </w:r>
          </w:p>
        </w:tc>
      </w:tr>
      <w:tr>
        <w:trPr>
          <w:trHeight w:val="263"/>
        </w:trPr>
        <w:tc>
          <w:tcPr>
            <w:tcW w:w="6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1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(dollars in millions)</w:t>
            </w:r>
          </w:p>
        </w:tc>
        <w:tc>
          <w:tcPr>
            <w:tcW w:w="1060" w:type="dxa"/>
            <w:vAlign w:val="bottom"/>
          </w:tcPr>
          <w:p>
            <w:pPr>
              <w:spacing w:after="0"/>
              <w:rPr>
                <w:sz w:val="22"/>
                <w:szCs w:val="22"/>
                <w:color w:val="auto"/>
              </w:rPr>
            </w:pPr>
          </w:p>
        </w:tc>
      </w:tr>
      <w:tr>
        <w:trPr>
          <w:trHeight w:val="230"/>
        </w:trPr>
        <w:tc>
          <w:tcPr>
            <w:tcW w:w="62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(used in):</w:t>
            </w: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260" w:type="dxa"/>
            <w:vAlign w:val="bottom"/>
          </w:tcPr>
          <w:p>
            <w:pPr>
              <w:ind w:left="780"/>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6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62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r>
      <w:tr>
        <w:trPr>
          <w:trHeight w:val="248"/>
        </w:trPr>
        <w:tc>
          <w:tcPr>
            <w:tcW w:w="6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Net change in cash and cash equivalents</w:t>
            </w:r>
          </w:p>
        </w:tc>
        <w:tc>
          <w:tcPr>
            <w:tcW w:w="17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operating activities consists of our net loss adjusted for non-cash items such as depreciation and amortization expense and stock-based compensation and changes in working capital. Net cash used in operating activities for the six months ended June 30, 2022 benefited from the $12.3 million received from Incyte under the Incyte Manufacturing and Clinical Supply Agreement and a $5.0 million milestone received under the 2018 Zai Lab Agreement. Net cash used in operating activities for the six months ended June 30, 2021 benefited from the $15.0 million milestone payments received under the Incyte License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Net cash provided by investing activities during the six months ended June 30, 2022 is primarily due to maturities of marketable securities, partially offset by purchases of marketable securities. Net cash used in investing activities during the six months ended June 30, 2021 is primarily due to purchases of marketable securities, partially offset by maturities of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reflects net cash proceeds from our securities offerings of approximately $98.2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8" w:name="page29"/>
    <w:bookmarkEnd w:id="28"/>
    <w:p>
      <w:pPr>
        <w:ind w:left="20"/>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16" w:lineRule="exact"/>
        <w:rPr>
          <w:sz w:val="20"/>
          <w:szCs w:val="20"/>
          <w:color w:val="auto"/>
        </w:rPr>
      </w:pPr>
    </w:p>
    <w:p>
      <w:pPr>
        <w:ind w:right="80" w:firstLine="693"/>
        <w:spacing w:after="0" w:line="277" w:lineRule="auto"/>
        <w:rPr>
          <w:sz w:val="20"/>
          <w:szCs w:val="20"/>
          <w:color w:val="auto"/>
        </w:rPr>
      </w:pPr>
      <w:r>
        <w:rPr>
          <w:rFonts w:ascii="Arial" w:cs="Arial" w:eastAsia="Arial" w:hAnsi="Arial"/>
          <w:sz w:val="18"/>
          <w:szCs w:val="18"/>
          <w:color w:val="auto"/>
        </w:rPr>
        <w:t>Under SEC rules and regulations, because we are considered to be a “smaller reporting company”, we are not required to provide the information required by this item in this Quarterly Report on Form 10-Q.</w:t>
      </w:r>
    </w:p>
    <w:p>
      <w:pPr>
        <w:spacing w:after="0" w:line="342"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management, including our principal executive officer and principal financial officer, has evaluated the effectiveness of our disclosure controls and procedures as of June 30, 2022.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2022, our principal executive officer and principal financial officer have concluded that our disclosure controls and procedures are effective at the reasonable assurance level.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2022 that materially affected, or are reasonably likely to materially effect, our internal control over financial reporting.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See Note 9, Commitments and Contingencies, to the consolidated financial statements of this Quarterly Report on Form 10-Q for more information.</w:t>
      </w:r>
    </w:p>
    <w:p>
      <w:pPr>
        <w:spacing w:after="0" w:line="30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have been no material changes in the risk factors described in “Item 1A. Risk Factors” of our Annual Report on Form 10-K for the year ended December 31, 2021, aside from the risk factors included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Products and Product Candidates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 highly uncertain outcome. We expect to incur significant additional costs related to the development of MGC018 and our other product candidates and may experience delays in completing, or ultimately be unable to complete, the development and commercialization of our other products and product candidates.</w:t>
      </w:r>
    </w:p>
    <w:p>
      <w:pPr>
        <w:spacing w:after="0" w:line="1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Biologics License Application (BLA) from the FDA or marketing approval from applicable regulatory authorities outside the United States. Our product candidates are in various stages of development and are subject to the risks of failure inherent in drug development. For example, in November 2021, we announced the discontinuation of Cohort A of the MAHOGANY trial for margetuximab in gastric cancer, based on a number of factors, including the prioritization of our other product candidates given the competition in this indication, and the FDA’s approval of competing combination therapy with pembrolizumab. Also in July 2022, we announced the discontinuation of the Phase 2 trial of enoblituzumab in combination with either retifanlimab or tebotelimab in the treatment of patients with recurrent or metastatic squamous cell carcinoma of the head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t>and neck (SCCHN), based on an internal review of safety data. In addition, our collaborator Incyte submitted a BLA for retifanlimab in January 2021 and in July 2021, received a Complete Response Letter (CRL) from the FDA regarding its BLA. Incyte’s announcement indicated that the FDA determined that additional data are needed to demonstrate the clinical benefit of retifanlimab for the submitted indication, and that Incyte is reviewing the CRL and will discuss next steps with the FDA. Obtaining approval of a BLA can be a lengthy, expensive and uncertain process. Further, in October 2021, Incyte withdrew its European application for marketing authorization of retifanlimab for the treatment of squamous carcinoma of the anal canal. In addition, failure to comply with FDA and non-U.S. regulatory requirements may, either before or after product approval, subject our company or our collaborators to administrative or judicially imposed sanctions, including:</w:t>
      </w:r>
    </w:p>
    <w:p>
      <w:pPr>
        <w:spacing w:after="0" w:line="1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products, manufacturers, manufacturing facilities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 or analogous marketing approvals outside the United States.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FDA and foreign regulatory authorities also have substantial discretion in the drug approval process. The number of preclinical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deemed safe or effective;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may not confirm the positive results from earlier preclinical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agencies may not find the data from preclinical studies and clinical trials sufficient or meaningful;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agencies might not approve or might require changes to our manufacturing processes or facilities;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agencies may change their approval policies or adopt new regulations.</w:t>
      </w:r>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33"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46"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We, or our collaborators, are either currently enrolling patients in clinical trials or anticipate initiating, continuing, designing or supporting clinical trials for molecules that include MGC018, lorigerlimab, retifanlimab, tebotelimab, IMGC936 and MGD024 as monotherapies or in combination with other product candidates. In addition, Incyte is currently enrolling patients in clinical trials for retifanlimab, and other collaborators outside the United States are developing our product candidates. We anticipate in the future collaborators will initiate or continue clinical trials of one or more our product candidates.</w:t>
      </w:r>
    </w:p>
    <w:p>
      <w:pPr>
        <w:spacing w:after="0" w:line="1"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The continuation, modification, or commencement of existing or new clinical trials could be substantially delayed or prevented by several factors, including:</w:t>
      </w:r>
    </w:p>
    <w:p>
      <w:pPr>
        <w:spacing w:after="0" w:line="1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0" w:name="page31"/>
    <w:bookmarkEnd w:id="30"/>
    <w:p>
      <w:pPr>
        <w:ind w:left="660" w:right="2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 or failure in patient recruitment or enrollment in our or our collaborators’ trials for any reason, including as a result of public health crises such as the evolving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delay or failure to obtain regulatory approval or agreement to commence a clinical trial in any of the countries where enrollment is planned;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obtain institutional review board (IRB) approval to conduct a clinical trial at a prospective site;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competition of product candidates that are expected to be more effective or have a more favorable safety profile;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potential combination therapies by competitors.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progress or completion of our, or our collaborators', clinical trials have been and could also be substantially delayed or prevented by many factors, including:</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unforeseen safety issues, including severe or unexpected adverse effects experienced by patients, including actual and possible deaths;</w:t>
      </w:r>
    </w:p>
    <w:p>
      <w:pPr>
        <w:spacing w:after="0" w:line="128"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expected site initiation, patient recruitment and enrollment, for any reason, including as a result of public health crises such as the evolving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and political instability in countries where our trial sites are located, including terrorist attacks, civil unrest and actual or threatened armed conflict;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our collaboration partners and/or our CROs;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repeat or terminate clinical trials as a result of inconclusive or negative results or unforeseen complications in testing.</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Clinical trials of our product candidates are subject to partial or full clinical holds from time to time. For example, the Investigational New Drug (IND) submission for MGD024 announced in November 2021 has not yet been accepted by the FDA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5" w:right="45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t>while we address their comments on the submission. The trial start is on hold, pending alignment with the FDA. We believe we are able to address the FDA’s comments and the MGD024 IND submission will be accepted for filing.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 for product approval.</w:t>
      </w:r>
    </w:p>
    <w:p>
      <w:pPr>
        <w:spacing w:after="0" w:line="13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MARGENZA and our product candidates in the U.S. or in other jurisdictions.</w:t>
      </w:r>
    </w:p>
    <w:p>
      <w:pPr>
        <w:spacing w:after="0" w:line="138" w:lineRule="exact"/>
        <w:rPr>
          <w:sz w:val="20"/>
          <w:szCs w:val="20"/>
          <w:color w:val="auto"/>
        </w:rPr>
      </w:pPr>
    </w:p>
    <w:p>
      <w:pPr>
        <w:ind w:right="560" w:firstLine="22"/>
        <w:spacing w:after="0" w:line="342" w:lineRule="auto"/>
        <w:rPr>
          <w:sz w:val="20"/>
          <w:szCs w:val="20"/>
          <w:color w:val="auto"/>
        </w:rPr>
      </w:pPr>
      <w:r>
        <w:rPr>
          <w:rFonts w:ascii="Arial" w:cs="Arial" w:eastAsia="Arial" w:hAnsi="Arial"/>
          <w:sz w:val="16"/>
          <w:szCs w:val="16"/>
          <w:b w:val="1"/>
          <w:bCs w:val="1"/>
          <w:i w:val="1"/>
          <w:iCs w:val="1"/>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support the conclusion that one or more of these product candidates have acceptable safety profiles. The results of future clinical or preclinical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or potential product liability claims. For example, in July 2022 we announced the discontinuation of our Phase 2 trial of enoblituzumab in combination with either retifanlimab or tebotelimab in the treatment of patients with recurrent or metastatic SCCHN, based on an internal review of safety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undesirable or unacceptable side effects potentially caused by such products: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impose other risk-management measures, conduct additional clinical trials or change the labeling of the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ind w:right="120" w:firstLine="648"/>
        <w:spacing w:after="0" w:line="259" w:lineRule="auto"/>
        <w:rPr>
          <w:sz w:val="20"/>
          <w:szCs w:val="20"/>
          <w:color w:val="auto"/>
        </w:rPr>
      </w:pPr>
      <w:r>
        <w:rPr>
          <w:rFonts w:ascii="Arial" w:cs="Arial" w:eastAsia="Arial" w:hAnsi="Arial"/>
          <w:sz w:val="18"/>
          <w:szCs w:val="18"/>
          <w:color w:val="auto"/>
        </w:rPr>
        <w:t>For example, the prescribing information for MARGENZA include warnings and precautions for infusion-related reactions, as well as a boxed warning related to left ventricular dysfunction and embryo-fetal toxicity. Further, based on the identification of future adverse events, we may be required to further revise the prescribing information, including MARGENZA’s boxed warning, which could negatively impact sales of MARGENZA or adversely affect MARGENZA’s acceptance in the market.</w:t>
      </w:r>
    </w:p>
    <w:p>
      <w:pPr>
        <w:spacing w:after="0" w:line="13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business could be adversely affected by economic downturns, inflation, increases in interest rates, natural disasters, public health crises such as the COVID-19 pandemic, political crises, geopolitical events, such as the crisis in Ukraine, or other macroeconomic conditions, which have in the past and may in the future negatively impact our business and financial performance.</w:t>
      </w:r>
    </w:p>
    <w:p>
      <w:pPr>
        <w:spacing w:after="0" w:line="1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restructuring and the associated workforce reduction announced in August 2022 may not result in anticipated cost savings, could result in total costs and expenses that are greater than expected and could disrupt our business.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August 2022, we announced a reduction in workforce by approximately 15% in connection with the restructuring of our business to prioritize and focus on our lead assets. We may not realize, in full or in part, the anticipated benefits, savings and improvements in our operating structure from our restructuring efforts due to unforeseen difficulties, delays or unexpected costs. If we are unable to realize the expected operational efficiencies and cost savings from the restructuring, our results of operation and financial condition would be adversely affected. We expect to incur additional costs as we recognize one-time employee termination-related charges. We also cannot guarantee that we will not have to undertake additional workforce reductions or restructuring activities in the future. Furthermore, our strategic restructuring plan may be disruptive to our operations. For example, our workforce reductions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at unplanned additional expense or harm our productivity. Our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tbl>
      <w:tblPr>
        <w:tblLayout w:type="fixed"/>
        <w:tblInd w:w="12"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4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Amendment No. 2 to the Global Collaboration and License Agreement by and between the Company and Incyte</w:t>
              </w:r>
            </w:hyperlink>
          </w:p>
        </w:tc>
      </w:tr>
      <w:tr>
        <w:trPr>
          <w:trHeight w:val="169"/>
        </w:trPr>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Corporation, dated April 7, 2022</w:t>
              </w:r>
            </w:hyperlink>
          </w:p>
        </w:tc>
        <w:tc>
          <w:tcPr>
            <w:tcW w:w="57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493"/>
        </w:trPr>
        <w:tc>
          <w:tcPr>
            <w:tcW w:w="720" w:type="dxa"/>
            <w:vAlign w:val="bottom"/>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Rule 13a-14(a) Certification of Principal Executive Officer</w:t>
              </w:r>
            </w:hyperlink>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Rule 13a-14(a)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3860" w:type="dxa"/>
            <w:vAlign w:val="bottom"/>
            <w:gridSpan w:val="2"/>
          </w:tcPr>
          <w:p>
            <w:pPr>
              <w:spacing w:after="0"/>
              <w:rPr>
                <w:sz w:val="24"/>
                <w:szCs w:val="24"/>
                <w:color w:val="auto"/>
              </w:rPr>
            </w:pPr>
          </w:p>
        </w:tc>
      </w:tr>
      <w:tr>
        <w:trPr>
          <w:trHeight w:val="480"/>
        </w:trPr>
        <w:tc>
          <w:tcPr>
            <w:tcW w:w="72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Section 1350 Certification of Principal Executive Officer</w:t>
              </w:r>
            </w:hyperlink>
          </w:p>
        </w:tc>
      </w:tr>
      <w:tr>
        <w:trPr>
          <w:trHeight w:val="480"/>
        </w:trPr>
        <w:tc>
          <w:tcPr>
            <w:tcW w:w="720" w:type="dxa"/>
            <w:vAlign w:val="bottom"/>
          </w:tcPr>
          <w:p>
            <w:pPr>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Section 1350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4000" w:type="dxa"/>
            <w:vAlign w:val="bottom"/>
            <w:gridSpan w:val="4"/>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Schema Document</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Calculation Linkbase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Labels Linkbase Document</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r>
      <w:tr>
        <w:trPr>
          <w:trHeight w:val="44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Cover Page Interactive Data (formatted as Inline XBRL and contained in Exhibit 101 filed herewith)</w:t>
            </w:r>
          </w:p>
        </w:tc>
      </w:tr>
    </w:tbl>
    <w:p>
      <w:pPr>
        <w:spacing w:after="0" w:line="200" w:lineRule="exact"/>
        <w:rPr>
          <w:sz w:val="20"/>
          <w:szCs w:val="20"/>
          <w:color w:val="auto"/>
        </w:rPr>
      </w:pPr>
    </w:p>
    <w:p>
      <w:pPr>
        <w:spacing w:after="0" w:line="218" w:lineRule="exact"/>
        <w:rPr>
          <w:sz w:val="20"/>
          <w:szCs w:val="20"/>
          <w:color w:val="auto"/>
        </w:rPr>
      </w:pPr>
    </w:p>
    <w:p>
      <w:pPr>
        <w:ind w:left="332" w:hanging="332"/>
        <w:spacing w:after="0" w:line="258"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are the type that MacroGenics, Inc. treats as private and confidential.</w:t>
      </w:r>
    </w:p>
    <w:p>
      <w:pPr>
        <w:spacing w:after="0" w:line="1"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12" w:hanging="412"/>
        <w:spacing w:after="0"/>
        <w:tabs>
          <w:tab w:leader="none" w:pos="4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2"/>
          </w:cols>
          <w:pgMar w:left="328" w:top="972" w:right="7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MACROGENICS,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6"/>
              </w:rPr>
              <w:t>BY:</w:t>
            </w:r>
          </w:p>
        </w:tc>
        <w:tc>
          <w:tcPr>
            <w:tcW w:w="4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Scott Koenig</w:t>
            </w:r>
          </w:p>
        </w:tc>
      </w:tr>
      <w:tr>
        <w:trPr>
          <w:trHeight w:val="222"/>
        </w:trPr>
        <w:tc>
          <w:tcPr>
            <w:tcW w:w="300" w:type="dxa"/>
            <w:vAlign w:val="bottom"/>
          </w:tcPr>
          <w:p>
            <w:pPr>
              <w:spacing w:after="0"/>
              <w:rPr>
                <w:sz w:val="19"/>
                <w:szCs w:val="19"/>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Scott Koenig, M.D., Ph.D.</w:t>
            </w:r>
          </w:p>
        </w:tc>
      </w:tr>
      <w:tr>
        <w:trPr>
          <w:trHeight w:val="229"/>
        </w:trPr>
        <w:tc>
          <w:tcPr>
            <w:tcW w:w="300" w:type="dxa"/>
            <w:vAlign w:val="bottom"/>
          </w:tcPr>
          <w:p>
            <w:pPr>
              <w:spacing w:after="0"/>
              <w:rPr>
                <w:sz w:val="19"/>
                <w:szCs w:val="19"/>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0" w:type="dxa"/>
            <w:vAlign w:val="bottom"/>
          </w:tcPr>
          <w:p>
            <w:pPr>
              <w:spacing w:after="0"/>
              <w:rPr>
                <w:sz w:val="20"/>
                <w:szCs w:val="20"/>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00" w:type="dxa"/>
            <w:vAlign w:val="bottom"/>
          </w:tcPr>
          <w:p>
            <w:pPr>
              <w:spacing w:after="0"/>
              <w:rPr>
                <w:sz w:val="20"/>
                <w:szCs w:val="20"/>
                <w:color w:val="auto"/>
              </w:rPr>
            </w:pPr>
            <w:r>
              <w:rPr>
                <w:rFonts w:ascii="Arial" w:cs="Arial" w:eastAsia="Arial" w:hAnsi="Arial"/>
                <w:sz w:val="18"/>
                <w:szCs w:val="18"/>
                <w:color w:val="auto"/>
                <w:w w:val="96"/>
              </w:rPr>
              <w:t>BY:</w:t>
            </w:r>
          </w:p>
        </w:tc>
        <w:tc>
          <w:tcPr>
            <w:tcW w:w="4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James Karrels</w:t>
            </w:r>
          </w:p>
        </w:tc>
      </w:tr>
      <w:tr>
        <w:trPr>
          <w:trHeight w:val="222"/>
        </w:trPr>
        <w:tc>
          <w:tcPr>
            <w:tcW w:w="300" w:type="dxa"/>
            <w:vAlign w:val="bottom"/>
          </w:tcPr>
          <w:p>
            <w:pPr>
              <w:spacing w:after="0"/>
              <w:rPr>
                <w:sz w:val="19"/>
                <w:szCs w:val="19"/>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James Karrels</w:t>
            </w:r>
          </w:p>
        </w:tc>
      </w:tr>
      <w:tr>
        <w:trPr>
          <w:trHeight w:val="229"/>
        </w:trPr>
        <w:tc>
          <w:tcPr>
            <w:tcW w:w="300" w:type="dxa"/>
            <w:vAlign w:val="bottom"/>
          </w:tcPr>
          <w:p>
            <w:pPr>
              <w:spacing w:after="0"/>
              <w:rPr>
                <w:sz w:val="19"/>
                <w:szCs w:val="19"/>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00" w:type="dxa"/>
            <w:vAlign w:val="bottom"/>
          </w:tcPr>
          <w:p>
            <w:pPr>
              <w:spacing w:after="0"/>
              <w:rPr>
                <w:sz w:val="20"/>
                <w:szCs w:val="20"/>
                <w:color w:val="auto"/>
              </w:rPr>
            </w:pPr>
          </w:p>
        </w:tc>
        <w:tc>
          <w:tcPr>
            <w:tcW w:w="4980" w:type="dxa"/>
            <w:vAlign w:val="bottom"/>
          </w:tcPr>
          <w:p>
            <w:pPr>
              <w:ind w:left="660"/>
              <w:spacing w:after="0"/>
              <w:rPr>
                <w:sz w:val="20"/>
                <w:szCs w:val="20"/>
                <w:color w:val="auto"/>
              </w:rPr>
            </w:pPr>
            <w:r>
              <w:rPr>
                <w:rFonts w:ascii="Arial" w:cs="Arial" w:eastAsia="Arial" w:hAnsi="Arial"/>
                <w:sz w:val="18"/>
                <w:szCs w:val="18"/>
                <w:color w:val="auto"/>
              </w:rPr>
              <w:t>(Principal Financial Officer)</w:t>
            </w:r>
          </w:p>
        </w:tc>
      </w:tr>
    </w:tbl>
    <w:p>
      <w:pPr>
        <w:ind w:left="680"/>
        <w:spacing w:after="0"/>
        <w:rPr>
          <w:sz w:val="20"/>
          <w:szCs w:val="20"/>
          <w:color w:val="auto"/>
        </w:rPr>
      </w:pPr>
      <w:r>
        <w:rPr>
          <w:rFonts w:ascii="Arial" w:cs="Arial" w:eastAsia="Arial" w:hAnsi="Arial"/>
          <w:sz w:val="18"/>
          <w:szCs w:val="18"/>
          <w:color w:val="auto"/>
        </w:rPr>
        <w:t>Dated: August 8, 2022</w:t>
      </w:r>
    </w:p>
    <w:p>
      <w:pPr>
        <w:sectPr>
          <w:pgSz w:w="11900" w:h="16838" w:orient="portrait"/>
          <w:cols w:equalWidth="0" w:num="1">
            <w:col w:w="11200"/>
          </w:cols>
          <w:pgMar w:left="320" w:top="931" w:right="37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12121"/>
        </w:rPr>
        <w:t>AMENDMENT NO. 2 TO GLOBAL COLLABORATION AND LICENSE</w:t>
      </w:r>
    </w:p>
    <w:p>
      <w:pPr>
        <w:jc w:val="center"/>
        <w:spacing w:after="0"/>
        <w:rPr>
          <w:sz w:val="20"/>
          <w:szCs w:val="20"/>
          <w:color w:val="auto"/>
        </w:rPr>
      </w:pPr>
      <w:r>
        <w:rPr>
          <w:rFonts w:ascii="Arial" w:cs="Arial" w:eastAsia="Arial" w:hAnsi="Arial"/>
          <w:sz w:val="21"/>
          <w:szCs w:val="21"/>
          <w:b w:val="1"/>
          <w:bCs w:val="1"/>
          <w:color w:val="212121"/>
        </w:rPr>
        <w:t>AGREEMENT</w:t>
      </w:r>
    </w:p>
    <w:p>
      <w:pPr>
        <w:spacing w:after="0" w:line="200" w:lineRule="exact"/>
        <w:rPr>
          <w:sz w:val="20"/>
          <w:szCs w:val="20"/>
          <w:color w:val="auto"/>
        </w:rPr>
      </w:pPr>
    </w:p>
    <w:p>
      <w:pPr>
        <w:spacing w:after="0" w:line="324" w:lineRule="exact"/>
        <w:rPr>
          <w:sz w:val="20"/>
          <w:szCs w:val="20"/>
          <w:color w:val="auto"/>
        </w:rPr>
      </w:pPr>
    </w:p>
    <w:p>
      <w:pPr>
        <w:jc w:val="both"/>
        <w:ind w:left="160" w:right="680" w:firstLine="657"/>
        <w:spacing w:after="0" w:line="274" w:lineRule="auto"/>
        <w:rPr>
          <w:sz w:val="20"/>
          <w:szCs w:val="20"/>
          <w:color w:val="auto"/>
        </w:rPr>
      </w:pPr>
      <w:r>
        <w:rPr>
          <w:rFonts w:ascii="Arial" w:cs="Arial" w:eastAsia="Arial" w:hAnsi="Arial"/>
          <w:sz w:val="19"/>
          <w:szCs w:val="19"/>
          <w:color w:val="212121"/>
        </w:rPr>
        <w:t xml:space="preserve">This Amendment No. 2 to Global Collaboration and License Agreement (this "Amendment No. 2") is dated as of April 7, 2022, by and between </w:t>
      </w:r>
      <w:r>
        <w:rPr>
          <w:rFonts w:ascii="Arial" w:cs="Arial" w:eastAsia="Arial" w:hAnsi="Arial"/>
          <w:sz w:val="19"/>
          <w:szCs w:val="19"/>
          <w:b w:val="1"/>
          <w:bCs w:val="1"/>
          <w:color w:val="212121"/>
        </w:rPr>
        <w:t>INCYTE CORPORATION,</w:t>
      </w:r>
      <w:r>
        <w:rPr>
          <w:rFonts w:ascii="Arial" w:cs="Arial" w:eastAsia="Arial" w:hAnsi="Arial"/>
          <w:sz w:val="19"/>
          <w:szCs w:val="19"/>
          <w:color w:val="212121"/>
        </w:rPr>
        <w:t xml:space="preserve"> a Delaware corporation, having its principal place of business at 1801 Augustine Cut-Off, Wilmington, DE 19803 (hereinafter </w:t>
      </w:r>
      <w:r>
        <w:rPr>
          <w:rFonts w:ascii="Arial" w:cs="Arial" w:eastAsia="Arial" w:hAnsi="Arial"/>
          <w:sz w:val="19"/>
          <w:szCs w:val="19"/>
          <w:color w:val="363636"/>
        </w:rPr>
        <w:t>"Incyte"),</w:t>
      </w:r>
      <w:r>
        <w:rPr>
          <w:rFonts w:ascii="Arial" w:cs="Arial" w:eastAsia="Arial" w:hAnsi="Arial"/>
          <w:sz w:val="19"/>
          <w:szCs w:val="19"/>
          <w:color w:val="212121"/>
        </w:rPr>
        <w:t xml:space="preserve"> and </w:t>
      </w:r>
      <w:r>
        <w:rPr>
          <w:rFonts w:ascii="Arial" w:cs="Arial" w:eastAsia="Arial" w:hAnsi="Arial"/>
          <w:sz w:val="19"/>
          <w:szCs w:val="19"/>
          <w:b w:val="1"/>
          <w:bCs w:val="1"/>
          <w:color w:val="212121"/>
        </w:rPr>
        <w:t>MACROGENICS, INC.,</w:t>
      </w:r>
      <w:r>
        <w:rPr>
          <w:rFonts w:ascii="Arial" w:cs="Arial" w:eastAsia="Arial" w:hAnsi="Arial"/>
          <w:sz w:val="19"/>
          <w:szCs w:val="19"/>
          <w:color w:val="212121"/>
        </w:rPr>
        <w:t xml:space="preserve"> a Delaware corporation, having its principal place of business at 9704 Medical Center Drive, Rockville, MD 20850 ("MacroGenics", together with Incyte, the "Parties" and each separately, a "Party"), and is meant to amend that certain Global Collaboration and License Agreement, dated as of October 24, 2017, between Incyte and MacroGenics and amended on March 15, 2018 ("Amendment No. 1"). The Global Collaboration and License Agreement and Amendment No. 1, the "Agreement". Capitalized terms used and not otherwise defined herein shall have the meanings ascribed to such terms in the Agreement.</w:t>
      </w:r>
    </w:p>
    <w:p>
      <w:pPr>
        <w:spacing w:after="0" w:line="205" w:lineRule="exact"/>
        <w:rPr>
          <w:sz w:val="20"/>
          <w:szCs w:val="20"/>
          <w:color w:val="auto"/>
        </w:rPr>
      </w:pPr>
    </w:p>
    <w:p>
      <w:pPr>
        <w:jc w:val="both"/>
        <w:ind w:left="140" w:right="700" w:firstLine="661"/>
        <w:spacing w:after="0" w:line="247" w:lineRule="auto"/>
        <w:rPr>
          <w:sz w:val="20"/>
          <w:szCs w:val="20"/>
          <w:color w:val="auto"/>
        </w:rPr>
      </w:pPr>
      <w:r>
        <w:rPr>
          <w:rFonts w:ascii="Arial" w:cs="Arial" w:eastAsia="Arial" w:hAnsi="Arial"/>
          <w:sz w:val="21"/>
          <w:szCs w:val="21"/>
          <w:color w:val="212121"/>
        </w:rPr>
        <w:t>WHEREAS, the Parties wish to add a Milestone to the Agreement specifically for receipt of a Regulatory Approval in the U.S. in the Indication of [***]but do not wish for such Regulatory Approval and Clinical Studies in and regulatory filings for such Indication to qualify as (i) a Development Milestone for the treatment of [***] under Section 8.2(b); (ii) a Regulatory Filing Milestone for the filing of a BLA in the U.S. under Section 8.2(c); or (iii) an Approval Milestone for the receipt of a Regulatory Approval in the U.S. under Section 8.2(d);</w:t>
      </w:r>
    </w:p>
    <w:p>
      <w:pPr>
        <w:spacing w:after="0" w:line="215" w:lineRule="exact"/>
        <w:rPr>
          <w:sz w:val="20"/>
          <w:szCs w:val="20"/>
          <w:color w:val="auto"/>
        </w:rPr>
      </w:pPr>
    </w:p>
    <w:p>
      <w:pPr>
        <w:jc w:val="both"/>
        <w:ind w:left="140" w:right="720" w:firstLine="650"/>
        <w:spacing w:after="0" w:line="289" w:lineRule="auto"/>
        <w:rPr>
          <w:sz w:val="20"/>
          <w:szCs w:val="20"/>
          <w:color w:val="auto"/>
        </w:rPr>
      </w:pPr>
      <w:r>
        <w:rPr>
          <w:rFonts w:ascii="Arial" w:cs="Arial" w:eastAsia="Arial" w:hAnsi="Arial"/>
          <w:sz w:val="20"/>
          <w:szCs w:val="20"/>
          <w:color w:val="212121"/>
        </w:rPr>
        <w:t>NOW, THEREFORE, IN CONSIDERATION of the mutual covenants contained herein, and for other good and valuable consideration the receipt and adequacy of which are hereby acknowledged, the Parties agree as follows:</w:t>
      </w:r>
    </w:p>
    <w:p>
      <w:pPr>
        <w:spacing w:after="0" w:line="175" w:lineRule="exact"/>
        <w:rPr>
          <w:sz w:val="20"/>
          <w:szCs w:val="20"/>
          <w:color w:val="auto"/>
        </w:rPr>
      </w:pPr>
    </w:p>
    <w:p>
      <w:pPr>
        <w:ind w:left="660" w:hanging="525"/>
        <w:spacing w:after="0"/>
        <w:tabs>
          <w:tab w:leader="none" w:pos="660" w:val="left"/>
        </w:tabs>
        <w:numPr>
          <w:ilvl w:val="0"/>
          <w:numId w:val="29"/>
        </w:numPr>
        <w:rPr>
          <w:rFonts w:ascii="Arial" w:cs="Arial" w:eastAsia="Arial" w:hAnsi="Arial"/>
          <w:sz w:val="21"/>
          <w:szCs w:val="21"/>
          <w:color w:val="212121"/>
        </w:rPr>
      </w:pPr>
      <w:r>
        <w:rPr>
          <w:rFonts w:ascii="Arial" w:cs="Arial" w:eastAsia="Arial" w:hAnsi="Arial"/>
          <w:sz w:val="21"/>
          <w:szCs w:val="21"/>
          <w:u w:val="single" w:color="auto"/>
          <w:color w:val="363636"/>
        </w:rPr>
        <w:t>Addition</w:t>
      </w:r>
      <w:r>
        <w:rPr>
          <w:rFonts w:ascii="Arial" w:cs="Arial" w:eastAsia="Arial" w:hAnsi="Arial"/>
          <w:sz w:val="21"/>
          <w:szCs w:val="21"/>
          <w:color w:val="363636"/>
        </w:rPr>
        <w:t xml:space="preserve"> </w:t>
      </w:r>
      <w:r>
        <w:rPr>
          <w:rFonts w:ascii="Arial" w:cs="Arial" w:eastAsia="Arial" w:hAnsi="Arial"/>
          <w:sz w:val="21"/>
          <w:szCs w:val="21"/>
          <w:u w:val="single" w:color="auto"/>
          <w:color w:val="212121"/>
        </w:rPr>
        <w:t>of</w:t>
      </w:r>
      <w:r>
        <w:rPr>
          <w:rFonts w:ascii="Arial" w:cs="Arial" w:eastAsia="Arial" w:hAnsi="Arial"/>
          <w:sz w:val="21"/>
          <w:szCs w:val="21"/>
          <w:color w:val="363636"/>
        </w:rPr>
        <w:t xml:space="preserve"> </w:t>
      </w:r>
      <w:r>
        <w:rPr>
          <w:rFonts w:ascii="Arial" w:cs="Arial" w:eastAsia="Arial" w:hAnsi="Arial"/>
          <w:sz w:val="21"/>
          <w:szCs w:val="21"/>
          <w:u w:val="single" w:color="auto"/>
          <w:color w:val="363636"/>
        </w:rPr>
        <w:t>new</w:t>
      </w:r>
      <w:r>
        <w:rPr>
          <w:rFonts w:ascii="Arial" w:cs="Arial" w:eastAsia="Arial" w:hAnsi="Arial"/>
          <w:sz w:val="21"/>
          <w:szCs w:val="21"/>
          <w:color w:val="363636"/>
        </w:rPr>
        <w:t xml:space="preserve"> </w:t>
      </w:r>
      <w:r>
        <w:rPr>
          <w:rFonts w:ascii="Arial" w:cs="Arial" w:eastAsia="Arial" w:hAnsi="Arial"/>
          <w:sz w:val="21"/>
          <w:szCs w:val="21"/>
          <w:u w:val="single" w:color="auto"/>
          <w:color w:val="212121"/>
        </w:rPr>
        <w:t>Section 8.2(f)</w:t>
      </w:r>
      <w:r>
        <w:rPr>
          <w:rFonts w:ascii="Arial" w:cs="Arial" w:eastAsia="Arial" w:hAnsi="Arial"/>
          <w:sz w:val="21"/>
          <w:szCs w:val="21"/>
          <w:color w:val="212121"/>
        </w:rPr>
        <w:t>. The following text is inserted in the Agreement as new Section 8.2(f):</w:t>
      </w:r>
    </w:p>
    <w:p>
      <w:pPr>
        <w:spacing w:after="0" w:line="239" w:lineRule="exact"/>
        <w:rPr>
          <w:sz w:val="20"/>
          <w:szCs w:val="20"/>
          <w:color w:val="auto"/>
        </w:rPr>
      </w:pPr>
    </w:p>
    <w:p>
      <w:pPr>
        <w:ind w:left="1340" w:right="740" w:hanging="557"/>
        <w:spacing w:after="0" w:line="281" w:lineRule="auto"/>
        <w:rPr>
          <w:sz w:val="20"/>
          <w:szCs w:val="20"/>
          <w:color w:val="auto"/>
        </w:rPr>
      </w:pPr>
      <w:r>
        <w:rPr>
          <w:rFonts w:ascii="Arial" w:cs="Arial" w:eastAsia="Arial" w:hAnsi="Arial"/>
          <w:sz w:val="19"/>
          <w:szCs w:val="19"/>
          <w:color w:val="212121"/>
        </w:rPr>
        <w:t xml:space="preserve">8.2(f) [***] </w:t>
      </w:r>
      <w:r>
        <w:rPr>
          <w:rFonts w:ascii="Arial" w:cs="Arial" w:eastAsia="Arial" w:hAnsi="Arial"/>
          <w:sz w:val="19"/>
          <w:szCs w:val="19"/>
          <w:b w:val="1"/>
          <w:bCs w:val="1"/>
          <w:color w:val="212121"/>
        </w:rPr>
        <w:t>Milestone.</w:t>
      </w:r>
      <w:r>
        <w:rPr>
          <w:rFonts w:ascii="Arial" w:cs="Arial" w:eastAsia="Arial" w:hAnsi="Arial"/>
          <w:sz w:val="19"/>
          <w:szCs w:val="19"/>
          <w:color w:val="212121"/>
        </w:rPr>
        <w:t xml:space="preserve"> A payment of [***]dollars ($[***]) shall be payable for receipt of the Regulatory Approval in the U.S. by Incyte, its Affiliates, or sublicensees (excluding Collaborators) for a Monotherapy Regimen or Incyte Combination Regimen in the Indication of [***] (the "[***] Milestone Payment"). For clarity, the [***] Milestone Payment shall be in addition to the existing Approval Milestones such that the [***]Milestone Payment plus the aggregate of the potential Approval Milestones shall equal a total of [***] dollars ($[***]).</w:t>
      </w:r>
    </w:p>
    <w:p>
      <w:pPr>
        <w:spacing w:after="0" w:line="198" w:lineRule="exact"/>
        <w:rPr>
          <w:sz w:val="20"/>
          <w:szCs w:val="20"/>
          <w:color w:val="auto"/>
        </w:rPr>
      </w:pPr>
    </w:p>
    <w:p>
      <w:pPr>
        <w:jc w:val="both"/>
        <w:ind w:left="1580" w:right="1160" w:hanging="330"/>
        <w:spacing w:after="0" w:line="252" w:lineRule="auto"/>
        <w:tabs>
          <w:tab w:leader="none" w:pos="1568" w:val="left"/>
        </w:tabs>
        <w:numPr>
          <w:ilvl w:val="0"/>
          <w:numId w:val="30"/>
        </w:numPr>
        <w:rPr>
          <w:rFonts w:ascii="Arial" w:cs="Arial" w:eastAsia="Arial" w:hAnsi="Arial"/>
          <w:sz w:val="20"/>
          <w:szCs w:val="20"/>
          <w:color w:val="212121"/>
        </w:rPr>
      </w:pPr>
      <w:r>
        <w:rPr>
          <w:rFonts w:ascii="Arial" w:cs="Arial" w:eastAsia="Arial" w:hAnsi="Arial"/>
          <w:sz w:val="21"/>
          <w:szCs w:val="21"/>
          <w:color w:val="212121"/>
        </w:rPr>
        <w:t xml:space="preserve">The filing of a BLA in the U.S. by Incyte, its Affiliates, or sublicensees (excluding Collaborators) for a Monotherapy Regimen or Incyte Combination Regimen in the Indication of </w:t>
      </w:r>
      <w:r>
        <w:rPr>
          <w:rFonts w:ascii="Arial" w:cs="Arial" w:eastAsia="Arial" w:hAnsi="Arial"/>
          <w:sz w:val="19"/>
          <w:szCs w:val="19"/>
          <w:color w:val="212121"/>
        </w:rPr>
        <w:t>[***]</w:t>
      </w:r>
      <w:r>
        <w:rPr>
          <w:rFonts w:ascii="Arial" w:cs="Arial" w:eastAsia="Arial" w:hAnsi="Arial"/>
          <w:sz w:val="21"/>
          <w:szCs w:val="21"/>
          <w:color w:val="212121"/>
        </w:rPr>
        <w:t xml:space="preserve"> shall not qualify as a Regulatory Filing Milestone under Section 8.2(c).</w:t>
      </w:r>
    </w:p>
    <w:p>
      <w:pPr>
        <w:spacing w:after="0" w:line="76" w:lineRule="exact"/>
        <w:rPr>
          <w:rFonts w:ascii="Arial" w:cs="Arial" w:eastAsia="Arial" w:hAnsi="Arial"/>
          <w:sz w:val="20"/>
          <w:szCs w:val="20"/>
          <w:color w:val="212121"/>
        </w:rPr>
      </w:pPr>
    </w:p>
    <w:p>
      <w:pPr>
        <w:ind w:left="1580" w:right="1240" w:hanging="330"/>
        <w:spacing w:after="0" w:line="252" w:lineRule="auto"/>
        <w:tabs>
          <w:tab w:leader="none" w:pos="1572" w:val="left"/>
        </w:tabs>
        <w:numPr>
          <w:ilvl w:val="0"/>
          <w:numId w:val="30"/>
        </w:numPr>
        <w:rPr>
          <w:rFonts w:ascii="Arial" w:cs="Arial" w:eastAsia="Arial" w:hAnsi="Arial"/>
          <w:sz w:val="19"/>
          <w:szCs w:val="19"/>
          <w:color w:val="212121"/>
        </w:rPr>
      </w:pPr>
      <w:r>
        <w:rPr>
          <w:rFonts w:ascii="Arial" w:cs="Arial" w:eastAsia="Arial" w:hAnsi="Arial"/>
          <w:sz w:val="21"/>
          <w:szCs w:val="21"/>
          <w:color w:val="212121"/>
        </w:rPr>
        <w:t xml:space="preserve">The receipt of a Regulatory Approval in the U.S. by Incyte, its Affiliates, or sublicensees (excluding Collaborators) for a Monotherapy Regimen or Incyte Combination Regimen in the Indication of </w:t>
      </w:r>
      <w:r>
        <w:rPr>
          <w:rFonts w:ascii="Arial" w:cs="Arial" w:eastAsia="Arial" w:hAnsi="Arial"/>
          <w:sz w:val="19"/>
          <w:szCs w:val="19"/>
          <w:color w:val="212121"/>
        </w:rPr>
        <w:t>[***]</w:t>
      </w:r>
      <w:r>
        <w:rPr>
          <w:rFonts w:ascii="Arial" w:cs="Arial" w:eastAsia="Arial" w:hAnsi="Arial"/>
          <w:sz w:val="21"/>
          <w:szCs w:val="21"/>
          <w:color w:val="212121"/>
        </w:rPr>
        <w:t xml:space="preserve"> shall not qualify as an Approval Milestone under Section 8.2(d).</w:t>
      </w:r>
    </w:p>
    <w:p>
      <w:pPr>
        <w:spacing w:after="0" w:line="76" w:lineRule="exact"/>
        <w:rPr>
          <w:rFonts w:ascii="Arial" w:cs="Arial" w:eastAsia="Arial" w:hAnsi="Arial"/>
          <w:sz w:val="19"/>
          <w:szCs w:val="19"/>
          <w:color w:val="212121"/>
        </w:rPr>
      </w:pPr>
    </w:p>
    <w:p>
      <w:pPr>
        <w:ind w:left="1580" w:right="1320" w:hanging="330"/>
        <w:spacing w:after="0" w:line="264" w:lineRule="auto"/>
        <w:tabs>
          <w:tab w:leader="none" w:pos="1570" w:val="left"/>
        </w:tabs>
        <w:numPr>
          <w:ilvl w:val="0"/>
          <w:numId w:val="30"/>
        </w:numPr>
        <w:rPr>
          <w:rFonts w:ascii="Arial" w:cs="Arial" w:eastAsia="Arial" w:hAnsi="Arial"/>
          <w:sz w:val="19"/>
          <w:szCs w:val="19"/>
          <w:color w:val="212121"/>
        </w:rPr>
      </w:pPr>
      <w:r>
        <w:rPr>
          <w:rFonts w:ascii="Arial" w:cs="Arial" w:eastAsia="Arial" w:hAnsi="Arial"/>
          <w:sz w:val="21"/>
          <w:szCs w:val="21"/>
          <w:color w:val="212121"/>
        </w:rPr>
        <w:t xml:space="preserve">The Development Milestone under Section 8.2(b), "Treatment of </w:t>
      </w:r>
      <w:r>
        <w:rPr>
          <w:rFonts w:ascii="Arial" w:cs="Arial" w:eastAsia="Arial" w:hAnsi="Arial"/>
          <w:sz w:val="19"/>
          <w:szCs w:val="19"/>
          <w:color w:val="212121"/>
        </w:rPr>
        <w:t>[***]</w:t>
      </w:r>
      <w:r>
        <w:rPr>
          <w:rFonts w:ascii="Arial" w:cs="Arial" w:eastAsia="Arial" w:hAnsi="Arial"/>
          <w:sz w:val="21"/>
          <w:szCs w:val="21"/>
          <w:color w:val="212121"/>
        </w:rPr>
        <w:t xml:space="preserve"> cumulative subjects across all Incyte Clinical Studies (including Incyte</w:t>
      </w:r>
    </w:p>
    <w:p>
      <w:pPr>
        <w:sectPr>
          <w:pgSz w:w="11900" w:h="16838" w:orient="portrait"/>
          <w:cols w:equalWidth="0" w:num="1">
            <w:col w:w="11240"/>
          </w:cols>
          <w:pgMar w:left="320" w:top="108"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84" w:right="320"/>
        <w:spacing w:after="0" w:line="256" w:lineRule="auto"/>
        <w:rPr>
          <w:sz w:val="20"/>
          <w:szCs w:val="20"/>
          <w:color w:val="auto"/>
        </w:rPr>
      </w:pPr>
      <w:r>
        <w:rPr>
          <w:rFonts w:ascii="Arial" w:cs="Arial" w:eastAsia="Arial" w:hAnsi="Arial"/>
          <w:sz w:val="20"/>
          <w:szCs w:val="20"/>
          <w:color w:val="212121"/>
        </w:rPr>
        <w:t>Monotherapy Studies and Incyte Combination Studies) in a single Indication for greater than [***] continuously at a recommended Phase II or Phase III defined dose and schedule" shall not apply to Clinical Studies in the Indication of [***], and no payment for such Development Milestone shall be due with respect to the Indication of [***], whether by reason of actually treating [***]cumulative subjects in the Indication of [***] or by reason of the occurrence of any of the events set forth in the final sentence in the first paragraph of Section 8.2 stating, "In addition, except with respect to the Breakthrough Designation Milestone, if for any reason any other Development Milestone corresponding to a Milestone payment does not occur prior to the occurrence of Regulatory Approval, then such prior non-occurring Development Milestone shall be deemed to occur concurrently with Regulatory Approval, and the applicable Milestone payments for the applicable Development Milestones shall become due and payable in accordance with this Section 8.2." For clarity, receipt of Regulatory Approval in the U.S., the EU, or Japan by Incyte, its Affiliates, or sublicensees (excluding Collaborators) for a Monotherapy Regimen or Incyte Combination Regimen in the Indication of [***] shall not trigger any such Milestone payment.</w:t>
      </w:r>
    </w:p>
    <w:p>
      <w:pPr>
        <w:spacing w:after="0" w:line="211" w:lineRule="exact"/>
        <w:rPr>
          <w:sz w:val="20"/>
          <w:szCs w:val="20"/>
          <w:color w:val="auto"/>
        </w:rPr>
      </w:pPr>
    </w:p>
    <w:p>
      <w:pPr>
        <w:jc w:val="both"/>
        <w:ind w:left="24" w:right="60" w:firstLine="18"/>
        <w:spacing w:after="0" w:line="249" w:lineRule="auto"/>
        <w:tabs>
          <w:tab w:leader="none" w:pos="541" w:val="left"/>
        </w:tabs>
        <w:numPr>
          <w:ilvl w:val="3"/>
          <w:numId w:val="31"/>
        </w:numPr>
        <w:rPr>
          <w:rFonts w:ascii="Arial" w:cs="Arial" w:eastAsia="Arial" w:hAnsi="Arial"/>
          <w:sz w:val="21"/>
          <w:szCs w:val="21"/>
          <w:color w:val="212121"/>
        </w:rPr>
      </w:pPr>
      <w:r>
        <w:rPr>
          <w:rFonts w:ascii="Arial" w:cs="Arial" w:eastAsia="Arial" w:hAnsi="Arial"/>
          <w:sz w:val="21"/>
          <w:szCs w:val="21"/>
          <w:u w:val="single" w:color="auto"/>
          <w:color w:val="363636"/>
        </w:rPr>
        <w:t>Entire Agreement.</w:t>
      </w:r>
      <w:r>
        <w:rPr>
          <w:rFonts w:ascii="Arial" w:cs="Arial" w:eastAsia="Arial" w:hAnsi="Arial"/>
          <w:sz w:val="21"/>
          <w:szCs w:val="21"/>
          <w:color w:val="363636"/>
        </w:rPr>
        <w:t xml:space="preserve"> </w:t>
      </w:r>
      <w:r>
        <w:rPr>
          <w:rFonts w:ascii="Arial" w:cs="Arial" w:eastAsia="Arial" w:hAnsi="Arial"/>
          <w:sz w:val="21"/>
          <w:szCs w:val="21"/>
          <w:color w:val="212121"/>
        </w:rPr>
        <w:t>The Agreement (including Amendment No. 1), as supplemented and modified by this Amendment</w:t>
      </w:r>
      <w:r>
        <w:rPr>
          <w:rFonts w:ascii="Arial" w:cs="Arial" w:eastAsia="Arial" w:hAnsi="Arial"/>
          <w:sz w:val="21"/>
          <w:szCs w:val="21"/>
          <w:color w:val="363636"/>
        </w:rPr>
        <w:t xml:space="preserve"> </w:t>
      </w:r>
      <w:r>
        <w:rPr>
          <w:rFonts w:ascii="Arial" w:cs="Arial" w:eastAsia="Arial" w:hAnsi="Arial"/>
          <w:sz w:val="21"/>
          <w:szCs w:val="21"/>
          <w:color w:val="212121"/>
        </w:rPr>
        <w:t>No. 2, together with the exhibits thereto, contains the entire understanding of the parties with respect to the subject matter hereof and supersedes all prior agreements and understandings, oral or written, with respect to such matters, which the parties acknowledge have been merged into the Agreement.</w:t>
      </w:r>
    </w:p>
    <w:p>
      <w:pPr>
        <w:spacing w:after="0" w:line="212" w:lineRule="exact"/>
        <w:rPr>
          <w:rFonts w:ascii="Arial" w:cs="Arial" w:eastAsia="Arial" w:hAnsi="Arial"/>
          <w:sz w:val="21"/>
          <w:szCs w:val="21"/>
          <w:color w:val="212121"/>
        </w:rPr>
      </w:pPr>
    </w:p>
    <w:p>
      <w:pPr>
        <w:ind w:left="24" w:right="60" w:firstLine="5"/>
        <w:spacing w:after="0" w:line="317" w:lineRule="auto"/>
        <w:tabs>
          <w:tab w:leader="none" w:pos="541" w:val="left"/>
        </w:tabs>
        <w:numPr>
          <w:ilvl w:val="2"/>
          <w:numId w:val="32"/>
        </w:numPr>
        <w:rPr>
          <w:rFonts w:ascii="Arial" w:cs="Arial" w:eastAsia="Arial" w:hAnsi="Arial"/>
          <w:sz w:val="19"/>
          <w:szCs w:val="19"/>
          <w:color w:val="212121"/>
        </w:rPr>
      </w:pPr>
      <w:r>
        <w:rPr>
          <w:rFonts w:ascii="Arial" w:cs="Arial" w:eastAsia="Arial" w:hAnsi="Arial"/>
          <w:sz w:val="19"/>
          <w:szCs w:val="19"/>
          <w:u w:val="single" w:color="auto"/>
          <w:color w:val="212121"/>
        </w:rPr>
        <w:t>Governing Law.</w:t>
      </w:r>
      <w:r>
        <w:rPr>
          <w:rFonts w:ascii="Arial" w:cs="Arial" w:eastAsia="Arial" w:hAnsi="Arial"/>
          <w:sz w:val="19"/>
          <w:szCs w:val="19"/>
          <w:color w:val="212121"/>
        </w:rPr>
        <w:t xml:space="preserve"> This Amendment No. 2 shall be governed by and construed under the laws of the State of New York, without giving effect to any choice of law principles that would require the application of the laws of a different state.</w:t>
      </w:r>
    </w:p>
    <w:p>
      <w:pPr>
        <w:spacing w:after="0" w:line="165" w:lineRule="exact"/>
        <w:rPr>
          <w:rFonts w:ascii="Arial" w:cs="Arial" w:eastAsia="Arial" w:hAnsi="Arial"/>
          <w:sz w:val="19"/>
          <w:szCs w:val="19"/>
          <w:color w:val="212121"/>
        </w:rPr>
      </w:pPr>
    </w:p>
    <w:p>
      <w:pPr>
        <w:jc w:val="both"/>
        <w:ind w:left="24" w:right="60" w:firstLine="2"/>
        <w:spacing w:after="0" w:line="249" w:lineRule="auto"/>
        <w:tabs>
          <w:tab w:leader="none" w:pos="565" w:val="left"/>
        </w:tabs>
        <w:numPr>
          <w:ilvl w:val="2"/>
          <w:numId w:val="32"/>
        </w:numPr>
        <w:rPr>
          <w:rFonts w:ascii="Arial" w:cs="Arial" w:eastAsia="Arial" w:hAnsi="Arial"/>
          <w:sz w:val="21"/>
          <w:szCs w:val="21"/>
          <w:color w:val="212121"/>
        </w:rPr>
      </w:pPr>
      <w:r>
        <w:rPr>
          <w:rFonts w:ascii="Arial" w:cs="Arial" w:eastAsia="Arial" w:hAnsi="Arial"/>
          <w:sz w:val="21"/>
          <w:szCs w:val="21"/>
          <w:u w:val="single" w:color="auto"/>
          <w:color w:val="484848"/>
        </w:rPr>
        <w:t>Execution</w:t>
      </w:r>
      <w:r>
        <w:rPr>
          <w:rFonts w:ascii="Arial" w:cs="Arial" w:eastAsia="Arial" w:hAnsi="Arial"/>
          <w:sz w:val="21"/>
          <w:szCs w:val="21"/>
          <w:color w:val="484848"/>
        </w:rPr>
        <w:t xml:space="preserve"> </w:t>
      </w:r>
      <w:r>
        <w:rPr>
          <w:rFonts w:ascii="Arial" w:cs="Arial" w:eastAsia="Arial" w:hAnsi="Arial"/>
          <w:sz w:val="21"/>
          <w:szCs w:val="21"/>
          <w:u w:val="single" w:color="auto"/>
          <w:color w:val="212121"/>
        </w:rPr>
        <w:t>in</w:t>
      </w:r>
      <w:r>
        <w:rPr>
          <w:rFonts w:ascii="Arial" w:cs="Arial" w:eastAsia="Arial" w:hAnsi="Arial"/>
          <w:sz w:val="21"/>
          <w:szCs w:val="21"/>
          <w:color w:val="484848"/>
        </w:rPr>
        <w:t xml:space="preserve"> </w:t>
      </w:r>
      <w:r>
        <w:rPr>
          <w:rFonts w:ascii="Arial" w:cs="Arial" w:eastAsia="Arial" w:hAnsi="Arial"/>
          <w:sz w:val="21"/>
          <w:szCs w:val="21"/>
          <w:u w:val="single" w:color="auto"/>
          <w:color w:val="363636"/>
        </w:rPr>
        <w:t>Counterparts.</w:t>
      </w:r>
      <w:r>
        <w:rPr>
          <w:rFonts w:ascii="Arial" w:cs="Arial" w:eastAsia="Arial" w:hAnsi="Arial"/>
          <w:sz w:val="21"/>
          <w:szCs w:val="21"/>
          <w:color w:val="484848"/>
        </w:rPr>
        <w:t xml:space="preserve"> </w:t>
      </w:r>
      <w:r>
        <w:rPr>
          <w:rFonts w:ascii="Arial" w:cs="Arial" w:eastAsia="Arial" w:hAnsi="Arial"/>
          <w:sz w:val="21"/>
          <w:szCs w:val="21"/>
          <w:color w:val="212121"/>
        </w:rPr>
        <w:t>This Amendment No. 2 may be executed in two (2) or more counterparts, each of which</w:t>
      </w:r>
      <w:r>
        <w:rPr>
          <w:rFonts w:ascii="Arial" w:cs="Arial" w:eastAsia="Arial" w:hAnsi="Arial"/>
          <w:sz w:val="21"/>
          <w:szCs w:val="21"/>
          <w:color w:val="484848"/>
        </w:rPr>
        <w:t xml:space="preserve"> </w:t>
      </w:r>
      <w:r>
        <w:rPr>
          <w:rFonts w:ascii="Arial" w:cs="Arial" w:eastAsia="Arial" w:hAnsi="Arial"/>
          <w:sz w:val="21"/>
          <w:szCs w:val="21"/>
          <w:color w:val="212121"/>
        </w:rPr>
        <w:t>shall be deemed an original, but all of which together shall constitute one and the same instrument. This Agreement may be executed by .pdf or other electronically transmitted signatures and such signatures shall be deemed to bind each Party as if they were the original signatures.</w:t>
      </w:r>
    </w:p>
    <w:p>
      <w:pPr>
        <w:spacing w:after="0" w:line="212" w:lineRule="exact"/>
        <w:rPr>
          <w:rFonts w:ascii="Arial" w:cs="Arial" w:eastAsia="Arial" w:hAnsi="Arial"/>
          <w:sz w:val="21"/>
          <w:szCs w:val="21"/>
          <w:color w:val="212121"/>
        </w:rPr>
      </w:pPr>
    </w:p>
    <w:p>
      <w:pPr>
        <w:ind w:left="24" w:right="80" w:hanging="9"/>
        <w:spacing w:after="0" w:line="264" w:lineRule="auto"/>
        <w:tabs>
          <w:tab w:leader="none" w:pos="554" w:val="left"/>
        </w:tabs>
        <w:numPr>
          <w:ilvl w:val="1"/>
          <w:numId w:val="33"/>
        </w:numPr>
        <w:rPr>
          <w:rFonts w:ascii="Arial" w:cs="Arial" w:eastAsia="Arial" w:hAnsi="Arial"/>
          <w:sz w:val="21"/>
          <w:szCs w:val="21"/>
          <w:color w:val="212121"/>
        </w:rPr>
      </w:pPr>
      <w:r>
        <w:rPr>
          <w:rFonts w:ascii="Arial" w:cs="Arial" w:eastAsia="Arial" w:hAnsi="Arial"/>
          <w:sz w:val="21"/>
          <w:szCs w:val="21"/>
          <w:u w:val="single" w:color="auto"/>
          <w:color w:val="212121"/>
        </w:rPr>
        <w:t>Remaining Provisions of the Agreement.</w:t>
      </w:r>
      <w:r>
        <w:rPr>
          <w:rFonts w:ascii="Arial" w:cs="Arial" w:eastAsia="Arial" w:hAnsi="Arial"/>
          <w:sz w:val="21"/>
          <w:szCs w:val="21"/>
          <w:color w:val="212121"/>
        </w:rPr>
        <w:t xml:space="preserve"> Except as provided herein, each of the other provisions of the Agreement shall remain in full force and effect.</w:t>
      </w:r>
    </w:p>
    <w:p>
      <w:pPr>
        <w:spacing w:after="0" w:line="265" w:lineRule="exact"/>
        <w:rPr>
          <w:rFonts w:ascii="Arial" w:cs="Arial" w:eastAsia="Arial" w:hAnsi="Arial"/>
          <w:sz w:val="21"/>
          <w:szCs w:val="21"/>
          <w:color w:val="212121"/>
        </w:rPr>
      </w:pPr>
    </w:p>
    <w:p>
      <w:pPr>
        <w:jc w:val="both"/>
        <w:ind w:left="-16" w:firstLine="16"/>
        <w:spacing w:after="0" w:line="252" w:lineRule="auto"/>
        <w:tabs>
          <w:tab w:leader="none" w:pos="538" w:val="left"/>
        </w:tabs>
        <w:numPr>
          <w:ilvl w:val="0"/>
          <w:numId w:val="34"/>
        </w:numPr>
        <w:rPr>
          <w:rFonts w:ascii="Arial" w:cs="Arial" w:eastAsia="Arial" w:hAnsi="Arial"/>
          <w:sz w:val="21"/>
          <w:szCs w:val="21"/>
          <w:color w:val="232323"/>
        </w:rPr>
      </w:pPr>
      <w:r>
        <w:rPr>
          <w:rFonts w:ascii="Arial" w:cs="Arial" w:eastAsia="Arial" w:hAnsi="Arial"/>
          <w:sz w:val="21"/>
          <w:szCs w:val="21"/>
          <w:u w:val="single" w:color="auto"/>
          <w:color w:val="232323"/>
        </w:rPr>
        <w:t>References.</w:t>
      </w:r>
      <w:r>
        <w:rPr>
          <w:rFonts w:ascii="Arial" w:cs="Arial" w:eastAsia="Arial" w:hAnsi="Arial"/>
          <w:sz w:val="21"/>
          <w:szCs w:val="21"/>
          <w:color w:val="232323"/>
        </w:rPr>
        <w:t xml:space="preserve"> Upon the effectiveness of this Amendment No. 2, on and after the date hereof, each reference in the Agreement to "this Agreement," "hereunder," "hereof," "herein" or words of like import shall mean and be a reference to the Agreement, as amended hereby.</w:t>
      </w:r>
    </w:p>
    <w:p>
      <w:pPr>
        <w:spacing w:after="0" w:line="198" w:lineRule="exact"/>
        <w:rPr>
          <w:sz w:val="20"/>
          <w:szCs w:val="20"/>
          <w:color w:val="auto"/>
        </w:rPr>
      </w:pPr>
    </w:p>
    <w:p>
      <w:pPr>
        <w:ind w:left="4504"/>
        <w:spacing w:after="0"/>
        <w:rPr>
          <w:sz w:val="20"/>
          <w:szCs w:val="20"/>
          <w:color w:val="auto"/>
        </w:rPr>
      </w:pPr>
      <w:r>
        <w:rPr>
          <w:rFonts w:ascii="Arial" w:cs="Arial" w:eastAsia="Arial" w:hAnsi="Arial"/>
          <w:sz w:val="21"/>
          <w:szCs w:val="21"/>
          <w:i w:val="1"/>
          <w:iCs w:val="1"/>
          <w:color w:val="232323"/>
        </w:rPr>
        <w:t>[signature page follows]</w:t>
      </w:r>
    </w:p>
    <w:p>
      <w:pPr>
        <w:sectPr>
          <w:pgSz w:w="11900" w:h="16838" w:orient="portrait"/>
          <w:cols w:equalWidth="0" w:num="1">
            <w:col w:w="10504"/>
          </w:cols>
          <w:pgMar w:left="416" w:top="1440" w:right="979" w:bottom="1440" w:gutter="0" w:footer="0" w:header="0"/>
        </w:sectPr>
      </w:pPr>
    </w:p>
    <w:bookmarkStart w:id="37" w:name="page38"/>
    <w:bookmarkEnd w:id="37"/>
    <w:p>
      <w:pPr>
        <w:spacing w:after="0" w:line="23" w:lineRule="exact"/>
        <w:rPr>
          <w:sz w:val="20"/>
          <w:szCs w:val="20"/>
          <w:color w:val="auto"/>
        </w:rPr>
      </w:pPr>
    </w:p>
    <w:p>
      <w:pPr>
        <w:jc w:val="both"/>
        <w:ind w:firstLine="653"/>
        <w:spacing w:after="0" w:line="252" w:lineRule="auto"/>
        <w:rPr>
          <w:sz w:val="20"/>
          <w:szCs w:val="20"/>
          <w:color w:val="auto"/>
        </w:rPr>
      </w:pPr>
      <w:r>
        <w:rPr>
          <w:rFonts w:ascii="Arial" w:cs="Arial" w:eastAsia="Arial" w:hAnsi="Arial"/>
          <w:sz w:val="21"/>
          <w:szCs w:val="21"/>
          <w:color w:val="212121"/>
        </w:rPr>
        <w:t>IN WITNESS WHEREOF, the parties hereto have caused this Amendment No. 2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12121"/>
        </w:rPr>
        <w:t>MACROGENICS, INC.</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20"/>
          <w:szCs w:val="20"/>
          <w:color w:val="212121"/>
        </w:rPr>
        <w:t>By: /s/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-14605</wp:posOffset>
            </wp:positionV>
            <wp:extent cx="966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0"/>
          <w:szCs w:val="20"/>
          <w:color w:val="212121"/>
        </w:rPr>
        <w:t>Name: Scott Koenig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20"/>
          <w:szCs w:val="20"/>
          <w:color w:val="212121"/>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212121"/>
        </w:rPr>
        <w:t>INCYTE CORPORATION</w:t>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/s/ Vijay Iyengar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-14605</wp:posOffset>
            </wp:positionV>
            <wp:extent cx="8997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3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Name: Vijay Iyengar</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Title: EVP, Global Strategy &amp; Corporate Development</w:t>
      </w:r>
    </w:p>
    <w:p>
      <w:pPr>
        <w:sectPr>
          <w:pgSz w:w="11900" w:h="16838" w:orient="portrait"/>
          <w:cols w:equalWidth="0" w:num="1">
            <w:col w:w="10380"/>
          </w:cols>
          <w:pgMar w:left="520" w:top="1440"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25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2022</w:t>
      </w:r>
    </w:p>
    <w:p>
      <w:pPr>
        <w:sectPr>
          <w:pgSz w:w="11900" w:h="16838" w:orient="portrait"/>
          <w:cols w:equalWidth="0" w:num="1">
            <w:col w:w="11240"/>
          </w:cols>
          <w:pgMar w:left="320" w:top="1259" w:right="339" w:bottom="1440" w:gutter="0" w:footer="0" w:header="0"/>
        </w:sectPr>
      </w:pPr>
    </w:p>
    <w:bookmarkStart w:id="39" w:name="page40"/>
    <w:bookmarkEnd w:id="39"/>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238"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2022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r>
        <w:rPr>
          <w:rFonts w:ascii="Arial" w:cs="Arial" w:eastAsia="Arial" w:hAnsi="Arial"/>
          <w:sz w:val="18"/>
          <w:szCs w:val="18"/>
          <w:color w:val="auto"/>
        </w:rPr>
        <w:t>)</w:t>
      </w:r>
    </w:p>
    <w:p>
      <w:pPr>
        <w:spacing w:after="0" w:line="23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Quarterly Report on Form 10-Q for the period ended June 30, 2022 of the Registrant (the Report), that:</w:t>
      </w:r>
    </w:p>
    <w:p>
      <w:pPr>
        <w:spacing w:after="0" w:line="15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August 8, 2022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Quarterly Report on Form 10-Q for the period ended June 30, 2022 of the Registrant (the Report), that:</w:t>
      </w:r>
    </w:p>
    <w:p>
      <w:pPr>
        <w:spacing w:after="0" w:line="15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August 8, 2022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2"/>
    </w:lvl>
  </w:abstractNum>
  <w:abstractNum w:abstractNumId="31">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decimal"/>
      <w:start w:val="1"/>
    </w:lvl>
  </w:abstractNum>
  <w:abstractNum w:abstractNumId="32">
    <w:nsid w:val="440BADFC"/>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33">
    <w:nsid w:val="5072367"/>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2022-08-09T02:18:11Z</dcterms:created>
  <dcterms:modified xsi:type="dcterms:W3CDTF">2022-08-09T02:18:11Z</dcterms:modified>
</cp:coreProperties>
</file>